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湖南省农作物良种引进示范中心</w:t>
      </w: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湖南省农作物良种引进示范中心</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湖南省农作物良种引进示范中心</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制定省级农作物品种区域试验实施方案和工作计划，完成省级区域试验数据资料的汇总工作。常年完成水稻、玉米、棉花等共180个以上区试样品收集、整理、编密、寄送工作，完成国家标准样品分类、包装和上交工作。参与全省水稻区试点测产和试验点专家考察任务。与全省各区试承担单位签订区</w:t>
      </w:r>
      <w:r>
        <w:rPr>
          <w:rFonts w:hint="eastAsia" w:ascii="Times New Roman" w:hAnsi="Times New Roman" w:eastAsia="仿宋_GB2312" w:cs="仿宋_GB2312"/>
          <w:sz w:val="32"/>
          <w:szCs w:val="32"/>
          <w:lang w:eastAsia="zh-CN"/>
        </w:rPr>
        <w:t>域</w:t>
      </w:r>
      <w:r>
        <w:rPr>
          <w:rFonts w:hint="eastAsia" w:ascii="Times New Roman" w:hAnsi="Times New Roman" w:eastAsia="仿宋_GB2312" w:cs="仿宋_GB2312"/>
          <w:sz w:val="32"/>
          <w:szCs w:val="32"/>
        </w:rPr>
        <w:t>试验合同，支付试验费。每年撰写100万字左右的试验总结报告。</w:t>
      </w:r>
    </w:p>
    <w:p>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承担国家和省级农业行政主管部门下达的农作物新品种区域试验任务。在永安试验站承担早稻区域试验、中稻迟熟二组区域试验、晚稻区域试验、水稻高、低温鉴定试验；承担普通玉米区域试验；开展“镉低积累水稻品种大田验证试验”。按照试验方案要求开展试验、观察记载，获取全面、准确的试验数据。</w:t>
      </w:r>
    </w:p>
    <w:p>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（三）品种登记工作。受省种子管理服务站的委托承担非主要农作物品种登记材料的受理和初步审查工作，每年向农业部上报完成省级初步审查的品种80个以上，完成登记程序并取得登记证书的品种50个左右。</w:t>
      </w:r>
    </w:p>
    <w:p>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承担我省农作物新品种的引进和展示示范工作，推广农作物新品种；承担国外引进良种的隔离试种、试验工作；承担湖南省新品种区试基地的日常管理工作；完成省种子管理服务站及有关部门交办的其他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ind w:firstLine="640" w:firstLineChars="200"/>
        <w:rPr>
          <w:rFonts w:ascii="仿宋" w:hAnsi="仿宋" w:eastAsia="仿宋"/>
          <w:color w:val="auto"/>
          <w:sz w:val="32"/>
          <w:szCs w:val="32"/>
        </w:rPr>
      </w:pPr>
      <w:r>
        <w:rPr>
          <w:rFonts w:hint="eastAsia" w:ascii="Times New Roman" w:hAnsi="Times New Roman" w:eastAsia="仿宋_GB2312" w:cs="仿宋_GB2312"/>
          <w:bCs/>
          <w:kern w:val="0"/>
          <w:sz w:val="32"/>
          <w:szCs w:val="32"/>
        </w:rPr>
        <w:t>（一）内设机构设置。</w:t>
      </w:r>
      <w:r>
        <w:rPr>
          <w:rFonts w:hint="eastAsia" w:ascii="仿宋" w:hAnsi="仿宋" w:eastAsia="仿宋"/>
          <w:color w:val="auto"/>
          <w:sz w:val="32"/>
          <w:szCs w:val="32"/>
        </w:rPr>
        <w:t>湖南省农作物良种引进示范中心内设机构包括：综合财务科，品种试验科，示范推广科等三个科室。</w:t>
      </w:r>
    </w:p>
    <w:p>
      <w:pPr>
        <w:widowControl/>
        <w:spacing w:line="600" w:lineRule="exact"/>
        <w:ind w:firstLine="640" w:firstLineChars="200"/>
        <w:rPr>
          <w:rFonts w:hint="eastAsia" w:ascii="仿宋_GB2312" w:eastAsia="仿宋_GB2312" w:hAnsiTheme="minorEastAsia"/>
          <w:sz w:val="28"/>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color w:val="auto"/>
          <w:sz w:val="32"/>
          <w:szCs w:val="32"/>
        </w:rPr>
        <w:t>湖南省农作物良种引进示范中心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color w:val="auto"/>
          <w:sz w:val="32"/>
          <w:szCs w:val="32"/>
        </w:rPr>
        <w:t>湖南省农作物良种引进示范中心</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sz w:val="72"/>
          <w:szCs w:val="72"/>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10"/>
        <w:tblW w:w="13807" w:type="dxa"/>
        <w:tblInd w:w="8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967"/>
        <w:gridCol w:w="464"/>
        <w:gridCol w:w="1443"/>
        <w:gridCol w:w="4656"/>
        <w:gridCol w:w="464"/>
        <w:gridCol w:w="18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3807"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4"/>
                <w:szCs w:val="24"/>
                <w:u w:val="none"/>
              </w:rPr>
            </w:pPr>
            <w:r>
              <w:rPr>
                <w:rFonts w:ascii="Times New Roman" w:hAnsi="Times New Roman" w:eastAsia="黑体" w:cs="Times New Roman"/>
                <w:bCs/>
                <w:kern w:val="0"/>
                <w:sz w:val="32"/>
                <w:szCs w:val="32"/>
              </w:rPr>
              <w:br w:type="page"/>
            </w:r>
            <w:r>
              <w:rPr>
                <w:rFonts w:hint="eastAsia" w:ascii="宋体" w:hAnsi="宋体" w:eastAsia="宋体" w:cs="宋体"/>
                <w:b/>
                <w:i w:val="0"/>
                <w:color w:val="000000"/>
                <w:kern w:val="0"/>
                <w:sz w:val="24"/>
                <w:szCs w:val="24"/>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9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44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967"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部门：湖南省农作物良种引进示范中心</w:t>
            </w:r>
          </w:p>
        </w:tc>
        <w:tc>
          <w:tcPr>
            <w:tcW w:w="4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44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87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93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563.09</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563.09</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50.64</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4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613.73</w:t>
            </w:r>
          </w:p>
        </w:tc>
        <w:tc>
          <w:tcPr>
            <w:tcW w:w="46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613.73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807"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bl>
    <w:p>
      <w:pPr>
        <w:widowControl/>
        <w:jc w:val="left"/>
        <w:rPr>
          <w:rFonts w:ascii="Times New Roman" w:hAnsi="Times New Roman" w:eastAsia="黑体" w:cs="Times New Roman"/>
          <w:bCs/>
          <w:kern w:val="0"/>
          <w:sz w:val="32"/>
          <w:szCs w:val="32"/>
        </w:rPr>
        <w:sectPr>
          <w:pgSz w:w="16838" w:h="11906" w:orient="landscape"/>
          <w:pgMar w:top="720" w:right="720" w:bottom="720" w:left="720" w:header="851" w:footer="992" w:gutter="0"/>
          <w:cols w:space="425" w:num="1"/>
          <w:docGrid w:type="lines" w:linePitch="312" w:charSpace="0"/>
        </w:sectPr>
      </w:pPr>
    </w:p>
    <w:p>
      <w:pPr>
        <w:pStyle w:val="9"/>
      </w:pPr>
    </w:p>
    <w:tbl>
      <w:tblPr>
        <w:tblStyle w:val="10"/>
        <w:tblW w:w="155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264"/>
        <w:gridCol w:w="3729"/>
        <w:gridCol w:w="1629"/>
        <w:gridCol w:w="1629"/>
        <w:gridCol w:w="1474"/>
        <w:gridCol w:w="1474"/>
        <w:gridCol w:w="1474"/>
        <w:gridCol w:w="1474"/>
        <w:gridCol w:w="18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5538"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72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2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29"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7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7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7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7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6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6150"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部门：湖南省农作物良种引进示范中心</w:t>
            </w:r>
          </w:p>
        </w:tc>
        <w:tc>
          <w:tcPr>
            <w:tcW w:w="1629"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7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7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7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7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6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2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86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72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2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2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2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8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2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563.09</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563.09</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509.81</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509.81</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509.81</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509.81</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77.33</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77.33</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214.94</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214.94</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207.54</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207.54</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7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5538"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仿宋_GB2312" w:cs="Times New Roman"/>
          <w:bCs/>
          <w:kern w:val="0"/>
          <w:szCs w:val="21"/>
        </w:rPr>
      </w:pPr>
    </w:p>
    <w:tbl>
      <w:tblPr>
        <w:tblStyle w:val="10"/>
        <w:tblW w:w="13865" w:type="dxa"/>
        <w:tblInd w:w="7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3"/>
        <w:gridCol w:w="253"/>
        <w:gridCol w:w="759"/>
        <w:gridCol w:w="3382"/>
        <w:gridCol w:w="1577"/>
        <w:gridCol w:w="1577"/>
        <w:gridCol w:w="1577"/>
        <w:gridCol w:w="1491"/>
        <w:gridCol w:w="1434"/>
        <w:gridCol w:w="15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3865" w:type="dxa"/>
            <w:gridSpan w:val="10"/>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8"/>
                <w:szCs w:val="28"/>
                <w:u w:val="none"/>
              </w:rPr>
            </w:pPr>
            <w:r>
              <w:rPr>
                <w:rFonts w:ascii="Times New Roman" w:hAnsi="Times New Roman" w:eastAsia="仿宋_GB2312" w:cs="Times New Roman"/>
                <w:bCs/>
                <w:kern w:val="0"/>
                <w:szCs w:val="21"/>
              </w:rPr>
              <w:br w:type="page"/>
            </w: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5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38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3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6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6224"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部门：湖南省农作物良种引进示范中心</w:t>
            </w:r>
          </w:p>
        </w:tc>
        <w:tc>
          <w:tcPr>
            <w:tcW w:w="157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7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1"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3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6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4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5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5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6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38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6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8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6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8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4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4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517.52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303.50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214.02</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464.24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250.22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464.24</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250.22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35.91</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35.91</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214.32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214.32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196.83</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196.83</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17.19</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17.19</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6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865"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p>
    <w:tbl>
      <w:tblPr>
        <w:tblStyle w:val="10"/>
        <w:tblW w:w="152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754"/>
        <w:gridCol w:w="526"/>
        <w:gridCol w:w="1546"/>
        <w:gridCol w:w="3628"/>
        <w:gridCol w:w="526"/>
        <w:gridCol w:w="683"/>
        <w:gridCol w:w="1546"/>
        <w:gridCol w:w="1510"/>
        <w:gridCol w:w="14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215"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75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4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62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8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1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826"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部门：湖南省农作物良种引进示范中心</w:t>
            </w:r>
          </w:p>
        </w:tc>
        <w:tc>
          <w:tcPr>
            <w:tcW w:w="362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8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1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9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82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389"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375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6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51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49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7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563.09</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ind w:right="769" w:rightChars="366"/>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464.24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464.24</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563.09</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517.52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517.52</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50.64</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96.22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96.22</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50.64</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5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613.73</w:t>
            </w:r>
          </w:p>
        </w:tc>
        <w:tc>
          <w:tcPr>
            <w:tcW w:w="36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613.73</w:t>
            </w:r>
          </w:p>
        </w:tc>
        <w:tc>
          <w:tcPr>
            <w:tcW w:w="15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613.73</w:t>
            </w:r>
          </w:p>
        </w:tc>
        <w:tc>
          <w:tcPr>
            <w:tcW w:w="15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719"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496"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Pr>
        <w:pStyle w:val="9"/>
        <w:sectPr>
          <w:pgSz w:w="16838" w:h="11906" w:orient="landscape"/>
          <w:pgMar w:top="720" w:right="720" w:bottom="720" w:left="720" w:header="851" w:footer="992" w:gutter="0"/>
          <w:cols w:space="425" w:num="1"/>
          <w:docGrid w:type="lines" w:linePitch="312" w:charSpace="0"/>
        </w:sectPr>
      </w:pPr>
    </w:p>
    <w:tbl>
      <w:tblPr>
        <w:tblStyle w:val="10"/>
        <w:tblW w:w="13069" w:type="dxa"/>
        <w:tblInd w:w="12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3"/>
        <w:gridCol w:w="253"/>
        <w:gridCol w:w="792"/>
        <w:gridCol w:w="4300"/>
        <w:gridCol w:w="2348"/>
        <w:gridCol w:w="2646"/>
        <w:gridCol w:w="24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3069"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2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9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3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34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6"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47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7946"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部门：湖南省农作物良种引进示范中心</w:t>
            </w:r>
          </w:p>
        </w:tc>
        <w:tc>
          <w:tcPr>
            <w:tcW w:w="2646"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47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9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47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3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2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3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3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9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9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517.52</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303.50</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35.96</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464.24</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250.22</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464.24</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250.22</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35.91</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35.91</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214.32</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214.32</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2130106</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科技转化与推广服务</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196.83</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17.19</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26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17.32</w:t>
            </w:r>
          </w:p>
        </w:tc>
        <w:tc>
          <w:tcPr>
            <w:tcW w:w="2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069"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pStyle w:val="2"/>
        <w:sectPr>
          <w:pgSz w:w="16838" w:h="11906" w:orient="landscape"/>
          <w:pgMar w:top="720" w:right="720" w:bottom="720" w:left="720" w:header="851" w:footer="992" w:gutter="0"/>
          <w:cols w:space="425" w:num="1"/>
          <w:docGrid w:type="lines" w:linePitch="312" w:charSpace="0"/>
        </w:sectPr>
      </w:pPr>
    </w:p>
    <w:p>
      <w:pPr>
        <w:sectPr>
          <w:pgSz w:w="16838" w:h="11906" w:orient="landscape"/>
          <w:pgMar w:top="720" w:right="720" w:bottom="720" w:left="720" w:header="851" w:footer="992" w:gutter="0"/>
          <w:cols w:space="425" w:num="1"/>
          <w:docGrid w:type="lines" w:linePitch="312" w:charSpace="0"/>
        </w:sectPr>
      </w:pPr>
      <w:r>
        <w:drawing>
          <wp:inline distT="0" distB="0" distL="114300" distR="114300">
            <wp:extent cx="9770745" cy="5831205"/>
            <wp:effectExtent l="0" t="0" r="825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770745" cy="5831205"/>
                    </a:xfrm>
                    <a:prstGeom prst="rect">
                      <a:avLst/>
                    </a:prstGeom>
                    <a:noFill/>
                    <a:ln>
                      <a:noFill/>
                    </a:ln>
                  </pic:spPr>
                </pic:pic>
              </a:graphicData>
            </a:graphic>
          </wp:inline>
        </w:drawing>
      </w:r>
    </w:p>
    <w:p>
      <w:pPr>
        <w:pStyle w:val="2"/>
      </w:pPr>
    </w:p>
    <w:tbl>
      <w:tblPr>
        <w:tblStyle w:val="10"/>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部门：湖南省农作物良种引进示范中心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7"/>
                <w:lang w:val="en-US" w:eastAsia="zh-CN" w:bidi="ar"/>
              </w:rPr>
              <w:t xml:space="preserve">   </w:t>
            </w:r>
            <w:r>
              <w:rPr>
                <w:rStyle w:val="18"/>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10"/>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部门：湖南省农作物良种引进示范中心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9"/>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10"/>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部门：湖南省农作物良种引进示范中心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613.73</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37.05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6.42</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人员经费增加。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563.09</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563.09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517.52</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303.502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58.65</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214.02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41.35</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613.73</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37.05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6.42</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人员经费增加。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517.52</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32.78</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6.76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人员经费增加。</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517.52</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35.96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6.95</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464.24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89.70</w:t>
      </w:r>
      <w:r>
        <w:rPr>
          <w:rFonts w:hint="eastAsia" w:ascii="Times New Roman" w:hAnsi="Times New Roman" w:eastAsia="仿宋_GB2312"/>
          <w:sz w:val="32"/>
          <w:szCs w:val="32"/>
        </w:rPr>
        <w:t>%;住房保障（类）支出</w:t>
      </w:r>
      <w:r>
        <w:rPr>
          <w:rFonts w:hint="eastAsia" w:ascii="Times New Roman" w:hAnsi="Times New Roman" w:eastAsia="仿宋_GB2312"/>
          <w:sz w:val="32"/>
          <w:szCs w:val="32"/>
          <w:lang w:val="en-US" w:eastAsia="zh-CN"/>
        </w:rPr>
        <w:t>17.32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3.35</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526.40</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517.52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98.31</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35.96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35.96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2、农林水（类）农业农村（款）行政运行（项）。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为万元，支出决算为</w:t>
      </w:r>
      <w:r>
        <w:rPr>
          <w:rFonts w:hint="eastAsia" w:ascii="Times New Roman" w:hAnsi="Times New Roman" w:eastAsia="仿宋_GB2312"/>
          <w:sz w:val="32"/>
          <w:szCs w:val="32"/>
          <w:lang w:val="en-US" w:eastAsia="zh-CN"/>
        </w:rPr>
        <w:t>35.91</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年中追加人员经费。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、农林水（类）农业农村（款）事业运行（项）。</w:t>
      </w:r>
    </w:p>
    <w:p>
      <w:pPr>
        <w:pStyle w:val="14"/>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214.94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214.32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99.71</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资金年末有小额结余。</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、农林水（类）农业农村（款）科技转化与推广服务（项）。</w:t>
      </w:r>
    </w:p>
    <w:p>
      <w:pPr>
        <w:pStyle w:val="14"/>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241.60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196.83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81.47</w:t>
      </w:r>
      <w:r>
        <w:rPr>
          <w:rFonts w:hint="eastAsia" w:ascii="Times New Roman" w:hAnsi="Times New Roman" w:eastAsia="仿宋_GB2312"/>
          <w:sz w:val="32"/>
          <w:szCs w:val="32"/>
        </w:rPr>
        <w:t>%，决算数小于年初预算数的主要原因是：因联合品比试验准入标准提高，2023年参试品种数量有所减少，导致劳务试验费用减少；另外部分劳务试验尚未结账，未能及时支付</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、农林水（类）农业农村（款）农产品质量安全（项）。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16.59</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17.19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年中追加省级农作物、畜禽种业安全监管项目资金。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、住房保障（类）农住房改革支出（款）住房公积金（项）。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17.32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17.32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年度财政拨款基本支出303.5万元，其中：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278.42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91.74</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绩效工资、机关事业单位基本养老保险缴费、职工基本医疗保险缴费、其他社会保障缴费、医疗费、退休费、住房公积金、生活补助、奖励金等</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25.09</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9.56</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lang w:val="en-US" w:eastAsia="zh-CN"/>
        </w:rPr>
        <w:t>电费、邮电费、培训费、劳务费、工会经费、福利费、其他交通费用、其他商品和服务支出。</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0.20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0.03</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15.00</w:t>
      </w:r>
      <w:r>
        <w:rPr>
          <w:rFonts w:hint="eastAsia" w:ascii="Times New Roman" w:hAnsi="Times New Roman" w:eastAsia="仿宋_GB2312"/>
          <w:sz w:val="32"/>
          <w:szCs w:val="32"/>
        </w:rPr>
        <w:t>%，决算数小于预算数的主要原因</w:t>
      </w:r>
      <w:r>
        <w:rPr>
          <w:rFonts w:hint="eastAsia" w:ascii="Times New Roman" w:hAnsi="Times New Roman" w:eastAsia="仿宋_GB2312"/>
          <w:sz w:val="32"/>
          <w:szCs w:val="32"/>
          <w:lang w:val="en-US" w:eastAsia="zh-CN"/>
        </w:rPr>
        <w:t>是严格控制</w:t>
      </w:r>
      <w:r>
        <w:rPr>
          <w:rFonts w:hint="eastAsia" w:ascii="Times New Roman" w:hAnsi="Times New Roman" w:eastAsia="仿宋_GB2312"/>
          <w:sz w:val="32"/>
          <w:szCs w:val="32"/>
        </w:rPr>
        <w:t>“三公”经费</w:t>
      </w:r>
      <w:r>
        <w:rPr>
          <w:rFonts w:hint="eastAsia" w:ascii="Times New Roman" w:hAnsi="Times New Roman" w:eastAsia="仿宋_GB2312"/>
          <w:sz w:val="32"/>
          <w:szCs w:val="32"/>
          <w:lang w:val="en-US" w:eastAsia="zh-CN"/>
        </w:rPr>
        <w:t>开支在预算范围内，</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0.02</w:t>
      </w:r>
      <w:r>
        <w:rPr>
          <w:rFonts w:hint="eastAsia" w:ascii="Times New Roman" w:hAnsi="Times New Roman" w:eastAsia="仿宋_GB2312"/>
          <w:sz w:val="32"/>
          <w:szCs w:val="32"/>
        </w:rPr>
        <w:t>万元，增长的主要原因是</w:t>
      </w:r>
      <w:r>
        <w:rPr>
          <w:rFonts w:hint="eastAsia" w:ascii="Times New Roman" w:hAnsi="Times New Roman" w:eastAsia="仿宋_GB2312"/>
          <w:sz w:val="32"/>
          <w:szCs w:val="32"/>
          <w:lang w:val="en-US" w:eastAsia="zh-CN"/>
        </w:rPr>
        <w:t>疫情放开后业务开展增加公务接待开支</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0.20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0.03</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%，决算数小于预算数的主要原因是</w:t>
      </w:r>
      <w:bookmarkStart w:id="5" w:name="_GoBack"/>
      <w:r>
        <w:rPr>
          <w:rFonts w:hint="eastAsia" w:ascii="Times New Roman" w:hAnsi="Times New Roman" w:eastAsia="仿宋_GB2312"/>
          <w:sz w:val="32"/>
          <w:szCs w:val="32"/>
          <w:highlight w:val="none"/>
          <w:lang w:val="en-US" w:eastAsia="zh-CN"/>
        </w:rPr>
        <w:t>严格控制公务接待费在预算范围内，</w:t>
      </w:r>
      <w:r>
        <w:rPr>
          <w:rFonts w:hint="eastAsia" w:ascii="Times New Roman" w:hAnsi="Times New Roman" w:eastAsia="仿宋_GB2312"/>
          <w:sz w:val="32"/>
          <w:szCs w:val="32"/>
          <w:highlight w:val="none"/>
        </w:rPr>
        <w:t>与上年相比增加</w:t>
      </w:r>
      <w:r>
        <w:rPr>
          <w:rFonts w:hint="eastAsia" w:ascii="Times New Roman" w:hAnsi="Times New Roman" w:eastAsia="仿宋_GB2312"/>
          <w:sz w:val="32"/>
          <w:szCs w:val="32"/>
          <w:highlight w:val="none"/>
          <w:lang w:val="en-US" w:eastAsia="zh-CN"/>
        </w:rPr>
        <w:t>0.03</w:t>
      </w:r>
      <w:r>
        <w:rPr>
          <w:rFonts w:hint="eastAsia" w:ascii="Times New Roman" w:hAnsi="Times New Roman" w:eastAsia="仿宋_GB2312"/>
          <w:sz w:val="32"/>
          <w:szCs w:val="32"/>
          <w:highlight w:val="none"/>
        </w:rPr>
        <w:t>万元，增长的主要原因是</w:t>
      </w:r>
      <w:r>
        <w:rPr>
          <w:rFonts w:hint="eastAsia" w:ascii="Times New Roman" w:hAnsi="Times New Roman" w:eastAsia="仿宋_GB2312"/>
          <w:sz w:val="32"/>
          <w:szCs w:val="32"/>
          <w:highlight w:val="none"/>
          <w:lang w:val="en-US" w:eastAsia="zh-CN"/>
        </w:rPr>
        <w:t>疫情放开后业务开展增加公务接待开支</w:t>
      </w:r>
      <w:r>
        <w:rPr>
          <w:rFonts w:hint="eastAsia" w:ascii="Times New Roman" w:hAnsi="Times New Roman" w:eastAsia="仿宋_GB2312"/>
          <w:sz w:val="32"/>
          <w:szCs w:val="32"/>
          <w:highlight w:val="none"/>
        </w:rPr>
        <w:t>。</w:t>
      </w:r>
    </w:p>
    <w:bookmarkEnd w:id="5"/>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0.03</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占</w:t>
      </w:r>
      <w:r>
        <w:rPr>
          <w:rFonts w:hint="eastAsia" w:ascii="Times New Roman" w:hAnsi="Times New Roman" w:eastAsia="仿宋_GB2312"/>
          <w:color w:val="auto"/>
          <w:sz w:val="32"/>
          <w:szCs w:val="32"/>
        </w:rPr>
        <w:t>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万元，公务用车购置费及运行维护费支出决算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0.03</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主要是业务交流</w:t>
      </w:r>
      <w:r>
        <w:rPr>
          <w:rFonts w:hint="eastAsia" w:ascii="Times New Roman" w:hAnsi="Times New Roman" w:eastAsia="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cstheme="minorBidi"/>
          <w:color w:val="auto"/>
          <w:kern w:val="2"/>
          <w:sz w:val="32"/>
          <w:szCs w:val="32"/>
          <w:lang w:val="en-US" w:eastAsia="zh-CN" w:bidi="ar-SA"/>
        </w:rPr>
        <w:t>本单位无政府性基金收支。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2023年本部门开支会议费0.28万元，用于召开非主要农作物品种登记材料专家审核会议，人数11人，内容为登记申请材料审核与修改；2023湖南省品种试验方案审核会，人数16人，内容：试验方案的审核与修改；开支培训费0.33万元，用于开展省直事业单位人员培训，人数11人，内容为事业单位人员培训；未举办节庆、晚会、论坛、赛事活动。</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sz w:val="32"/>
          <w:szCs w:val="32"/>
        </w:rPr>
        <w:t>共有车辆</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中心</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1.运行成本</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基本支出情况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2023年度基本支出预算345.55万元，基本支出决算数为303.50万元。其中人员经费278.42万元、日常公用经费25.09万元。本年基本支出结余42.05万元。</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2023年度项目支出年初结余50.64万元，全年项目支出预算数为268.18万元。</w:t>
      </w:r>
    </w:p>
    <w:p>
      <w:pPr>
        <w:pageBreakBefore w:val="0"/>
        <w:kinsoku/>
        <w:wordWrap/>
        <w:overflowPunct/>
        <w:topLinePunct w:val="0"/>
        <w:bidi w:val="0"/>
        <w:spacing w:line="360" w:lineRule="auto"/>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决算数为214.02万元，年末结余54.17万元。其中业务工作专项187.83万元，主要用于农作物品种试验、品种区试技术方面的支出；省级专项26.19万元，其中9万元用于早稻集中育秧经费支出，16.59万元为农作物、畜禽种业安全监管专项，为2022结转项目；0.5万元为重要农产品稳产保供(市县)项目，主要是省级农作物、畜禽种业安全监管资金。</w:t>
      </w:r>
    </w:p>
    <w:p>
      <w:pPr>
        <w:keepNext w:val="0"/>
        <w:keepLines w:val="0"/>
        <w:pageBreakBefore w:val="0"/>
        <w:kinsoku/>
        <w:wordWrap/>
        <w:overflowPunct/>
        <w:topLinePunct w:val="0"/>
        <w:bidi w:val="0"/>
        <w:spacing w:line="360" w:lineRule="auto"/>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2、管理效率</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w:t>
      </w:r>
      <w:r>
        <w:rPr>
          <w:rFonts w:hint="default" w:ascii="仿宋" w:hAnsi="仿宋" w:eastAsia="仿宋"/>
          <w:sz w:val="32"/>
          <w:szCs w:val="32"/>
          <w:lang w:val="en-US" w:eastAsia="zh-CN"/>
        </w:rPr>
        <w:t>组织开展组织生活会和理论学习</w:t>
      </w:r>
      <w:r>
        <w:rPr>
          <w:rFonts w:hint="eastAsia" w:ascii="仿宋" w:hAnsi="仿宋" w:eastAsia="仿宋"/>
          <w:sz w:val="32"/>
          <w:szCs w:val="32"/>
          <w:lang w:val="en-US" w:eastAsia="zh-CN"/>
        </w:rPr>
        <w:t>。按照联合支部工作计划安排，参加了1次组织生活会、1次专题民主组织生活会和9次集中学习。根据厅机关党委的要求，对发展党员流程不规范问题再次补充完善资料。</w:t>
      </w:r>
    </w:p>
    <w:p>
      <w:pPr>
        <w:snapToGrid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w:t>
      </w:r>
      <w:r>
        <w:rPr>
          <w:rFonts w:hint="default" w:ascii="仿宋" w:hAnsi="仿宋" w:eastAsia="仿宋"/>
          <w:sz w:val="32"/>
          <w:szCs w:val="32"/>
          <w:lang w:val="en-US" w:eastAsia="zh-CN"/>
        </w:rPr>
        <w:t>积极参与文明创建活动</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w:t>
      </w:r>
      <w:r>
        <w:rPr>
          <w:rFonts w:hint="default" w:ascii="仿宋" w:hAnsi="仿宋" w:eastAsia="仿宋"/>
          <w:sz w:val="32"/>
          <w:szCs w:val="32"/>
          <w:lang w:val="en-US" w:eastAsia="zh-CN"/>
        </w:rPr>
        <w:t>登记品种发证</w:t>
      </w:r>
      <w:r>
        <w:rPr>
          <w:rFonts w:hint="eastAsia" w:ascii="仿宋" w:hAnsi="仿宋" w:eastAsia="仿宋"/>
          <w:sz w:val="32"/>
          <w:szCs w:val="32"/>
          <w:lang w:val="en-US" w:eastAsia="zh-CN"/>
        </w:rPr>
        <w:t>62个。2023年已收到登记证书62个，其中，辣椒39个、油菜8个、茶树7个、甜瓜5个、番茄2个、西瓜1个。</w:t>
      </w:r>
    </w:p>
    <w:p>
      <w:pPr>
        <w:snapToGrid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3、履职效能</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圆满完成各项人事工作、财务工作等。完成了2022年度考核工作；完成了一人次的岗位异动和工资异动；完成了一人退休手续的办理；完成了薪级工资正常晋级。完成了工资福利和事业单位人员统计等各项工资人事统计；完成了机关事保、医保、工伤保险和失业保险的年审；完成了2022年度事业单位法人年度报告。组织开展2023年度事业单位工作人员线上培训工作。完成了湖南人社网上服务大厅人事人才、社保模块核对信息及注册使。完成2023年度厅属事业单位公开招聘报名人员资格审查和准考证发放工作。</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加强财务核算管理。合理预算，严格按财政制度支出。完成了厅财务处布置的预决算、审计、结余结转资金清理、涉农项目资金分配审批治理等各项自查清查工作，项目转移支付平台项目申报等各项工作。组织人员对中心固定资产进行清理，对已超过使用年限且不能使用的固定资产按国有资产处置流程进行报废处理。</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（2）圆满完成各项常规实验和比较实验。</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今年省级主要农作物品种试验共完成149个水稻、玉米的品种试验工作。通过DNA指纹检测，7个水稻品种、1个玉米品种因位点差异数未达到规定标准而终止试验；通过转基因检测，未发现转基因品种参加试验。实际完成试验的水稻、玉米品种为141个。中心永安试验基地除承担省级早稻、中稻迟熟二组、晚稻区域试验，水稻品种抽穗期田间温度适应性试验等常规试验外，还开展了中稻迟熟二组机插秧区域试验研究、镉低积累水稻品种大田验证试验、节水抗旱稻品种比较试验等试验。</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3、时效指标</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w:t>
      </w:r>
      <w:r>
        <w:rPr>
          <w:rFonts w:hint="default" w:ascii="仿宋" w:hAnsi="仿宋" w:eastAsia="仿宋"/>
          <w:sz w:val="32"/>
          <w:szCs w:val="32"/>
          <w:lang w:val="en-US" w:eastAsia="zh-CN"/>
        </w:rPr>
        <w:t>完成《2022年湖南省农作物区域试验品种报告》</w:t>
      </w:r>
      <w:r>
        <w:rPr>
          <w:rFonts w:hint="eastAsia" w:ascii="仿宋" w:hAnsi="仿宋" w:eastAsia="仿宋"/>
          <w:sz w:val="32"/>
          <w:szCs w:val="32"/>
          <w:lang w:val="en-US" w:eastAsia="zh-CN"/>
        </w:rPr>
        <w:t>。参与由省农作物品种审定委员会办公室牵头组织的试验考察。按试验进度分两批完成对试验点的试验经费拨付工作，确保试验顺利开展。参加了全省早稻联合体、绿色通道、低镉试验总结审核会议，对各个通道的试验总结进行审查审核。完成《2022年湖南省农作物区域试验品种报告》的编辑工作，于8月完成印刷并存档。</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w:t>
      </w:r>
      <w:r>
        <w:rPr>
          <w:rFonts w:hint="default" w:ascii="仿宋" w:hAnsi="仿宋" w:eastAsia="仿宋"/>
          <w:sz w:val="32"/>
          <w:szCs w:val="32"/>
          <w:lang w:val="en-US" w:eastAsia="zh-CN"/>
        </w:rPr>
        <w:t>完成“第二十四批”</w:t>
      </w:r>
      <w:r>
        <w:rPr>
          <w:rFonts w:hint="eastAsia" w:ascii="仿宋" w:hAnsi="仿宋" w:eastAsia="仿宋"/>
          <w:sz w:val="32"/>
          <w:szCs w:val="32"/>
          <w:lang w:val="en-US" w:eastAsia="zh-CN"/>
        </w:rPr>
        <w:t>申请</w:t>
      </w:r>
      <w:r>
        <w:rPr>
          <w:rFonts w:hint="default" w:ascii="仿宋" w:hAnsi="仿宋" w:eastAsia="仿宋"/>
          <w:sz w:val="32"/>
          <w:szCs w:val="32"/>
          <w:lang w:val="en-US" w:eastAsia="zh-CN"/>
        </w:rPr>
        <w:t>登记品种的受理</w:t>
      </w:r>
      <w:r>
        <w:rPr>
          <w:rFonts w:hint="eastAsia" w:ascii="仿宋" w:hAnsi="仿宋" w:eastAsia="仿宋"/>
          <w:sz w:val="32"/>
          <w:szCs w:val="32"/>
          <w:lang w:val="en-US" w:eastAsia="zh-CN"/>
        </w:rPr>
        <w:t>和审核。今年3月完成“第二十四批”20个辣椒、西瓜申请登记品种的受理和省级初步审查，纸质材料归档，办理厅文后报农业农村部审批。</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w:t>
      </w:r>
      <w:r>
        <w:rPr>
          <w:rFonts w:hint="default" w:ascii="仿宋" w:hAnsi="仿宋" w:eastAsia="仿宋"/>
          <w:sz w:val="32"/>
          <w:szCs w:val="32"/>
          <w:lang w:val="en-US" w:eastAsia="zh-CN"/>
        </w:rPr>
        <w:t>完成“第二十五批”</w:t>
      </w:r>
      <w:r>
        <w:rPr>
          <w:rFonts w:hint="eastAsia" w:ascii="仿宋" w:hAnsi="仿宋" w:eastAsia="仿宋"/>
          <w:sz w:val="32"/>
          <w:szCs w:val="32"/>
          <w:lang w:val="en-US" w:eastAsia="zh-CN"/>
        </w:rPr>
        <w:t>申请</w:t>
      </w:r>
      <w:r>
        <w:rPr>
          <w:rFonts w:hint="default" w:ascii="仿宋" w:hAnsi="仿宋" w:eastAsia="仿宋"/>
          <w:sz w:val="32"/>
          <w:szCs w:val="32"/>
          <w:lang w:val="en-US" w:eastAsia="zh-CN"/>
        </w:rPr>
        <w:t>登记品种的受理</w:t>
      </w:r>
      <w:r>
        <w:rPr>
          <w:rFonts w:hint="eastAsia" w:ascii="仿宋" w:hAnsi="仿宋" w:eastAsia="仿宋"/>
          <w:sz w:val="32"/>
          <w:szCs w:val="32"/>
          <w:lang w:val="en-US" w:eastAsia="zh-CN"/>
        </w:rPr>
        <w:t>和审核。今年11月完成“第二十五批”67个油菜、茶树、辣椒等作物申请登记品种的受理和省级初步审查，纸质材料归档，办理厅文后报农业农村部审批。</w:t>
      </w:r>
    </w:p>
    <w:p>
      <w:pPr>
        <w:snapToGrid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b/>
          <w:bCs/>
          <w:sz w:val="32"/>
          <w:szCs w:val="32"/>
          <w:lang w:val="en-US" w:eastAsia="zh-CN"/>
        </w:rPr>
        <w:t>4、</w:t>
      </w:r>
      <w:r>
        <w:rPr>
          <w:rFonts w:hint="eastAsia" w:ascii="仿宋" w:hAnsi="仿宋" w:eastAsia="仿宋"/>
          <w:sz w:val="32"/>
          <w:szCs w:val="32"/>
          <w:lang w:val="en-US" w:eastAsia="zh-CN"/>
        </w:rPr>
        <w:t>社会效应</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省级主要农作物品种试验共完成149个水稻、玉米的品种试验工作。通过DNA指纹检测，7个水稻品种、1个玉米品种因位点差异数未达到规定标准而终止试验；通过转基因检测，未发现转基因品种参加试验。实际完成试验的水稻、玉米品种为141个。</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完成22个油菜已登记品种和25个油菜辣椒已登记品种符合性验证试验工作。</w:t>
      </w:r>
    </w:p>
    <w:p>
      <w:pPr>
        <w:numPr>
          <w:ilvl w:val="0"/>
          <w:numId w:val="3"/>
        </w:num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可持续发展能车</w:t>
      </w:r>
    </w:p>
    <w:p>
      <w:pPr>
        <w:numPr>
          <w:ilvl w:val="0"/>
          <w:numId w:val="0"/>
        </w:num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（1）早稻集中育秧工作。从3月10日起，中心在人员紧张的情况下抽调3人，参加全省早稻集中育秧调研指导工作。指导工作结束后又参加了全省早稻、晚稻生产面积核查工作，按时完成各项工作任务。</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（2）参加了厅种业管理处组织的镉低积累水稻品种“臻两优8612”推广任务完成情况的督导工作，对石门县、汉寿县、赫山区“臻两优8612”推广进度</w:t>
      </w:r>
      <w:r>
        <w:rPr>
          <w:rFonts w:hint="eastAsia" w:ascii="仿宋" w:hAnsi="仿宋" w:eastAsia="仿宋"/>
          <w:sz w:val="32"/>
          <w:szCs w:val="32"/>
        </w:rPr>
        <w:t>，种子调度完成情况进行了调研督导。</w:t>
      </w:r>
    </w:p>
    <w:p>
      <w:pPr>
        <w:snapToGrid w:val="0"/>
        <w:spacing w:line="520" w:lineRule="exact"/>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6、服务对象满意度</w:t>
      </w:r>
    </w:p>
    <w:p>
      <w:pPr>
        <w:snapToGrid w:val="0"/>
        <w:spacing w:line="52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社会公众或服务对象的满意程度</w:t>
      </w:r>
      <w:r>
        <w:rPr>
          <w:rFonts w:hint="eastAsia" w:ascii="仿宋" w:hAnsi="仿宋" w:eastAsia="仿宋"/>
          <w:sz w:val="32"/>
          <w:szCs w:val="32"/>
          <w:lang w:val="en-US" w:eastAsia="zh-CN"/>
        </w:rPr>
        <w:t>96%</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存在的问题：全年预算执行率84.32%，预算执行率偏低的原因一是部分经费下达时间较迟，二是个别项目跨两年实施。</w:t>
      </w: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4"/>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rPr>
          <w:sz w:val="72"/>
          <w:szCs w:val="72"/>
        </w:rPr>
      </w:pPr>
      <w:r>
        <w:rPr>
          <w:sz w:val="72"/>
          <w:szCs w:val="72"/>
        </w:rPr>
        <w:br w:type="page"/>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2023年度部门(单位)整体支出绩效自评报告。</w:t>
      </w:r>
    </w:p>
    <w:p>
      <w:pPr>
        <w:pStyle w:val="4"/>
        <w:pageBreakBefore w:val="0"/>
        <w:kinsoku/>
        <w:wordWrap/>
        <w:overflowPunct/>
        <w:topLinePunct w:val="0"/>
        <w:bidi w:val="0"/>
        <w:spacing w:line="360" w:lineRule="auto"/>
        <w:textAlignment w:val="auto"/>
        <w:rPr>
          <w:spacing w:val="-8"/>
        </w:rPr>
      </w:pPr>
      <w:r>
        <w:rPr>
          <w:rFonts w:hint="eastAsia"/>
          <w:spacing w:val="-8"/>
          <w:lang w:val="en-US" w:eastAsia="zh-CN"/>
        </w:rPr>
        <w:t>2023</w:t>
      </w:r>
      <w:r>
        <w:rPr>
          <w:spacing w:val="-8"/>
        </w:rPr>
        <w:t>年度</w:t>
      </w:r>
      <w:r>
        <w:rPr>
          <w:rFonts w:hint="eastAsia"/>
          <w:spacing w:val="-8"/>
          <w:lang w:val="en-US" w:eastAsia="zh-CN"/>
        </w:rPr>
        <w:t>湖南省农作物良种引进示范中心</w:t>
      </w:r>
      <w:r>
        <w:rPr>
          <w:spacing w:val="-8"/>
        </w:rPr>
        <w:t>整体支出绩效自评报告</w:t>
      </w:r>
    </w:p>
    <w:p>
      <w:pPr>
        <w:pStyle w:val="5"/>
        <w:pageBreakBefore w:val="0"/>
        <w:kinsoku/>
        <w:wordWrap/>
        <w:overflowPunct/>
        <w:topLinePunct w:val="0"/>
        <w:bidi w:val="0"/>
        <w:spacing w:line="360" w:lineRule="auto"/>
        <w:ind w:firstLine="640"/>
        <w:textAlignment w:val="auto"/>
      </w:pPr>
    </w:p>
    <w:p>
      <w:pPr>
        <w:pStyle w:val="5"/>
        <w:pageBreakBefore w:val="0"/>
        <w:numPr>
          <w:ilvl w:val="0"/>
          <w:numId w:val="4"/>
        </w:numPr>
        <w:kinsoku/>
        <w:wordWrap/>
        <w:overflowPunct/>
        <w:topLinePunct w:val="0"/>
        <w:bidi w:val="0"/>
        <w:spacing w:line="360" w:lineRule="auto"/>
        <w:ind w:firstLine="64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单位基本情况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1.主要职能。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在省种子管理局领导下制订省级农作物新品种区域试验方案和工作计划；承担国家和省级农业行政主管部门下达的农作物新品种区域试验任务，完成省级区域试验数据资料的汇总工作；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负责国外、省外良种引进的隔离试种、试验工作；负责湖南省国家级农作物新品种区试基地的管理。</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2．人员情况，中心编制12人，现有在编在职人员9人。</w:t>
      </w:r>
    </w:p>
    <w:p>
      <w:pPr>
        <w:pStyle w:val="5"/>
        <w:pageBreakBefore w:val="0"/>
        <w:kinsoku/>
        <w:wordWrap/>
        <w:overflowPunct/>
        <w:topLinePunct w:val="0"/>
        <w:bidi w:val="0"/>
        <w:spacing w:line="360" w:lineRule="auto"/>
        <w:ind w:firstLine="64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二、一般公共预算支出情况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2023年度基本支出预算345.55万元，基本支出决算数为303.50万元。其中人员经费278.42万元、日常公用经费25.09万元。本年基本支出结余42.05万元。</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（二）项目支出情况</w:t>
      </w:r>
    </w:p>
    <w:p>
      <w:pPr>
        <w:pageBreakBefore w:val="0"/>
        <w:kinsoku/>
        <w:wordWrap/>
        <w:overflowPunct/>
        <w:topLinePunct w:val="0"/>
        <w:bidi w:val="0"/>
        <w:spacing w:line="36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2023年度项目支出年初结余50.64万元，全年项目支出预算数为268.18万元。</w:t>
      </w:r>
    </w:p>
    <w:p>
      <w:pPr>
        <w:pageBreakBefore w:val="0"/>
        <w:kinsoku/>
        <w:wordWrap/>
        <w:overflowPunct/>
        <w:topLinePunct w:val="0"/>
        <w:bidi w:val="0"/>
        <w:spacing w:line="360" w:lineRule="auto"/>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决算数为214.02万元，年末结余54.17万元。其中业务工作专项187.83万元，主要用于农作物品种试验、品种区试技术方面的支出；省级专项26.19万元，其中9万元用于早稻集中育秧经费支出，16.59万元为农作物、畜禽种业安全监管专项，为2022结转项目；0.5万元为重要农产品稳产保供(市县)项目，主要是省级农作物、畜禽种业安全监管资金。</w:t>
      </w:r>
    </w:p>
    <w:p>
      <w:pPr>
        <w:pStyle w:val="5"/>
        <w:pageBreakBefore w:val="0"/>
        <w:kinsoku/>
        <w:wordWrap/>
        <w:overflowPunct/>
        <w:topLinePunct w:val="0"/>
        <w:bidi w:val="0"/>
        <w:spacing w:line="360" w:lineRule="auto"/>
        <w:ind w:firstLine="640"/>
        <w:textAlignment w:val="auto"/>
        <w:rPr>
          <w:rFonts w:hint="eastAsia" w:ascii="华文细黑" w:hAnsi="华文细黑" w:eastAsia="华文细黑" w:cs="华文细黑"/>
          <w:sz w:val="32"/>
          <w:szCs w:val="32"/>
        </w:rPr>
      </w:pPr>
      <w:r>
        <w:rPr>
          <w:rFonts w:hint="eastAsia" w:ascii="华文细黑" w:hAnsi="华文细黑" w:eastAsia="华文细黑" w:cs="华文细黑"/>
          <w:sz w:val="32"/>
          <w:szCs w:val="32"/>
        </w:rPr>
        <w:t>三、部门整体支出绩效情况</w:t>
      </w:r>
    </w:p>
    <w:p>
      <w:pPr>
        <w:keepNext w:val="0"/>
        <w:keepLines w:val="0"/>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 w:hAnsi="仿宋" w:eastAsia="仿宋"/>
          <w:sz w:val="32"/>
          <w:szCs w:val="32"/>
        </w:rPr>
        <w:t>我中心按照省种子管理服务站的部署和中心年度工作计划，中心各部门认真扎实地开展各项工作，按计划完成年度工作任务。</w:t>
      </w:r>
      <w:r>
        <w:rPr>
          <w:rFonts w:hint="eastAsia" w:ascii="仿宋_GB2312" w:hAnsi="仿宋_GB2312" w:eastAsia="仿宋_GB2312" w:cs="仿宋_GB2312"/>
          <w:color w:val="auto"/>
          <w:sz w:val="32"/>
          <w:szCs w:val="32"/>
          <w:lang w:val="en-US" w:eastAsia="zh-CN"/>
        </w:rPr>
        <w:t>根据《湖南省财政厅关于开展2023年度部门整体支出绩效自评工作的通知》相关规定，在基础数据分析及处理的基础上，良种引进示范中心2023年度部门整体支出绩效评价综合得分为98.43分，其</w:t>
      </w:r>
      <w:r>
        <w:rPr>
          <w:rFonts w:hint="eastAsia" w:ascii="仿宋_GB2312" w:hAnsi="仿宋_GB2312" w:eastAsia="仿宋_GB2312" w:cs="仿宋_GB2312"/>
          <w:color w:val="auto"/>
          <w:sz w:val="32"/>
          <w:szCs w:val="32"/>
          <w:highlight w:val="none"/>
          <w:lang w:val="en-US" w:eastAsia="zh-CN"/>
        </w:rPr>
        <w:t>中预算执行率得分8.43分、产出指标类得分50分、效益指标类得</w:t>
      </w:r>
      <w:r>
        <w:rPr>
          <w:rFonts w:hint="eastAsia" w:ascii="仿宋_GB2312" w:hAnsi="仿宋_GB2312" w:eastAsia="仿宋_GB2312" w:cs="仿宋_GB2312"/>
          <w:color w:val="auto"/>
          <w:sz w:val="32"/>
          <w:szCs w:val="32"/>
          <w:lang w:val="en-US" w:eastAsia="zh-CN"/>
        </w:rPr>
        <w:t>分30分、满意度指标得分10分。主要绩效情况如下：</w:t>
      </w:r>
    </w:p>
    <w:p>
      <w:pPr>
        <w:keepNext w:val="0"/>
        <w:keepLines w:val="0"/>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b/>
          <w:bCs/>
          <w:color w:val="auto"/>
          <w:sz w:val="32"/>
          <w:szCs w:val="32"/>
          <w:lang w:val="en-US" w:eastAsia="zh-CN"/>
        </w:rPr>
      </w:pPr>
      <w:bookmarkStart w:id="2" w:name="_Toc15543"/>
      <w:r>
        <w:rPr>
          <w:rFonts w:hint="eastAsia" w:ascii="仿宋_GB2312" w:hAnsi="仿宋_GB2312" w:eastAsia="仿宋_GB2312" w:cs="仿宋_GB2312"/>
          <w:b/>
          <w:bCs/>
          <w:color w:val="auto"/>
          <w:sz w:val="32"/>
          <w:szCs w:val="32"/>
          <w:lang w:val="en-US" w:eastAsia="zh-CN"/>
        </w:rPr>
        <w:t>（一）预算执行情况</w:t>
      </w:r>
      <w:bookmarkEnd w:id="2"/>
    </w:p>
    <w:p>
      <w:pPr>
        <w:keepNext w:val="0"/>
        <w:keepLines w:val="0"/>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2023年全年预算数613.73万元，决算数517.52万元，预算执行率84.32%。故该指标得分为8.43分。</w:t>
      </w:r>
    </w:p>
    <w:p>
      <w:pPr>
        <w:keepNext w:val="0"/>
        <w:keepLines w:val="0"/>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b/>
          <w:bCs/>
          <w:color w:val="auto"/>
          <w:sz w:val="32"/>
          <w:szCs w:val="32"/>
          <w:lang w:val="en-US" w:eastAsia="zh-CN"/>
        </w:rPr>
      </w:pPr>
      <w:bookmarkStart w:id="3" w:name="_Toc30959"/>
      <w:r>
        <w:rPr>
          <w:rFonts w:hint="eastAsia" w:ascii="仿宋_GB2312" w:hAnsi="仿宋_GB2312" w:eastAsia="仿宋_GB2312" w:cs="仿宋_GB2312"/>
          <w:b/>
          <w:bCs/>
          <w:color w:val="auto"/>
          <w:sz w:val="32"/>
          <w:szCs w:val="32"/>
          <w:lang w:val="en-US" w:eastAsia="zh-CN"/>
        </w:rPr>
        <w:t>（二）产出指标绩效情况</w:t>
      </w:r>
      <w:bookmarkEnd w:id="3"/>
    </w:p>
    <w:p>
      <w:pPr>
        <w:keepNext w:val="0"/>
        <w:keepLines w:val="0"/>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lang w:val="en-US" w:eastAsia="zh-CN"/>
        </w:rPr>
      </w:pPr>
      <w:bookmarkStart w:id="4" w:name="_Toc6959"/>
      <w:r>
        <w:rPr>
          <w:rFonts w:hint="eastAsia" w:ascii="仿宋_GB2312" w:hAnsi="仿宋_GB2312" w:eastAsia="仿宋_GB2312" w:cs="仿宋_GB2312"/>
          <w:color w:val="auto"/>
          <w:sz w:val="32"/>
          <w:szCs w:val="32"/>
          <w:lang w:val="en-US" w:eastAsia="zh-CN"/>
        </w:rPr>
        <w:t>1、数量指标</w:t>
      </w:r>
      <w:bookmarkEnd w:id="4"/>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w:t>
      </w:r>
      <w:r>
        <w:rPr>
          <w:rFonts w:hint="default" w:ascii="仿宋" w:hAnsi="仿宋" w:eastAsia="仿宋"/>
          <w:sz w:val="32"/>
          <w:szCs w:val="32"/>
          <w:lang w:val="en-US" w:eastAsia="zh-CN"/>
        </w:rPr>
        <w:t>组织开展组织生活会和理论学习</w:t>
      </w:r>
      <w:r>
        <w:rPr>
          <w:rFonts w:hint="eastAsia" w:ascii="仿宋" w:hAnsi="仿宋" w:eastAsia="仿宋"/>
          <w:sz w:val="32"/>
          <w:szCs w:val="32"/>
          <w:lang w:val="en-US" w:eastAsia="zh-CN"/>
        </w:rPr>
        <w:t>。按照联合支部工作计划安排，参加了1次组织生活会、1次专题民主组织生活会和9次集中学习。根据厅机关党委的要求，对发展党员流程不规范问题再次补充完善资料。</w:t>
      </w:r>
    </w:p>
    <w:p>
      <w:pPr>
        <w:snapToGrid w:val="0"/>
        <w:spacing w:line="52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w:t>
      </w:r>
      <w:r>
        <w:rPr>
          <w:rFonts w:hint="default" w:ascii="仿宋" w:hAnsi="仿宋" w:eastAsia="仿宋"/>
          <w:sz w:val="32"/>
          <w:szCs w:val="32"/>
          <w:lang w:val="en-US" w:eastAsia="zh-CN"/>
        </w:rPr>
        <w:t>积极参与文明创建活动</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w:t>
      </w:r>
      <w:r>
        <w:rPr>
          <w:rFonts w:hint="default" w:ascii="仿宋" w:hAnsi="仿宋" w:eastAsia="仿宋"/>
          <w:sz w:val="32"/>
          <w:szCs w:val="32"/>
          <w:lang w:val="en-US" w:eastAsia="zh-CN"/>
        </w:rPr>
        <w:t>登记品种发证</w:t>
      </w:r>
      <w:r>
        <w:rPr>
          <w:rFonts w:hint="eastAsia" w:ascii="仿宋" w:hAnsi="仿宋" w:eastAsia="仿宋"/>
          <w:sz w:val="32"/>
          <w:szCs w:val="32"/>
          <w:lang w:val="en-US" w:eastAsia="zh-CN"/>
        </w:rPr>
        <w:t>62个。2023年已收到登记证书62个，其中，辣椒39个、油菜8个、茶树7个、甜瓜5个、番茄2个、西瓜1个。</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2、质量指标</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圆满完成各项人事工作、财务工作等。完成了2022年度考核工作；完成了一人次的岗位异动和工资异动；完成了一人退休手续的办理；完成了薪级工资正常晋级。完成了工资福利和事业单位人员统计等各项工资人事统计；完成了机关事保、医保、工伤保险和失业保险的年审；完成了2022年度事业单位法人年度报告。组织开展2023年度事业单位工作人员线上培训工作。完成了湖南人社网上服务大厅人事人才、社保模块核对信息及注册使。完成2023年度厅属事业单位公开招聘报名人员资格审查和准考证发放工作。</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加强财务核算管理。合理预算，严格按财政制度支出。完成了厅财务处布置的预决算、审计、结余结转资金清理、涉农项目资金分配审批治理等各项自查清查工作，项目转移支付平台项目申报等各项工作。组织人员对中心固定资产进行清理，对已超过使用年限且不能使用的固定资产按国有资产处置流程进行报废处理。</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（2）圆满完成各项常规实验和比较实验。</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今年省级主要农作物品种试验共完成149个水稻、玉米的品种试验工作。通过DNA指纹检测，7个水稻品种、1个玉米品种因位点差异数未达到规定标准而终止试验；通过转基因检测，未发现转基因品种参加试验。实际完成试验的水稻、玉米品种为141个。中心永安试验基地除承担省级早稻、中稻迟熟二组、晚稻区域试验，水稻品种抽穗期田间温度适应性试验等常规试验外，还开展了中稻迟熟二组机插秧区域试验研究、镉低积累水稻品种大田验证试验、节水抗旱稻品种比较试验等试验。</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3、时效指标</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w:t>
      </w:r>
      <w:r>
        <w:rPr>
          <w:rFonts w:hint="default" w:ascii="仿宋" w:hAnsi="仿宋" w:eastAsia="仿宋"/>
          <w:sz w:val="32"/>
          <w:szCs w:val="32"/>
          <w:lang w:val="en-US" w:eastAsia="zh-CN"/>
        </w:rPr>
        <w:t>完成《2022年湖南省农作物区域试验品种报告》</w:t>
      </w:r>
      <w:r>
        <w:rPr>
          <w:rFonts w:hint="eastAsia" w:ascii="仿宋" w:hAnsi="仿宋" w:eastAsia="仿宋"/>
          <w:sz w:val="32"/>
          <w:szCs w:val="32"/>
          <w:lang w:val="en-US" w:eastAsia="zh-CN"/>
        </w:rPr>
        <w:t>。参与由省农作物品种审定委员会办公室牵头组织的试验考察。按试验进度分两批完成对试验点的试验经费拨付工作，确保试验顺利开展。参加了全省早稻联合体、绿色通道、低镉试验总结审核会议，对各个通道的试验总结进行审查审核。完成《2022年湖南省农作物区域试验品种报告》的编辑工作，于8月完成印刷并存档。</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w:t>
      </w:r>
      <w:r>
        <w:rPr>
          <w:rFonts w:hint="default" w:ascii="仿宋" w:hAnsi="仿宋" w:eastAsia="仿宋"/>
          <w:sz w:val="32"/>
          <w:szCs w:val="32"/>
          <w:lang w:val="en-US" w:eastAsia="zh-CN"/>
        </w:rPr>
        <w:t>完成“第二十四批”</w:t>
      </w:r>
      <w:r>
        <w:rPr>
          <w:rFonts w:hint="eastAsia" w:ascii="仿宋" w:hAnsi="仿宋" w:eastAsia="仿宋"/>
          <w:sz w:val="32"/>
          <w:szCs w:val="32"/>
          <w:lang w:val="en-US" w:eastAsia="zh-CN"/>
        </w:rPr>
        <w:t>申请</w:t>
      </w:r>
      <w:r>
        <w:rPr>
          <w:rFonts w:hint="default" w:ascii="仿宋" w:hAnsi="仿宋" w:eastAsia="仿宋"/>
          <w:sz w:val="32"/>
          <w:szCs w:val="32"/>
          <w:lang w:val="en-US" w:eastAsia="zh-CN"/>
        </w:rPr>
        <w:t>登记品种的受理</w:t>
      </w:r>
      <w:r>
        <w:rPr>
          <w:rFonts w:hint="eastAsia" w:ascii="仿宋" w:hAnsi="仿宋" w:eastAsia="仿宋"/>
          <w:sz w:val="32"/>
          <w:szCs w:val="32"/>
          <w:lang w:val="en-US" w:eastAsia="zh-CN"/>
        </w:rPr>
        <w:t>和审核。今年3月完成“第二十四批”20个辣椒、西瓜申请登记品种的受理和省级初步审查，纸质材料归档，办理厅文后报农业农村部审批。</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w:t>
      </w:r>
      <w:r>
        <w:rPr>
          <w:rFonts w:hint="default" w:ascii="仿宋" w:hAnsi="仿宋" w:eastAsia="仿宋"/>
          <w:sz w:val="32"/>
          <w:szCs w:val="32"/>
          <w:lang w:val="en-US" w:eastAsia="zh-CN"/>
        </w:rPr>
        <w:t>完成“第二十五批”</w:t>
      </w:r>
      <w:r>
        <w:rPr>
          <w:rFonts w:hint="eastAsia" w:ascii="仿宋" w:hAnsi="仿宋" w:eastAsia="仿宋"/>
          <w:sz w:val="32"/>
          <w:szCs w:val="32"/>
          <w:lang w:val="en-US" w:eastAsia="zh-CN"/>
        </w:rPr>
        <w:t>申请</w:t>
      </w:r>
      <w:r>
        <w:rPr>
          <w:rFonts w:hint="default" w:ascii="仿宋" w:hAnsi="仿宋" w:eastAsia="仿宋"/>
          <w:sz w:val="32"/>
          <w:szCs w:val="32"/>
          <w:lang w:val="en-US" w:eastAsia="zh-CN"/>
        </w:rPr>
        <w:t>登记品种的受理</w:t>
      </w:r>
      <w:r>
        <w:rPr>
          <w:rFonts w:hint="eastAsia" w:ascii="仿宋" w:hAnsi="仿宋" w:eastAsia="仿宋"/>
          <w:sz w:val="32"/>
          <w:szCs w:val="32"/>
          <w:lang w:val="en-US" w:eastAsia="zh-CN"/>
        </w:rPr>
        <w:t>和审核。今年11月完成“第二十五批”67个油菜、茶树、辣椒等作物申请登记品种的受理和省级初步审查，纸质材料归档，办理厅文后报农业农村部审批。</w:t>
      </w:r>
    </w:p>
    <w:p>
      <w:pPr>
        <w:snapToGrid w:val="0"/>
        <w:spacing w:line="520" w:lineRule="exact"/>
        <w:ind w:firstLine="640"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（三）效益指标绩效情况</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1、社会效益指标</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省级主要农作物品种试验共完成149个水稻、玉米的品种试验工作。通过DNA指纹检测，7个水稻品种、1个玉米品种因位点差异数未达到规定标准而终止试验；通过转基因检测，未发现转基因品种参加试验。实际完成试验的水稻、玉米品种为141个。</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完成22个油菜已登记品种和25个油菜辣椒已登记品种符合性验证试验工作。</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2、生态效益指标</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参加了省种子站组织的“节水抗旱稻推广应用情况”调研活动，对常德地区相关品种推广应用情况、生产中遇到的问题等进行了走访调研。</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3、可持续影响指标</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（1）早稻集中育秧工作。从3月10日起，中心在人员紧张的情况下抽调3人，参加全省早稻集中育秧调研指导工作。指导工作结束后又参加了全省早稻、晚稻生产面积核查工作，按时完成各项工作任务。</w:t>
      </w:r>
    </w:p>
    <w:p>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（2）参加了厅种业管理处组织的镉低积累水稻品种“臻两优8612”推广任务完成情况的督导工作，对石门县、汉寿县、赫山区“臻两优8612”推广进度</w:t>
      </w:r>
      <w:r>
        <w:rPr>
          <w:rFonts w:hint="eastAsia" w:ascii="仿宋" w:hAnsi="仿宋" w:eastAsia="仿宋"/>
          <w:sz w:val="32"/>
          <w:szCs w:val="32"/>
        </w:rPr>
        <w:t>，种子调度完成情况进行了调研督导。</w:t>
      </w:r>
    </w:p>
    <w:p>
      <w:pPr>
        <w:snapToGrid w:val="0"/>
        <w:spacing w:line="520" w:lineRule="exact"/>
        <w:ind w:firstLine="640"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（四）满意度指标绩效情况</w:t>
      </w:r>
    </w:p>
    <w:p>
      <w:pPr>
        <w:snapToGrid w:val="0"/>
        <w:spacing w:line="520" w:lineRule="exact"/>
        <w:ind w:firstLine="640" w:firstLineChars="200"/>
        <w:rPr>
          <w:rFonts w:hint="default" w:ascii="仿宋" w:hAnsi="仿宋" w:eastAsia="仿宋"/>
          <w:sz w:val="32"/>
          <w:szCs w:val="32"/>
          <w:lang w:val="en-US" w:eastAsia="zh-CN"/>
        </w:rPr>
      </w:pPr>
      <w:r>
        <w:rPr>
          <w:rFonts w:hint="default" w:ascii="仿宋" w:hAnsi="仿宋" w:eastAsia="仿宋"/>
          <w:sz w:val="32"/>
          <w:szCs w:val="32"/>
          <w:lang w:val="en-US" w:eastAsia="zh-CN"/>
        </w:rPr>
        <w:t>社会公众或服务对象的满意程度</w:t>
      </w:r>
      <w:r>
        <w:rPr>
          <w:rFonts w:hint="eastAsia" w:ascii="仿宋" w:hAnsi="仿宋" w:eastAsia="仿宋"/>
          <w:sz w:val="32"/>
          <w:szCs w:val="32"/>
          <w:lang w:val="en-US" w:eastAsia="zh-CN"/>
        </w:rPr>
        <w:t>96%</w:t>
      </w:r>
    </w:p>
    <w:p>
      <w:pPr>
        <w:snapToGrid w:val="0"/>
        <w:spacing w:line="520" w:lineRule="exact"/>
        <w:ind w:firstLine="640" w:firstLineChars="200"/>
        <w:rPr>
          <w:rFonts w:hint="eastAsia" w:ascii="华文细黑" w:hAnsi="华文细黑" w:eastAsia="华文细黑" w:cs="华文细黑"/>
          <w:bCs/>
          <w:kern w:val="2"/>
          <w:sz w:val="32"/>
          <w:szCs w:val="32"/>
          <w:lang w:val="en-US" w:eastAsia="zh-CN" w:bidi="ar-SA"/>
        </w:rPr>
      </w:pPr>
      <w:r>
        <w:rPr>
          <w:rFonts w:hint="eastAsia" w:ascii="华文细黑" w:hAnsi="华文细黑" w:eastAsia="华文细黑" w:cs="华文细黑"/>
          <w:bCs/>
          <w:kern w:val="2"/>
          <w:sz w:val="32"/>
          <w:szCs w:val="32"/>
          <w:lang w:val="en-US" w:eastAsia="zh-CN" w:bidi="ar-SA"/>
        </w:rPr>
        <w:t>四、存在的问题及原因分析</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1、存在的问题：全年预算执行率84.32%，预算执行率偏低的原因一是部分经费下达时间较迟，二是个别项目跨两年实施。</w:t>
      </w:r>
    </w:p>
    <w:p>
      <w:pPr>
        <w:snapToGrid w:val="0"/>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2、改进措施：提高</w:t>
      </w:r>
      <w:r>
        <w:rPr>
          <w:rFonts w:hint="default" w:ascii="仿宋" w:hAnsi="仿宋" w:eastAsia="仿宋"/>
          <w:sz w:val="32"/>
          <w:szCs w:val="32"/>
          <w:lang w:val="en-US" w:eastAsia="zh-CN"/>
        </w:rPr>
        <w:t>预算编制水平，合理地、精准地、科学的编制预算</w:t>
      </w:r>
      <w:r>
        <w:rPr>
          <w:rFonts w:hint="eastAsia" w:ascii="仿宋" w:hAnsi="仿宋" w:eastAsia="仿宋"/>
          <w:sz w:val="32"/>
          <w:szCs w:val="32"/>
          <w:lang w:val="en-US" w:eastAsia="zh-CN"/>
        </w:rPr>
        <w:t>；业务科室应按照年初预算具体分解情况进行合理支出。中心定期对预算执行缓慢的科室进行通报，并要求其出具书面说明、及时提出改进措施。</w:t>
      </w:r>
    </w:p>
    <w:p>
      <w:pPr>
        <w:pStyle w:val="2"/>
        <w:rPr>
          <w:rFonts w:hint="eastAsia" w:ascii="仿宋" w:hAnsi="仿宋" w:eastAsia="仿宋"/>
          <w:sz w:val="32"/>
          <w:szCs w:val="32"/>
          <w:lang w:val="en-US" w:eastAsia="zh-CN"/>
        </w:rPr>
      </w:pPr>
    </w:p>
    <w:p>
      <w:pPr>
        <w:rPr>
          <w:rFonts w:hint="eastAsia" w:ascii="仿宋" w:hAnsi="仿宋" w:eastAsia="仿宋"/>
          <w:sz w:val="32"/>
          <w:szCs w:val="32"/>
          <w:lang w:val="en-US" w:eastAsia="zh-CN"/>
        </w:rPr>
      </w:pPr>
    </w:p>
    <w:p>
      <w:pPr>
        <w:pStyle w:val="2"/>
        <w:rPr>
          <w:rFonts w:hint="eastAsia" w:ascii="仿宋" w:hAnsi="仿宋" w:eastAsia="仿宋"/>
          <w:sz w:val="32"/>
          <w:szCs w:val="32"/>
          <w:lang w:val="en-US" w:eastAsia="zh-CN"/>
        </w:rPr>
      </w:pPr>
    </w:p>
    <w:p>
      <w:pPr>
        <w:rPr>
          <w:rFonts w:hint="eastAsia"/>
          <w:lang w:val="en-US" w:eastAsia="zh-CN"/>
        </w:rPr>
      </w:pPr>
    </w:p>
    <w:p>
      <w:pPr>
        <w:spacing w:after="120" w:afterLines="50" w:line="600" w:lineRule="exact"/>
        <w:jc w:val="center"/>
        <w:rPr>
          <w:rFonts w:hint="default" w:ascii="Times New Roman" w:hAnsi="Times New Roman" w:eastAsia="仿宋_GB2312" w:cs="Times New Roman"/>
          <w:color w:val="auto"/>
          <w:sz w:val="24"/>
          <w:highlight w:val="none"/>
        </w:rPr>
      </w:pPr>
      <w:r>
        <w:rPr>
          <w:rFonts w:hint="default" w:ascii="Times New Roman" w:hAnsi="Times New Roman" w:eastAsia="方正小标宋_GBK" w:cs="Times New Roman"/>
          <w:color w:val="auto"/>
          <w:sz w:val="36"/>
          <w:szCs w:val="36"/>
          <w:highlight w:val="none"/>
        </w:rPr>
        <w:t>202</w:t>
      </w:r>
      <w:r>
        <w:rPr>
          <w:rFonts w:hint="eastAsia" w:ascii="Times New Roman" w:hAnsi="Times New Roman" w:eastAsia="方正小标宋_GBK" w:cs="Times New Roman"/>
          <w:color w:val="auto"/>
          <w:sz w:val="36"/>
          <w:szCs w:val="36"/>
          <w:highlight w:val="none"/>
          <w:lang w:val="en-US" w:eastAsia="zh-CN"/>
        </w:rPr>
        <w:t>3</w:t>
      </w:r>
      <w:r>
        <w:rPr>
          <w:rFonts w:hint="default" w:ascii="Times New Roman" w:hAnsi="Times New Roman" w:eastAsia="方正小标宋_GBK" w:cs="Times New Roman"/>
          <w:color w:val="auto"/>
          <w:sz w:val="36"/>
          <w:szCs w:val="36"/>
          <w:highlight w:val="none"/>
        </w:rPr>
        <w:t>年</w:t>
      </w:r>
      <w:r>
        <w:rPr>
          <w:rFonts w:hint="eastAsia" w:ascii="Times New Roman" w:hAnsi="Times New Roman" w:eastAsia="方正小标宋_GBK" w:cs="Times New Roman"/>
          <w:color w:val="auto"/>
          <w:sz w:val="36"/>
          <w:szCs w:val="36"/>
          <w:highlight w:val="none"/>
          <w:lang w:eastAsia="zh-CN"/>
        </w:rPr>
        <w:t>度</w:t>
      </w:r>
      <w:r>
        <w:rPr>
          <w:rFonts w:hint="default" w:ascii="Times New Roman" w:hAnsi="Times New Roman" w:eastAsia="方正小标宋_GBK" w:cs="Times New Roman"/>
          <w:color w:val="auto"/>
          <w:sz w:val="36"/>
          <w:szCs w:val="36"/>
          <w:highlight w:val="none"/>
        </w:rPr>
        <w:t>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highlight w:val="none"/>
              </w:rPr>
            </w:pPr>
            <w:r>
              <w:rPr>
                <w:rFonts w:hint="default" w:ascii="Times New Roman" w:hAnsi="Times New Roman" w:eastAsia="仿宋_GB2312" w:cs="Times New Roman"/>
                <w:b/>
                <w:bCs/>
                <w:color w:val="auto"/>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highlight w:val="none"/>
              </w:rPr>
            </w:pPr>
            <w:r>
              <w:rPr>
                <w:rFonts w:hint="default" w:ascii="Times New Roman" w:hAnsi="Times New Roman" w:eastAsia="仿宋_GB2312" w:cs="Times New Roman"/>
                <w:b/>
                <w:bCs/>
                <w:color w:val="auto"/>
                <w:sz w:val="20"/>
                <w:szCs w:val="20"/>
                <w:highlight w:val="none"/>
              </w:rPr>
              <w:t>202</w:t>
            </w:r>
            <w:r>
              <w:rPr>
                <w:rFonts w:hint="eastAsia" w:ascii="Times New Roman" w:hAnsi="Times New Roman" w:eastAsia="仿宋_GB2312" w:cs="Times New Roman"/>
                <w:b/>
                <w:bCs/>
                <w:color w:val="auto"/>
                <w:sz w:val="20"/>
                <w:szCs w:val="20"/>
                <w:highlight w:val="none"/>
                <w:lang w:val="en-US" w:eastAsia="zh-CN"/>
              </w:rPr>
              <w:t>3</w:t>
            </w:r>
            <w:r>
              <w:rPr>
                <w:rFonts w:hint="default" w:ascii="Times New Roman" w:hAnsi="Times New Roman" w:eastAsia="仿宋_GB2312" w:cs="Times New Roman"/>
                <w:b/>
                <w:bCs/>
                <w:color w:val="auto"/>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highlight w:val="none"/>
              </w:rPr>
            </w:pPr>
            <w:r>
              <w:rPr>
                <w:rFonts w:hint="default" w:ascii="Times New Roman" w:hAnsi="Times New Roman" w:eastAsia="仿宋_GB2312" w:cs="Times New Roman"/>
                <w:b/>
                <w:bCs/>
                <w:color w:val="auto"/>
                <w:sz w:val="20"/>
                <w:szCs w:val="20"/>
                <w:highlight w:val="none"/>
              </w:rPr>
              <w:t>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12</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9</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rPr>
            </w:pPr>
            <w:r>
              <w:rPr>
                <w:rFonts w:hint="eastAsia" w:ascii="Times New Roman" w:hAnsi="Times New Roman" w:eastAsia="仿宋_GB2312" w:cs="Times New Roman"/>
                <w:color w:val="auto"/>
                <w:sz w:val="20"/>
                <w:szCs w:val="20"/>
                <w:highlight w:val="none"/>
                <w:lang w:val="en-US" w:eastAsia="zh-CN"/>
              </w:rPr>
              <w:t>75%</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highlight w:val="none"/>
              </w:rPr>
            </w:pPr>
            <w:r>
              <w:rPr>
                <w:rFonts w:hint="default" w:ascii="Times New Roman" w:hAnsi="Times New Roman" w:eastAsia="仿宋_GB2312" w:cs="Times New Roman"/>
                <w:b/>
                <w:bCs/>
                <w:color w:val="auto"/>
                <w:sz w:val="20"/>
                <w:szCs w:val="20"/>
                <w:highlight w:val="none"/>
              </w:rPr>
              <w:t>202</w:t>
            </w:r>
            <w:r>
              <w:rPr>
                <w:rFonts w:hint="eastAsia" w:ascii="Times New Roman" w:hAnsi="Times New Roman" w:eastAsia="仿宋_GB2312" w:cs="Times New Roman"/>
                <w:b/>
                <w:bCs/>
                <w:color w:val="auto"/>
                <w:sz w:val="20"/>
                <w:szCs w:val="20"/>
                <w:highlight w:val="none"/>
                <w:lang w:val="en-US" w:eastAsia="zh-CN"/>
              </w:rPr>
              <w:t>2</w:t>
            </w:r>
            <w:r>
              <w:rPr>
                <w:rFonts w:hint="default" w:ascii="Times New Roman" w:hAnsi="Times New Roman" w:eastAsia="仿宋_GB2312" w:cs="Times New Roman"/>
                <w:b/>
                <w:bCs/>
                <w:color w:val="auto"/>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highlight w:val="none"/>
              </w:rPr>
            </w:pPr>
            <w:r>
              <w:rPr>
                <w:rFonts w:hint="default" w:ascii="Times New Roman" w:hAnsi="Times New Roman" w:eastAsia="仿宋_GB2312" w:cs="Times New Roman"/>
                <w:b/>
                <w:bCs/>
                <w:color w:val="auto"/>
                <w:sz w:val="20"/>
                <w:szCs w:val="20"/>
                <w:highlight w:val="none"/>
              </w:rPr>
              <w:t>202</w:t>
            </w:r>
            <w:r>
              <w:rPr>
                <w:rFonts w:hint="eastAsia" w:ascii="Times New Roman" w:hAnsi="Times New Roman" w:eastAsia="仿宋_GB2312" w:cs="Times New Roman"/>
                <w:b/>
                <w:bCs/>
                <w:color w:val="auto"/>
                <w:sz w:val="20"/>
                <w:szCs w:val="20"/>
                <w:highlight w:val="none"/>
                <w:lang w:val="en-US" w:eastAsia="zh-CN"/>
              </w:rPr>
              <w:t>3</w:t>
            </w:r>
            <w:r>
              <w:rPr>
                <w:rFonts w:hint="default" w:ascii="Times New Roman" w:hAnsi="Times New Roman" w:eastAsia="仿宋_GB2312" w:cs="Times New Roman"/>
                <w:b/>
                <w:bCs/>
                <w:color w:val="auto"/>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color w:val="auto"/>
                <w:sz w:val="20"/>
                <w:szCs w:val="20"/>
                <w:highlight w:val="none"/>
              </w:rPr>
            </w:pPr>
            <w:r>
              <w:rPr>
                <w:rFonts w:hint="default" w:ascii="Times New Roman" w:hAnsi="Times New Roman" w:eastAsia="仿宋_GB2312" w:cs="Times New Roman"/>
                <w:b/>
                <w:bCs/>
                <w:color w:val="auto"/>
                <w:sz w:val="20"/>
                <w:szCs w:val="20"/>
                <w:highlight w:val="none"/>
              </w:rPr>
              <w:t>202</w:t>
            </w:r>
            <w:r>
              <w:rPr>
                <w:rFonts w:hint="eastAsia" w:ascii="Times New Roman" w:hAnsi="Times New Roman" w:eastAsia="仿宋_GB2312" w:cs="Times New Roman"/>
                <w:b/>
                <w:bCs/>
                <w:color w:val="auto"/>
                <w:sz w:val="20"/>
                <w:szCs w:val="20"/>
                <w:highlight w:val="none"/>
                <w:lang w:val="en-US" w:eastAsia="zh-CN"/>
              </w:rPr>
              <w:t>3</w:t>
            </w:r>
            <w:r>
              <w:rPr>
                <w:rFonts w:hint="default" w:ascii="Times New Roman" w:hAnsi="Times New Roman" w:eastAsia="仿宋_GB2312" w:cs="Times New Roman"/>
                <w:b/>
                <w:bCs/>
                <w:color w:val="auto"/>
                <w:sz w:val="20"/>
                <w:szCs w:val="20"/>
                <w:highlight w:val="none"/>
              </w:rPr>
              <w:t>年决算数</w:t>
            </w: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三公经费</w:t>
            </w:r>
            <w:r>
              <w:rPr>
                <w:rFonts w:hint="eastAsia" w:ascii="Times New Roman" w:hAnsi="Times New Roman" w:eastAsia="仿宋_GB2312" w:cs="Times New Roman"/>
                <w:color w:val="auto"/>
                <w:sz w:val="20"/>
                <w:szCs w:val="20"/>
                <w:highlight w:val="none"/>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0.2</w:t>
            </w: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0.03</w:t>
            </w: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w:t>
            </w:r>
            <w:r>
              <w:rPr>
                <w:rFonts w:hint="default" w:ascii="Times New Roman" w:hAnsi="Times New Roman" w:eastAsia="仿宋_GB2312" w:cs="Times New Roman"/>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w:t>
            </w: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0.2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0.03</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203.92</w:t>
            </w:r>
            <w:r>
              <w:rPr>
                <w:rFonts w:hint="default" w:ascii="Times New Roman" w:hAnsi="Times New Roman" w:eastAsia="仿宋_GB2312" w:cs="Times New Roman"/>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268.18</w:t>
            </w: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214.02</w:t>
            </w: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200.51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232.60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rPr>
            </w:pPr>
            <w:r>
              <w:rPr>
                <w:rFonts w:hint="eastAsia" w:ascii="Times New Roman" w:hAnsi="Times New Roman" w:eastAsia="仿宋_GB2312" w:cs="Times New Roman"/>
                <w:color w:val="auto"/>
                <w:sz w:val="20"/>
                <w:szCs w:val="20"/>
                <w:highlight w:val="none"/>
                <w:lang w:val="en-US" w:eastAsia="zh-CN"/>
              </w:rPr>
              <w:t>187.83</w:t>
            </w:r>
          </w:p>
        </w:tc>
      </w:tr>
      <w:tr>
        <w:tblPrEx>
          <w:tblLayout w:type="fixed"/>
          <w:tblCellMar>
            <w:top w:w="0" w:type="dxa"/>
            <w:left w:w="108" w:type="dxa"/>
            <w:bottom w:w="0" w:type="dxa"/>
            <w:right w:w="108" w:type="dxa"/>
          </w:tblCellMar>
        </w:tblPrEx>
        <w:trPr>
          <w:trHeight w:val="384"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3、省级专项资金（</w:t>
            </w:r>
            <w:r>
              <w:rPr>
                <w:rFonts w:hint="eastAsia" w:ascii="Times New Roman" w:hAnsi="Times New Roman" w:eastAsia="仿宋_GB2312" w:cs="Times New Roman"/>
                <w:color w:val="auto"/>
                <w:sz w:val="20"/>
                <w:szCs w:val="20"/>
                <w:highlight w:val="none"/>
                <w:lang w:eastAsia="zh-CN"/>
              </w:rPr>
              <w:t>每</w:t>
            </w:r>
            <w:r>
              <w:rPr>
                <w:rFonts w:hint="default" w:ascii="Times New Roman" w:hAnsi="Times New Roman" w:eastAsia="仿宋_GB2312" w:cs="Times New Roman"/>
                <w:color w:val="auto"/>
                <w:sz w:val="20"/>
                <w:szCs w:val="20"/>
                <w:highlight w:val="none"/>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3.41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35.59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26.19</w:t>
            </w: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both"/>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现代农业发展专项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9</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重要农产品稳产保供(市县)</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0.6</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农作物、畜禽种业安全监管（2022结转）</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3.41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16.59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16.59</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26.85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25.26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25.09</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2.62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2.46</w:t>
            </w: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2.32</w:t>
            </w:r>
            <w:r>
              <w:rPr>
                <w:rFonts w:hint="default" w:ascii="Times New Roman" w:hAnsi="Times New Roman" w:eastAsia="仿宋_GB2312" w:cs="Times New Roman"/>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1.51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0.5</w:t>
            </w: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0.5</w:t>
            </w:r>
            <w:r>
              <w:rPr>
                <w:rFonts w:hint="default" w:ascii="Times New Roman" w:hAnsi="Times New Roman" w:eastAsia="仿宋_GB2312" w:cs="Times New Roman"/>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rPr>
            </w:pPr>
            <w:r>
              <w:rPr>
                <w:rFonts w:hint="eastAsia" w:ascii="Times New Roman" w:hAnsi="Times New Roman" w:eastAsia="仿宋_GB2312" w:cs="Times New Roman"/>
                <w:color w:val="auto"/>
                <w:sz w:val="20"/>
                <w:szCs w:val="20"/>
                <w:highlight w:val="none"/>
                <w:lang w:val="en-US" w:eastAsia="zh-CN"/>
              </w:rPr>
              <w:t>0.33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rPr>
              <w:t>　</w:t>
            </w:r>
            <w:r>
              <w:rPr>
                <w:rFonts w:hint="eastAsia" w:ascii="Times New Roman" w:hAnsi="Times New Roman" w:eastAsia="仿宋_GB2312" w:cs="Times New Roman"/>
                <w:color w:val="auto"/>
                <w:sz w:val="20"/>
                <w:szCs w:val="20"/>
                <w:highlight w:val="none"/>
                <w:lang w:val="en-US" w:eastAsia="zh-CN"/>
              </w:rPr>
              <w:t>0.33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0.33</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default" w:ascii="Times New Roman" w:hAnsi="Times New Roman" w:eastAsia="仿宋_GB2312" w:cs="Times New Roman"/>
                <w:color w:val="auto"/>
                <w:sz w:val="20"/>
                <w:szCs w:val="20"/>
                <w:highlight w:val="none"/>
                <w:lang w:val="en-US" w:eastAsia="zh-CN"/>
              </w:rPr>
              <w:t>　</w:t>
            </w:r>
            <w:r>
              <w:rPr>
                <w:rFonts w:hint="eastAsia" w:ascii="Times New Roman" w:hAnsi="Times New Roman" w:eastAsia="仿宋_GB2312" w:cs="Times New Roman"/>
                <w:color w:val="auto"/>
                <w:sz w:val="20"/>
                <w:szCs w:val="20"/>
                <w:highlight w:val="none"/>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楼堂馆所控制情况</w:t>
            </w:r>
            <w:r>
              <w:rPr>
                <w:rFonts w:hint="default" w:ascii="Times New Roman" w:hAnsi="Times New Roman" w:eastAsia="仿宋_GB2312" w:cs="Times New Roman"/>
                <w:color w:val="auto"/>
                <w:sz w:val="20"/>
                <w:szCs w:val="20"/>
                <w:highlight w:val="none"/>
              </w:rPr>
              <w:br w:type="textWrapping"/>
            </w:r>
            <w:r>
              <w:rPr>
                <w:rFonts w:hint="default" w:ascii="Times New Roman" w:hAnsi="Times New Roman" w:eastAsia="仿宋_GB2312" w:cs="Times New Roman"/>
                <w:color w:val="auto"/>
                <w:sz w:val="20"/>
                <w:szCs w:val="20"/>
                <w:highlight w:val="none"/>
              </w:rPr>
              <w:t>（202</w:t>
            </w:r>
            <w:r>
              <w:rPr>
                <w:rFonts w:hint="eastAsia" w:ascii="Times New Roman" w:hAnsi="Times New Roman" w:eastAsia="仿宋_GB2312" w:cs="Times New Roman"/>
                <w:color w:val="auto"/>
                <w:sz w:val="20"/>
                <w:szCs w:val="20"/>
                <w:highlight w:val="none"/>
                <w:lang w:val="en-US" w:eastAsia="zh-CN"/>
              </w:rPr>
              <w:t>3</w:t>
            </w:r>
            <w:r>
              <w:rPr>
                <w:rFonts w:hint="default" w:ascii="Times New Roman" w:hAnsi="Times New Roman" w:eastAsia="仿宋_GB2312" w:cs="Times New Roman"/>
                <w:color w:val="auto"/>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highlight w:val="none"/>
              </w:rPr>
            </w:pPr>
            <w:r>
              <w:rPr>
                <w:rFonts w:hint="default" w:ascii="Times New Roman" w:hAnsi="Times New Roman" w:eastAsia="仿宋_GB2312" w:cs="Times New Roman"/>
                <w:bCs/>
                <w:color w:val="auto"/>
                <w:sz w:val="20"/>
                <w:szCs w:val="20"/>
                <w:highlight w:val="none"/>
              </w:rPr>
              <w:t>批复规模</w:t>
            </w:r>
            <w:r>
              <w:rPr>
                <w:rFonts w:hint="default" w:ascii="Times New Roman" w:hAnsi="Times New Roman" w:eastAsia="仿宋_GB2312" w:cs="Times New Roman"/>
                <w:bCs/>
                <w:color w:val="auto"/>
                <w:sz w:val="20"/>
                <w:szCs w:val="20"/>
                <w:highlight w:val="none"/>
              </w:rPr>
              <w:br w:type="textWrapping"/>
            </w:r>
            <w:r>
              <w:rPr>
                <w:rFonts w:hint="default" w:ascii="Times New Roman" w:hAnsi="Times New Roman" w:eastAsia="仿宋_GB2312" w:cs="Times New Roman"/>
                <w:bCs/>
                <w:color w:val="auto"/>
                <w:sz w:val="20"/>
                <w:szCs w:val="20"/>
                <w:highlight w:val="none"/>
              </w:rPr>
              <w:t>（</w:t>
            </w:r>
            <w:r>
              <w:rPr>
                <w:rFonts w:hint="default" w:ascii="Times New Roman" w:hAnsi="Times New Roman" w:cs="Times New Roman"/>
                <w:bCs/>
                <w:color w:val="auto"/>
                <w:sz w:val="20"/>
                <w:szCs w:val="20"/>
                <w:highlight w:val="none"/>
              </w:rPr>
              <w:t>㎡</w:t>
            </w:r>
            <w:r>
              <w:rPr>
                <w:rFonts w:hint="default" w:ascii="Times New Roman" w:hAnsi="Times New Roman" w:eastAsia="仿宋_GB2312" w:cs="Times New Roman"/>
                <w:bCs/>
                <w:color w:val="auto"/>
                <w:sz w:val="20"/>
                <w:szCs w:val="20"/>
                <w:highlight w:val="none"/>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highlight w:val="none"/>
              </w:rPr>
            </w:pPr>
            <w:r>
              <w:rPr>
                <w:rFonts w:hint="default" w:ascii="Times New Roman" w:hAnsi="Times New Roman" w:eastAsia="仿宋_GB2312" w:cs="Times New Roman"/>
                <w:bCs/>
                <w:color w:val="auto"/>
                <w:sz w:val="20"/>
                <w:szCs w:val="20"/>
                <w:highlight w:val="none"/>
              </w:rPr>
              <w:t>实际规模（</w:t>
            </w:r>
            <w:r>
              <w:rPr>
                <w:rFonts w:hint="default" w:ascii="Times New Roman" w:hAnsi="Times New Roman" w:cs="Times New Roman"/>
                <w:bCs/>
                <w:color w:val="auto"/>
                <w:sz w:val="20"/>
                <w:szCs w:val="20"/>
                <w:highlight w:val="none"/>
              </w:rPr>
              <w:t>㎡</w:t>
            </w:r>
            <w:r>
              <w:rPr>
                <w:rFonts w:hint="default" w:ascii="Times New Roman" w:hAnsi="Times New Roman" w:eastAsia="仿宋_GB2312" w:cs="Times New Roman"/>
                <w:bCs/>
                <w:color w:val="auto"/>
                <w:sz w:val="20"/>
                <w:szCs w:val="20"/>
                <w:highlight w:val="none"/>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highlight w:val="none"/>
              </w:rPr>
            </w:pPr>
            <w:r>
              <w:rPr>
                <w:rFonts w:hint="default" w:ascii="Times New Roman" w:hAnsi="Times New Roman" w:eastAsia="仿宋_GB2312" w:cs="Times New Roman"/>
                <w:bCs/>
                <w:color w:val="auto"/>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highlight w:val="none"/>
              </w:rPr>
            </w:pPr>
            <w:r>
              <w:rPr>
                <w:rFonts w:hint="default" w:ascii="Times New Roman" w:hAnsi="Times New Roman" w:eastAsia="仿宋_GB2312" w:cs="Times New Roman"/>
                <w:bCs/>
                <w:color w:val="auto"/>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highlight w:val="none"/>
              </w:rPr>
            </w:pPr>
            <w:r>
              <w:rPr>
                <w:rFonts w:hint="default" w:ascii="Times New Roman" w:hAnsi="Times New Roman" w:eastAsia="仿宋_GB2312" w:cs="Times New Roman"/>
                <w:bCs/>
                <w:color w:val="auto"/>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color w:val="auto"/>
                <w:sz w:val="20"/>
                <w:szCs w:val="20"/>
                <w:highlight w:val="none"/>
              </w:rPr>
            </w:pPr>
            <w:r>
              <w:rPr>
                <w:rFonts w:hint="default" w:ascii="Times New Roman" w:hAnsi="Times New Roman" w:eastAsia="仿宋_GB2312" w:cs="Times New Roman"/>
                <w:bCs/>
                <w:color w:val="auto"/>
                <w:sz w:val="20"/>
                <w:szCs w:val="20"/>
                <w:highlight w:val="none"/>
              </w:rPr>
              <w:t>投资概算控制率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widowControl/>
        <w:spacing w:after="0" w:afterLines="0" w:line="400" w:lineRule="exact"/>
        <w:jc w:val="left"/>
        <w:rPr>
          <w:rFonts w:hint="eastAsia" w:ascii="Times New Roman" w:hAnsi="Times New Roman" w:eastAsia="黑体" w:cs="Times New Roman"/>
          <w:sz w:val="32"/>
          <w:szCs w:val="32"/>
          <w:lang w:eastAsia="zh-CN"/>
        </w:rPr>
      </w:pPr>
      <w:r>
        <w:rPr>
          <w:rFonts w:hint="default" w:ascii="Times New Roman" w:hAnsi="Times New Roman" w:eastAsia="仿宋_GB2312" w:cs="Times New Roman"/>
          <w:sz w:val="22"/>
        </w:rPr>
        <w:br w:type="page"/>
      </w: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0"/>
        <w:tblW w:w="10079" w:type="dxa"/>
        <w:jc w:val="center"/>
        <w:tblInd w:w="0" w:type="dxa"/>
        <w:tblLayout w:type="fixed"/>
        <w:tblCellMar>
          <w:top w:w="0" w:type="dxa"/>
          <w:left w:w="108" w:type="dxa"/>
          <w:bottom w:w="0" w:type="dxa"/>
          <w:right w:w="108" w:type="dxa"/>
        </w:tblCellMar>
      </w:tblPr>
      <w:tblGrid>
        <w:gridCol w:w="1080"/>
        <w:gridCol w:w="1080"/>
        <w:gridCol w:w="1060"/>
        <w:gridCol w:w="1548"/>
        <w:gridCol w:w="1056"/>
        <w:gridCol w:w="1220"/>
        <w:gridCol w:w="1012"/>
        <w:gridCol w:w="936"/>
        <w:gridCol w:w="1087"/>
      </w:tblGrid>
      <w:tr>
        <w:tblPrEx>
          <w:tblLayout w:type="fixed"/>
          <w:tblCellMar>
            <w:top w:w="0" w:type="dxa"/>
            <w:left w:w="108" w:type="dxa"/>
            <w:bottom w:w="0" w:type="dxa"/>
            <w:right w:w="108" w:type="dxa"/>
          </w:tblCellMar>
        </w:tblPrEx>
        <w:trPr>
          <w:jc w:val="center"/>
        </w:trPr>
        <w:tc>
          <w:tcPr>
            <w:tcW w:w="32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6859"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湖南</w:t>
            </w:r>
            <w:r>
              <w:rPr>
                <w:rFonts w:hint="default" w:ascii="Times New Roman" w:hAnsi="Times New Roman" w:eastAsia="仿宋_GB2312" w:cs="Times New Roman"/>
                <w:color w:val="000000"/>
                <w:sz w:val="20"/>
                <w:szCs w:val="20"/>
              </w:rPr>
              <w:t>省农作物良种引进示范中心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4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54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05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22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101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93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0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4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54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526.4</w:t>
            </w:r>
          </w:p>
        </w:tc>
        <w:tc>
          <w:tcPr>
            <w:tcW w:w="105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613.73</w:t>
            </w:r>
          </w:p>
        </w:tc>
        <w:tc>
          <w:tcPr>
            <w:tcW w:w="122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517.52</w:t>
            </w:r>
          </w:p>
        </w:tc>
        <w:tc>
          <w:tcPr>
            <w:tcW w:w="101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93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84.32%</w:t>
            </w:r>
          </w:p>
        </w:tc>
        <w:tc>
          <w:tcPr>
            <w:tcW w:w="10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8.43</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4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2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4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lang w:val="en-US" w:eastAsia="zh-CN"/>
              </w:rPr>
              <w:t>613.73</w:t>
            </w:r>
          </w:p>
        </w:tc>
        <w:tc>
          <w:tcPr>
            <w:tcW w:w="42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其中：基本支出：303.5</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44"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255"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项目支出：214.02</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4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2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44"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其他资金：</w:t>
            </w:r>
          </w:p>
        </w:tc>
        <w:tc>
          <w:tcPr>
            <w:tcW w:w="42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4744"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255"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44"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抓好中心的党建、安全生产、消防及文明创建工作的同时严格按试验实施方案要求执行年度各项试验，提高试验的规范性和一致性，确保高质量完成试验任务</w:t>
            </w:r>
          </w:p>
        </w:tc>
        <w:tc>
          <w:tcPr>
            <w:tcW w:w="4255"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sz w:val="20"/>
                <w:szCs w:val="20"/>
              </w:rPr>
              <w:t>　积极组织开展组织生活会和理论学习，</w:t>
            </w:r>
            <w:r>
              <w:rPr>
                <w:rFonts w:hint="eastAsia" w:ascii="Times New Roman" w:hAnsi="Times New Roman" w:eastAsia="仿宋_GB2312" w:cs="Times New Roman"/>
                <w:color w:val="000000"/>
                <w:sz w:val="20"/>
                <w:szCs w:val="20"/>
                <w:lang w:val="en-US" w:eastAsia="zh-CN"/>
              </w:rPr>
              <w:t>完成各项人事工作、财务工作等。圆满完成各项常规实验和比较实验，完成试验的水稻、玉米品种141个，受理审核“第二十四批”、“第二十五批”品种登记工作等。</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0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5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220"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93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p>
        </w:tc>
        <w:tc>
          <w:tcPr>
            <w:tcW w:w="106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组织开展组织生活会和理论学习</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≥10个</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1次组织生活会、1次民主组织生活会和9次集中学习</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积极参与文明创建活动</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≥4次</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完成5次以上</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4</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4</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68"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5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登记品种发证</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≥60个</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62个</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圆满完成各项人事工作、财务工作等</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圆满完成</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圆满完成各项常规实验和比较实验等</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圆满完成</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已完成</w:t>
            </w:r>
          </w:p>
        </w:tc>
        <w:tc>
          <w:tcPr>
            <w:tcW w:w="1012"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936"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8</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完成《2022年湖南省农作物区域试验品种报告》</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8月完成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完成“第二十四批”</w:t>
            </w:r>
            <w:r>
              <w:rPr>
                <w:rFonts w:hint="eastAsia" w:ascii="Times New Roman" w:hAnsi="Times New Roman" w:eastAsia="仿宋_GB2312" w:cs="Times New Roman"/>
                <w:color w:val="000000"/>
                <w:sz w:val="20"/>
                <w:szCs w:val="20"/>
                <w:lang w:val="en-US" w:eastAsia="zh-CN"/>
              </w:rPr>
              <w:t>申请</w:t>
            </w:r>
            <w:r>
              <w:rPr>
                <w:rFonts w:hint="default" w:ascii="Times New Roman" w:hAnsi="Times New Roman" w:eastAsia="仿宋_GB2312" w:cs="Times New Roman"/>
                <w:color w:val="000000"/>
                <w:sz w:val="20"/>
                <w:szCs w:val="20"/>
              </w:rPr>
              <w:t>登记品种的受理</w:t>
            </w:r>
            <w:r>
              <w:rPr>
                <w:rFonts w:hint="eastAsia" w:ascii="Times New Roman" w:hAnsi="Times New Roman" w:eastAsia="仿宋_GB2312" w:cs="Times New Roman"/>
                <w:color w:val="000000"/>
                <w:sz w:val="20"/>
                <w:szCs w:val="20"/>
                <w:lang w:val="en-US" w:eastAsia="zh-CN"/>
              </w:rPr>
              <w:t>和审核</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按时完成</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3月完成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完成“第二十五批”</w:t>
            </w:r>
            <w:r>
              <w:rPr>
                <w:rFonts w:hint="eastAsia" w:ascii="Times New Roman" w:hAnsi="Times New Roman" w:eastAsia="仿宋_GB2312" w:cs="Times New Roman"/>
                <w:color w:val="000000"/>
                <w:sz w:val="20"/>
                <w:szCs w:val="20"/>
                <w:lang w:val="en-US" w:eastAsia="zh-CN"/>
              </w:rPr>
              <w:t>申请</w:t>
            </w:r>
            <w:r>
              <w:rPr>
                <w:rFonts w:hint="default" w:ascii="Times New Roman" w:hAnsi="Times New Roman" w:eastAsia="仿宋_GB2312" w:cs="Times New Roman"/>
                <w:color w:val="000000"/>
                <w:sz w:val="20"/>
                <w:szCs w:val="20"/>
              </w:rPr>
              <w:t>登记品种的受理</w:t>
            </w:r>
            <w:r>
              <w:rPr>
                <w:rFonts w:hint="eastAsia" w:ascii="Times New Roman" w:hAnsi="Times New Roman" w:eastAsia="仿宋_GB2312" w:cs="Times New Roman"/>
                <w:color w:val="000000"/>
                <w:sz w:val="20"/>
                <w:szCs w:val="20"/>
                <w:lang w:val="en-US" w:eastAsia="zh-CN"/>
              </w:rPr>
              <w:t>和审核</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按时完成</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11月完成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6</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p>
        </w:tc>
        <w:tc>
          <w:tcPr>
            <w:tcW w:w="106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w:t>
            </w:r>
            <w:r>
              <w:rPr>
                <w:rFonts w:hint="default" w:ascii="Times New Roman" w:hAnsi="Times New Roman" w:eastAsia="仿宋_GB2312" w:cs="Times New Roman"/>
                <w:color w:val="000000"/>
                <w:sz w:val="20"/>
                <w:szCs w:val="20"/>
              </w:rPr>
              <w:t>省级主要农作物品种试验</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完成14</w:t>
            </w:r>
            <w:r>
              <w:rPr>
                <w:rFonts w:hint="eastAsia" w:ascii="Times New Roman" w:hAnsi="Times New Roman" w:eastAsia="仿宋_GB2312" w:cs="Times New Roman"/>
                <w:color w:val="000000"/>
                <w:sz w:val="20"/>
                <w:szCs w:val="20"/>
                <w:lang w:val="en-US" w:eastAsia="zh-CN"/>
              </w:rPr>
              <w:t>9</w:t>
            </w:r>
            <w:r>
              <w:rPr>
                <w:rFonts w:hint="default" w:ascii="Times New Roman" w:hAnsi="Times New Roman" w:eastAsia="仿宋_GB2312" w:cs="Times New Roman"/>
                <w:color w:val="000000"/>
                <w:sz w:val="20"/>
                <w:szCs w:val="20"/>
              </w:rPr>
              <w:t>个水稻、</w:t>
            </w:r>
            <w:r>
              <w:rPr>
                <w:rFonts w:hint="eastAsia" w:ascii="Times New Roman" w:hAnsi="Times New Roman" w:eastAsia="仿宋_GB2312" w:cs="Times New Roman"/>
                <w:color w:val="000000"/>
                <w:sz w:val="20"/>
                <w:szCs w:val="20"/>
                <w:lang w:val="en-US" w:eastAsia="zh-CN"/>
              </w:rPr>
              <w:t>141个</w:t>
            </w:r>
            <w:r>
              <w:rPr>
                <w:rFonts w:hint="default" w:ascii="Times New Roman" w:hAnsi="Times New Roman" w:eastAsia="仿宋_GB2312" w:cs="Times New Roman"/>
                <w:color w:val="000000"/>
                <w:sz w:val="20"/>
                <w:szCs w:val="20"/>
              </w:rPr>
              <w:t>玉米的品种试验</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完成油菜、辣椒</w:t>
            </w:r>
            <w:r>
              <w:rPr>
                <w:rFonts w:hint="default" w:ascii="Times New Roman" w:hAnsi="Times New Roman" w:eastAsia="仿宋_GB2312" w:cs="Times New Roman"/>
                <w:color w:val="000000"/>
                <w:sz w:val="20"/>
                <w:szCs w:val="20"/>
              </w:rPr>
              <w:t>符合性验证试验工作</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完成22个油菜</w:t>
            </w:r>
            <w:r>
              <w:rPr>
                <w:rFonts w:hint="eastAsia" w:ascii="Times New Roman" w:hAnsi="Times New Roman" w:eastAsia="仿宋_GB2312" w:cs="Times New Roman"/>
                <w:color w:val="000000"/>
                <w:sz w:val="20"/>
                <w:szCs w:val="20"/>
                <w:lang w:eastAsia="zh-CN"/>
              </w:rPr>
              <w:t>、25个辣椒验证试验工作</w:t>
            </w:r>
          </w:p>
        </w:tc>
        <w:tc>
          <w:tcPr>
            <w:tcW w:w="1012"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936"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60"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参加</w:t>
            </w:r>
            <w:r>
              <w:rPr>
                <w:rFonts w:hint="eastAsia" w:ascii="Times New Roman" w:hAnsi="Times New Roman" w:eastAsia="仿宋_GB2312" w:cs="Times New Roman"/>
                <w:color w:val="000000"/>
                <w:sz w:val="20"/>
                <w:szCs w:val="20"/>
                <w:lang w:eastAsia="zh-CN"/>
              </w:rPr>
              <w:t>“</w:t>
            </w:r>
            <w:r>
              <w:rPr>
                <w:rFonts w:hint="default" w:ascii="Times New Roman" w:hAnsi="Times New Roman" w:eastAsia="仿宋_GB2312" w:cs="Times New Roman"/>
                <w:color w:val="000000"/>
                <w:sz w:val="20"/>
                <w:szCs w:val="20"/>
              </w:rPr>
              <w:t>节水抗旱稻推广应用情况</w:t>
            </w:r>
            <w:r>
              <w:rPr>
                <w:rFonts w:hint="eastAsia" w:ascii="Times New Roman" w:hAnsi="Times New Roman" w:eastAsia="仿宋_GB2312" w:cs="Times New Roman"/>
                <w:color w:val="000000"/>
                <w:sz w:val="20"/>
                <w:szCs w:val="20"/>
                <w:lang w:eastAsia="zh-CN"/>
              </w:rPr>
              <w:t>”</w:t>
            </w:r>
            <w:r>
              <w:rPr>
                <w:rFonts w:hint="default" w:ascii="Times New Roman" w:hAnsi="Times New Roman" w:eastAsia="仿宋_GB2312" w:cs="Times New Roman"/>
                <w:color w:val="000000"/>
                <w:sz w:val="20"/>
                <w:szCs w:val="20"/>
              </w:rPr>
              <w:t>调研</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走访调研</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60"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54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参与</w:t>
            </w:r>
            <w:r>
              <w:rPr>
                <w:rFonts w:hint="default" w:ascii="Times New Roman" w:hAnsi="Times New Roman" w:eastAsia="仿宋_GB2312" w:cs="Times New Roman"/>
                <w:color w:val="000000"/>
                <w:sz w:val="20"/>
                <w:szCs w:val="20"/>
              </w:rPr>
              <w:t>早稻集中育秧工作</w:t>
            </w:r>
          </w:p>
        </w:tc>
        <w:tc>
          <w:tcPr>
            <w:tcW w:w="105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已完成</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4</w:t>
            </w:r>
          </w:p>
        </w:tc>
        <w:tc>
          <w:tcPr>
            <w:tcW w:w="93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4</w:t>
            </w:r>
          </w:p>
        </w:tc>
        <w:tc>
          <w:tcPr>
            <w:tcW w:w="108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06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推广水稻“臻两优8612”</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推广</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已完成</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060"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54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社会公众或服务对象的满意程度</w:t>
            </w:r>
          </w:p>
        </w:tc>
        <w:tc>
          <w:tcPr>
            <w:tcW w:w="105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90%以上</w:t>
            </w:r>
          </w:p>
        </w:tc>
        <w:tc>
          <w:tcPr>
            <w:tcW w:w="122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96%</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101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93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98.43</w:t>
            </w:r>
          </w:p>
        </w:tc>
        <w:tc>
          <w:tcPr>
            <w:tcW w:w="10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4"/>
        <w:jc w:val="center"/>
        <w:rPr>
          <w:sz w:val="72"/>
          <w:szCs w:val="72"/>
        </w:rPr>
      </w:pPr>
    </w:p>
    <w:p>
      <w:pPr>
        <w:pStyle w:val="14"/>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06E0AD"/>
    <w:multiLevelType w:val="singleLevel"/>
    <w:tmpl w:val="AD06E0AD"/>
    <w:lvl w:ilvl="0" w:tentative="0">
      <w:start w:val="7"/>
      <w:numFmt w:val="chineseCounting"/>
      <w:suff w:val="nothing"/>
      <w:lvlText w:val="%1、"/>
      <w:lvlJc w:val="left"/>
      <w:rPr>
        <w:rFonts w:hint="eastAsia"/>
      </w:rPr>
    </w:lvl>
  </w:abstractNum>
  <w:abstractNum w:abstractNumId="1">
    <w:nsid w:val="FAAAEAB6"/>
    <w:multiLevelType w:val="singleLevel"/>
    <w:tmpl w:val="FAAAEAB6"/>
    <w:lvl w:ilvl="0" w:tentative="0">
      <w:start w:val="5"/>
      <w:numFmt w:val="decimal"/>
      <w:suff w:val="nothing"/>
      <w:lvlText w:val="%1、"/>
      <w:lvlJc w:val="left"/>
    </w:lvl>
  </w:abstractNum>
  <w:abstractNum w:abstractNumId="2">
    <w:nsid w:val="16CB23E8"/>
    <w:multiLevelType w:val="singleLevel"/>
    <w:tmpl w:val="16CB23E8"/>
    <w:lvl w:ilvl="0" w:tentative="0">
      <w:start w:val="1"/>
      <w:numFmt w:val="chineseCounting"/>
      <w:suff w:val="nothing"/>
      <w:lvlText w:val="%1、"/>
      <w:lvlJc w:val="left"/>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B5453B"/>
    <w:rsid w:val="0C5659C1"/>
    <w:rsid w:val="0D935005"/>
    <w:rsid w:val="14BC5DE6"/>
    <w:rsid w:val="1D97DEFF"/>
    <w:rsid w:val="1DFF72E5"/>
    <w:rsid w:val="1EFC6F07"/>
    <w:rsid w:val="238A1AD9"/>
    <w:rsid w:val="25B40681"/>
    <w:rsid w:val="2BAB1677"/>
    <w:rsid w:val="2FDF85B8"/>
    <w:rsid w:val="2FFFEE04"/>
    <w:rsid w:val="301E3FBE"/>
    <w:rsid w:val="31990EA4"/>
    <w:rsid w:val="32E974B3"/>
    <w:rsid w:val="34DF85B0"/>
    <w:rsid w:val="3B8F36BC"/>
    <w:rsid w:val="470814F6"/>
    <w:rsid w:val="491FF225"/>
    <w:rsid w:val="4B535DF2"/>
    <w:rsid w:val="4FFD214C"/>
    <w:rsid w:val="509C07A4"/>
    <w:rsid w:val="54881323"/>
    <w:rsid w:val="5777D4F5"/>
    <w:rsid w:val="59DD8326"/>
    <w:rsid w:val="5D7C49CF"/>
    <w:rsid w:val="5DEF592A"/>
    <w:rsid w:val="5FC6BB1E"/>
    <w:rsid w:val="5FF720F1"/>
    <w:rsid w:val="63320C29"/>
    <w:rsid w:val="64A857B5"/>
    <w:rsid w:val="67FF5C0B"/>
    <w:rsid w:val="6EFC0924"/>
    <w:rsid w:val="6FB74722"/>
    <w:rsid w:val="6FEF8B7E"/>
    <w:rsid w:val="71A6591B"/>
    <w:rsid w:val="737D59BA"/>
    <w:rsid w:val="77C37683"/>
    <w:rsid w:val="797825B2"/>
    <w:rsid w:val="79FF515B"/>
    <w:rsid w:val="7A1F3A15"/>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9"/>
    <w:pPr>
      <w:keepNext/>
      <w:keepLines/>
      <w:spacing w:line="700" w:lineRule="exact"/>
      <w:ind w:firstLine="0" w:firstLineChars="0"/>
      <w:jc w:val="center"/>
      <w:outlineLvl w:val="0"/>
    </w:pPr>
    <w:rPr>
      <w:rFonts w:eastAsia="方正小标宋简体"/>
      <w:bCs/>
      <w:kern w:val="44"/>
      <w:sz w:val="44"/>
      <w:szCs w:val="44"/>
    </w:rPr>
  </w:style>
  <w:style w:type="paragraph" w:styleId="5">
    <w:name w:val="heading 2"/>
    <w:basedOn w:val="1"/>
    <w:next w:val="1"/>
    <w:qFormat/>
    <w:uiPriority w:val="0"/>
    <w:pPr>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2"/>
    <w:unhideWhenUsed/>
    <w:qFormat/>
    <w:uiPriority w:val="99"/>
    <w:pPr>
      <w:widowControl/>
      <w:spacing w:after="120"/>
      <w:ind w:left="420" w:leftChars="200"/>
      <w:jc w:val="left"/>
    </w:pPr>
    <w:rPr>
      <w:rFonts w:ascii="宋体" w:hAnsi="宋体" w:eastAsia="宋体" w:cs="宋体"/>
      <w:kern w:val="0"/>
      <w:sz w:val="24"/>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2"/>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12012</Words>
  <Characters>14464</Characters>
  <Lines>63</Lines>
  <Paragraphs>18</Paragraphs>
  <TotalTime>10</TotalTime>
  <ScaleCrop>false</ScaleCrop>
  <LinksUpToDate>false</LinksUpToDate>
  <CharactersWithSpaces>14671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2024-09-05T09:35:51Z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42E1D9E3A9ED46E5A197050EF88A8363_12</vt:lpwstr>
  </property>
</Properties>
</file>