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84"/>
          <w:szCs w:val="84"/>
        </w:rPr>
        <w:t xml:space="preserve"> </w:t>
      </w:r>
      <w:r>
        <w:rPr>
          <w:rFonts w:hint="eastAsia" w:ascii="方正小标宋_GBK" w:hAnsi="方正小标宋_GBK" w:eastAsia="方正小标宋_GBK" w:cs="方正小标宋_GBK"/>
          <w:sz w:val="72"/>
          <w:szCs w:val="72"/>
        </w:rPr>
        <w:t>湖南省农作物种质资源保护</w:t>
      </w: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与良种繁育中心部门决算</w:t>
      </w:r>
    </w:p>
    <w:p>
      <w:pPr>
        <w:pStyle w:val="15"/>
        <w:jc w:val="center"/>
        <w:rPr>
          <w:rFonts w:hint="eastAsia" w:ascii="方正小标宋_GBK" w:hAnsi="方正小标宋_GBK" w:eastAsia="方正小标宋_GBK" w:cs="方正小标宋_GBK"/>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jc w:val="center"/>
        <w:rPr>
          <w:sz w:val="32"/>
          <w:szCs w:val="32"/>
        </w:rPr>
      </w:pPr>
    </w:p>
    <w:p>
      <w:pPr>
        <w:pStyle w:val="15"/>
        <w:jc w:val="center"/>
        <w:rPr>
          <w:sz w:val="32"/>
          <w:szCs w:val="32"/>
        </w:rPr>
      </w:pPr>
    </w:p>
    <w:p>
      <w:pPr>
        <w:pStyle w:val="15"/>
        <w:spacing w:line="500" w:lineRule="exact"/>
        <w:jc w:val="center"/>
        <w:rPr>
          <w:b/>
          <w:sz w:val="36"/>
          <w:szCs w:val="28"/>
        </w:rPr>
      </w:pPr>
      <w:r>
        <w:rPr>
          <w:rFonts w:hint="eastAsia"/>
          <w:b/>
          <w:sz w:val="36"/>
          <w:szCs w:val="28"/>
        </w:rPr>
        <w:t>目录</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bCs/>
          <w:sz w:val="28"/>
          <w:szCs w:val="28"/>
        </w:rPr>
        <w:t>湖南省农作物种质资源保护与良种繁育中心</w:t>
      </w:r>
      <w:r>
        <w:rPr>
          <w:rFonts w:hint="eastAsia" w:ascii="黑体" w:hAnsi="黑体" w:eastAsia="黑体" w:cs="黑体"/>
          <w:b w:val="0"/>
          <w:bCs/>
          <w:sz w:val="28"/>
          <w:szCs w:val="28"/>
        </w:rPr>
        <w:t>概况</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5"/>
        <w:spacing w:line="500" w:lineRule="exact"/>
        <w:rPr>
          <w:rFonts w:hint="eastAsia" w:ascii="黑体" w:hAnsi="黑体" w:eastAsia="黑体" w:cs="黑体"/>
          <w:b w:val="0"/>
          <w:bCs/>
          <w:sz w:val="28"/>
          <w:szCs w:val="28"/>
        </w:rPr>
      </w:pPr>
    </w:p>
    <w:p>
      <w:pPr>
        <w:pStyle w:val="15"/>
        <w:spacing w:line="500" w:lineRule="exact"/>
        <w:rPr>
          <w:rFonts w:hint="eastAsia" w:ascii="黑体" w:hAnsi="黑体" w:eastAsia="黑体" w:cs="黑体"/>
          <w:b w:val="0"/>
          <w:bCs/>
          <w:sz w:val="28"/>
          <w:szCs w:val="28"/>
        </w:rPr>
      </w:pPr>
    </w:p>
    <w:p>
      <w:pPr>
        <w:pStyle w:val="15"/>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84"/>
          <w:szCs w:val="84"/>
        </w:rPr>
        <w:t xml:space="preserve"> </w:t>
      </w:r>
      <w:r>
        <w:rPr>
          <w:rFonts w:hint="eastAsia" w:ascii="方正小标宋_GBK" w:hAnsi="方正小标宋_GBK" w:eastAsia="方正小标宋_GBK" w:cs="方正小标宋_GBK"/>
          <w:sz w:val="72"/>
          <w:szCs w:val="72"/>
        </w:rPr>
        <w:t>湖南省农作物种质资源保护</w:t>
      </w: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与良种繁育中心概况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pStyle w:val="2"/>
      </w:pPr>
    </w:p>
    <w:p>
      <w:pPr>
        <w:pStyle w:val="2"/>
        <w:rPr>
          <w:sz w:val="72"/>
          <w:szCs w:val="72"/>
        </w:rPr>
      </w:pPr>
    </w:p>
    <w:p>
      <w:pPr>
        <w:pStyle w:val="3"/>
      </w:pPr>
    </w:p>
    <w:p>
      <w:pPr>
        <w:pStyle w:val="1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widowControl/>
        <w:numPr>
          <w:ilvl w:val="0"/>
          <w:numId w:val="2"/>
        </w:numPr>
        <w:spacing w:line="600" w:lineRule="exact"/>
        <w:ind w:left="200" w:leftChars="0" w:firstLine="640" w:firstLineChars="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农作物种质资源收集、保存、保护、开发和利用</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left="200" w:leftChars="0" w:firstLine="640" w:firstLineChars="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良种引进与繁育</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left="200" w:leftChars="0" w:firstLine="640" w:firstLineChars="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良种试验示范与推广</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left="200" w:leftChars="0" w:firstLine="640" w:firstLineChars="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现代农业设施与高新技术示范推广</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left="200" w:leftChars="0" w:firstLine="640" w:firstLineChars="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农业科技培训与学术交流</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left="200" w:leftChars="0" w:firstLine="640" w:firstLineChars="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科技成果转化应用</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left="200" w:leftChars="0" w:firstLine="640" w:firstLineChars="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农业科普教育</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left="200" w:leftChars="0" w:firstLine="640" w:firstLineChars="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现代农业高效发展模式探索与展示推广</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left="200" w:leftChars="0" w:firstLine="640" w:firstLineChars="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现代农业信息服务等。</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（一）内设机构设置。湖南省农作物种质资源保护与良种繁育中心内设机构包括：综合科、财务科、产业开发科、后勤服务科、良种繁育科、种质资源科、技术推广科</w:t>
      </w:r>
      <w:r>
        <w:rPr>
          <w:rFonts w:hint="eastAsia" w:ascii="Times New Roman" w:hAnsi="Times New Roman" w:eastAsia="仿宋_GB2312" w:cs="仿宋_GB2312"/>
          <w:bCs/>
          <w:kern w:val="0"/>
          <w:sz w:val="32"/>
          <w:szCs w:val="32"/>
          <w:lang w:eastAsia="zh-CN"/>
        </w:rPr>
        <w:t>。</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（二）决算单位构成。湖南省农作物种质资源保护与良种繁育中心202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年部门决算汇总公开单位构成包括：湖南省农作物种质资源保护与良种繁育中心本级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5"/>
        <w:jc w:val="center"/>
        <w:rPr>
          <w:rFonts w:hint="eastAsia" w:ascii="方正小标宋_GBK" w:hAnsi="方正小标宋_GBK" w:eastAsia="方正小标宋_GBK" w:cs="方正小标宋_GBK"/>
          <w:sz w:val="84"/>
          <w:szCs w:val="84"/>
        </w:rPr>
      </w:pPr>
    </w:p>
    <w:p>
      <w:pPr>
        <w:pStyle w:val="15"/>
        <w:jc w:val="center"/>
        <w:rPr>
          <w:sz w:val="72"/>
          <w:szCs w:val="72"/>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10"/>
        <w:tblW w:w="144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511"/>
        <w:gridCol w:w="522"/>
        <w:gridCol w:w="1589"/>
        <w:gridCol w:w="4286"/>
        <w:gridCol w:w="522"/>
        <w:gridCol w:w="19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4410" w:type="dxa"/>
            <w:gridSpan w:val="6"/>
            <w:tcBorders>
              <w:top w:val="nil"/>
              <w:left w:val="nil"/>
              <w:bottom w:val="nil"/>
              <w:right w:val="nil"/>
            </w:tcBorders>
            <w:shd w:val="clear" w:color="auto" w:fill="auto"/>
            <w:noWrap/>
            <w:tcMar>
              <w:top w:w="10" w:type="dxa"/>
              <w:left w:w="10" w:type="dxa"/>
              <w:right w:w="10" w:type="dxa"/>
            </w:tcMar>
            <w:vAlign w:val="center"/>
          </w:tcPr>
          <w:p>
            <w:pPr>
              <w:widowControl/>
              <w:jc w:val="center"/>
              <w:rPr>
                <w:rFonts w:hint="eastAsia" w:ascii="宋体" w:hAnsi="宋体" w:eastAsia="宋体" w:cs="宋体"/>
                <w:b/>
                <w:i w:val="0"/>
                <w:color w:val="000000"/>
                <w:sz w:val="22"/>
                <w:szCs w:val="22"/>
                <w:u w:val="none"/>
              </w:rPr>
            </w:pPr>
            <w:r>
              <w:rPr>
                <w:rFonts w:ascii="Times New Roman" w:hAnsi="Times New Roman" w:eastAsia="黑体" w:cs="Times New Roman"/>
                <w:bCs/>
                <w:kern w:val="0"/>
                <w:sz w:val="30"/>
                <w:szCs w:val="30"/>
              </w:rPr>
              <w:br w:type="page"/>
            </w:r>
            <w:r>
              <w:rPr>
                <w:rFonts w:hint="eastAsia" w:ascii="宋体" w:hAnsi="宋体" w:eastAsia="宋体" w:cs="宋体"/>
                <w:b/>
                <w:i w:val="0"/>
                <w:color w:val="000000"/>
                <w:kern w:val="0"/>
                <w:sz w:val="30"/>
                <w:szCs w:val="30"/>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551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2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8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28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2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980"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5511"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部门：湖南省农作物种质资源保护与良种繁育中心</w:t>
            </w:r>
          </w:p>
        </w:tc>
        <w:tc>
          <w:tcPr>
            <w:tcW w:w="52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8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28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2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980"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6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678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994.63</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488.36</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1,297.50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1,482.99</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1,321.50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280.00</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1,762.99</w:t>
            </w:r>
          </w:p>
        </w:tc>
        <w:tc>
          <w:tcPr>
            <w:tcW w:w="42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1,762.99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410"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410"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bl>
    <w:p>
      <w:pPr>
        <w:widowControl/>
        <w:jc w:val="left"/>
        <w:rPr>
          <w:rFonts w:ascii="Times New Roman" w:hAnsi="Times New Roman" w:eastAsia="黑体" w:cs="Times New Roman"/>
          <w:bCs/>
          <w:kern w:val="0"/>
          <w:sz w:val="32"/>
          <w:szCs w:val="32"/>
        </w:rPr>
      </w:pPr>
    </w:p>
    <w:p>
      <w:pPr>
        <w:widowControl/>
        <w:rPr>
          <w:rFonts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6"/>
          <w:szCs w:val="36"/>
        </w:rPr>
      </w:pPr>
    </w:p>
    <w:bookmarkEnd w:id="1"/>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10"/>
        <w:tblW w:w="152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717"/>
        <w:gridCol w:w="3818"/>
        <w:gridCol w:w="1750"/>
        <w:gridCol w:w="1598"/>
        <w:gridCol w:w="1446"/>
        <w:gridCol w:w="1209"/>
        <w:gridCol w:w="1598"/>
        <w:gridCol w:w="1446"/>
        <w:gridCol w:w="11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5272"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71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81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75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98"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0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9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16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6813"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部门：湖南省农作物种质资源保护与良种繁育中心</w:t>
            </w:r>
          </w:p>
        </w:tc>
        <w:tc>
          <w:tcPr>
            <w:tcW w:w="1598"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0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9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16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6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59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4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59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4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4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81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4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81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4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81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6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7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9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9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6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1,482.99</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994.63</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488.36</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1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3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3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1,458.99</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970.63</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488.36</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1,458.99</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970.63</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488.36</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69.89</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69.89</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762.00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273.64</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488.36</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2130111</w:t>
            </w:r>
          </w:p>
        </w:tc>
        <w:tc>
          <w:tcPr>
            <w:tcW w:w="3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统计监测与信息服务</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608.10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608.10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3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农业资源保护修复与利用</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272"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pPr>
        <w:widowControl/>
        <w:jc w:val="left"/>
        <w:rPr>
          <w:rFonts w:ascii="Times New Roman" w:hAnsi="Times New Roman" w:eastAsia="仿宋_GB2312" w:cs="Times New Roman"/>
          <w:bCs/>
          <w:kern w:val="0"/>
          <w:szCs w:val="21"/>
        </w:rPr>
      </w:pPr>
    </w:p>
    <w:p>
      <w:pPr>
        <w:pStyle w:val="2"/>
        <w:rPr>
          <w:rFonts w:ascii="Times New Roman" w:hAnsi="Times New Roman" w:eastAsia="仿宋_GB2312" w:cs="Times New Roman"/>
          <w:bCs/>
          <w:kern w:val="0"/>
          <w:szCs w:val="21"/>
        </w:rPr>
      </w:pPr>
    </w:p>
    <w:p>
      <w:pPr>
        <w:pStyle w:val="3"/>
        <w:rPr>
          <w:rFonts w:ascii="Times New Roman" w:hAnsi="Times New Roman" w:eastAsia="仿宋_GB2312" w:cs="Times New Roman"/>
          <w:bCs/>
          <w:kern w:val="0"/>
          <w:szCs w:val="21"/>
        </w:rPr>
      </w:pPr>
    </w:p>
    <w:p>
      <w:pPr>
        <w:pStyle w:val="5"/>
        <w:rPr>
          <w:rFonts w:ascii="Times New Roman" w:hAnsi="Times New Roman" w:eastAsia="仿宋_GB2312" w:cs="Times New Roman"/>
          <w:bCs/>
          <w:kern w:val="0"/>
          <w:szCs w:val="21"/>
        </w:rPr>
      </w:pPr>
    </w:p>
    <w:p>
      <w:pPr>
        <w:rPr>
          <w:rFonts w:ascii="Times New Roman" w:hAnsi="Times New Roman" w:eastAsia="仿宋_GB2312" w:cs="Times New Roman"/>
          <w:bCs/>
          <w:kern w:val="0"/>
          <w:szCs w:val="21"/>
        </w:rPr>
      </w:pPr>
    </w:p>
    <w:p>
      <w:pPr>
        <w:pStyle w:val="2"/>
        <w:rPr>
          <w:rFonts w:ascii="Times New Roman" w:hAnsi="Times New Roman" w:eastAsia="仿宋_GB2312" w:cs="Times New Roman"/>
          <w:bCs/>
          <w:kern w:val="0"/>
          <w:szCs w:val="21"/>
        </w:rPr>
      </w:pPr>
    </w:p>
    <w:p>
      <w:pPr>
        <w:pStyle w:val="3"/>
        <w:rPr>
          <w:rFonts w:ascii="Times New Roman" w:hAnsi="Times New Roman" w:eastAsia="仿宋_GB2312" w:cs="Times New Roman"/>
          <w:bCs/>
          <w:kern w:val="0"/>
          <w:szCs w:val="21"/>
        </w:rPr>
      </w:pPr>
    </w:p>
    <w:p>
      <w:pPr>
        <w:pStyle w:val="5"/>
        <w:rPr>
          <w:rFonts w:ascii="Times New Roman" w:hAnsi="Times New Roman" w:eastAsia="仿宋_GB2312" w:cs="Times New Roman"/>
          <w:bCs/>
          <w:kern w:val="0"/>
          <w:szCs w:val="21"/>
        </w:rPr>
      </w:pPr>
    </w:p>
    <w:p>
      <w:pPr>
        <w:rPr>
          <w:rFonts w:ascii="Times New Roman" w:hAnsi="Times New Roman" w:eastAsia="仿宋_GB2312" w:cs="Times New Roman"/>
          <w:bCs/>
          <w:kern w:val="0"/>
          <w:szCs w:val="21"/>
        </w:rPr>
      </w:pPr>
    </w:p>
    <w:tbl>
      <w:tblPr>
        <w:tblStyle w:val="10"/>
        <w:tblW w:w="1460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8"/>
        <w:gridCol w:w="258"/>
        <w:gridCol w:w="404"/>
        <w:gridCol w:w="3684"/>
        <w:gridCol w:w="1678"/>
        <w:gridCol w:w="1532"/>
        <w:gridCol w:w="1532"/>
        <w:gridCol w:w="1387"/>
        <w:gridCol w:w="1533"/>
        <w:gridCol w:w="23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604"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0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68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7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32"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32"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38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3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2338"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6282"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部门：湖南省农作物种质资源保护与良种繁育中心</w:t>
            </w:r>
          </w:p>
        </w:tc>
        <w:tc>
          <w:tcPr>
            <w:tcW w:w="1532"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32"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38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3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2338"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7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53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53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38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53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233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68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8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8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3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0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1,321.50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367.53</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465.61</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488.36</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1,297.50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343.53</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465.61</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488.36</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1,158.99</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343.53</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327.10</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488.36</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69.89</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69.89</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762.00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273.64</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488.36</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2130111</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统计监测与信息服务</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14.00</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308.10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308.10</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农业资源保护修复与利用</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21302</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林业和草原</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138.51</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138.51</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2130299</w:t>
            </w:r>
          </w:p>
        </w:tc>
        <w:tc>
          <w:tcPr>
            <w:tcW w:w="3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其他林业和草原支出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138.51</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138.51</w:t>
            </w:r>
          </w:p>
        </w:tc>
        <w:tc>
          <w:tcPr>
            <w:tcW w:w="1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604"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pPr>
        <w:pStyle w:val="2"/>
        <w:rPr>
          <w:rFonts w:ascii="Times New Roman" w:hAnsi="Times New Roman" w:eastAsia="仿宋_GB2312" w:cs="Times New Roman"/>
          <w:bCs/>
          <w:kern w:val="0"/>
          <w:szCs w:val="21"/>
        </w:rPr>
      </w:pPr>
    </w:p>
    <w:p>
      <w:pPr>
        <w:pStyle w:val="3"/>
        <w:rPr>
          <w:rFonts w:ascii="Times New Roman" w:hAnsi="Times New Roman" w:eastAsia="仿宋_GB2312" w:cs="Times New Roman"/>
          <w:bCs/>
          <w:kern w:val="0"/>
          <w:szCs w:val="21"/>
        </w:rPr>
      </w:pPr>
    </w:p>
    <w:p>
      <w:pPr>
        <w:pStyle w:val="5"/>
        <w:rPr>
          <w:rFonts w:ascii="Times New Roman" w:hAnsi="Times New Roman" w:eastAsia="仿宋_GB2312" w:cs="Times New Roman"/>
          <w:bCs/>
          <w:kern w:val="0"/>
          <w:szCs w:val="21"/>
        </w:rPr>
      </w:pPr>
    </w:p>
    <w:p/>
    <w:p>
      <w:pPr>
        <w:rPr>
          <w:rFonts w:ascii="Times New Roman" w:hAnsi="Times New Roman" w:eastAsia="仿宋_GB2312" w:cs="Times New Roman"/>
          <w:bCs/>
          <w:kern w:val="0"/>
          <w:szCs w:val="21"/>
        </w:rPr>
      </w:pPr>
    </w:p>
    <w:p>
      <w:pPr>
        <w:pStyle w:val="2"/>
        <w:rPr>
          <w:rFonts w:ascii="Times New Roman" w:hAnsi="Times New Roman" w:eastAsia="仿宋_GB2312" w:cs="Times New Roman"/>
          <w:bCs/>
          <w:kern w:val="0"/>
          <w:szCs w:val="21"/>
        </w:rPr>
      </w:pPr>
    </w:p>
    <w:tbl>
      <w:tblPr>
        <w:tblStyle w:val="10"/>
        <w:tblW w:w="151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385"/>
        <w:gridCol w:w="454"/>
        <w:gridCol w:w="1448"/>
        <w:gridCol w:w="3785"/>
        <w:gridCol w:w="454"/>
        <w:gridCol w:w="1068"/>
        <w:gridCol w:w="1448"/>
        <w:gridCol w:w="1187"/>
        <w:gridCol w:w="19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152" w:type="dxa"/>
            <w:gridSpan w:val="9"/>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338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44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78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068"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4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18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92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5287" w:type="dxa"/>
            <w:gridSpan w:val="3"/>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部门：湖南省农作物种质资源保护与良种繁育中心</w:t>
            </w:r>
          </w:p>
        </w:tc>
        <w:tc>
          <w:tcPr>
            <w:tcW w:w="378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068"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4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18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92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8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865"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3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4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78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0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4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9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0" w:hRule="atLeast"/>
        </w:trPr>
        <w:tc>
          <w:tcPr>
            <w:tcW w:w="3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7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994.63</w:t>
            </w: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809.14</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809.14</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994.63</w:t>
            </w: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833.14</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833.14</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280.00</w:t>
            </w: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441.49</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441.49</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280.00</w:t>
            </w: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1,274.63</w:t>
            </w:r>
          </w:p>
        </w:tc>
        <w:tc>
          <w:tcPr>
            <w:tcW w:w="37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1,274.63</w:t>
            </w:r>
          </w:p>
        </w:tc>
        <w:tc>
          <w:tcPr>
            <w:tcW w:w="14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1,274.63</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pStyle w:val="3"/>
      </w:pPr>
    </w:p>
    <w:p>
      <w:pPr>
        <w:pStyle w:val="5"/>
      </w:pPr>
    </w:p>
    <w:p/>
    <w:p>
      <w:pPr>
        <w:pStyle w:val="2"/>
      </w:pPr>
    </w:p>
    <w:p>
      <w:pPr>
        <w:pStyle w:val="3"/>
      </w:pPr>
    </w:p>
    <w:p>
      <w:pPr>
        <w:pStyle w:val="5"/>
      </w:pPr>
    </w:p>
    <w:p/>
    <w:p>
      <w:pPr>
        <w:pStyle w:val="2"/>
      </w:pPr>
    </w:p>
    <w:p>
      <w:pPr>
        <w:pStyle w:val="3"/>
      </w:pPr>
    </w:p>
    <w:p>
      <w:pPr>
        <w:pStyle w:val="5"/>
      </w:pPr>
    </w:p>
    <w:p/>
    <w:p>
      <w:pPr>
        <w:pStyle w:val="2"/>
      </w:pPr>
    </w:p>
    <w:p>
      <w:pPr>
        <w:pStyle w:val="3"/>
      </w:pPr>
    </w:p>
    <w:p>
      <w:pPr>
        <w:pStyle w:val="5"/>
      </w:pPr>
    </w:p>
    <w:p/>
    <w:p>
      <w:pPr>
        <w:pStyle w:val="2"/>
      </w:pPr>
    </w:p>
    <w:p>
      <w:pPr>
        <w:pStyle w:val="3"/>
      </w:pPr>
    </w:p>
    <w:p>
      <w:pPr>
        <w:pStyle w:val="5"/>
      </w:pPr>
    </w:p>
    <w:p/>
    <w:p>
      <w:pPr>
        <w:pStyle w:val="2"/>
      </w:pPr>
    </w:p>
    <w:p>
      <w:pPr>
        <w:pStyle w:val="3"/>
      </w:pPr>
    </w:p>
    <w:p>
      <w:pPr>
        <w:pStyle w:val="5"/>
      </w:pPr>
    </w:p>
    <w:tbl>
      <w:tblPr>
        <w:tblStyle w:val="10"/>
        <w:tblW w:w="12047" w:type="dxa"/>
        <w:tblInd w:w="16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592"/>
        <w:gridCol w:w="4789"/>
        <w:gridCol w:w="2191"/>
        <w:gridCol w:w="1860"/>
        <w:gridCol w:w="20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12047" w:type="dxa"/>
            <w:gridSpan w:val="7"/>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9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78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19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6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08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8100"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部门：湖南省农作物种质资源保护与良种繁育中心</w:t>
            </w:r>
          </w:p>
        </w:tc>
        <w:tc>
          <w:tcPr>
            <w:tcW w:w="186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08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90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13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78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19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08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1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7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7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90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90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833.14</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367.53</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465.61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ind w:right="-258" w:rightChars="-123"/>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809.14</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343.53</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465.61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670.63</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343.53</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327.10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69.89</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69.89</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273.64</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273.64</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2130111</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统计监测与信息服务</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308.10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农业资源保护修复与利用</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21302</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林业和草原</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138.51</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2130299</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其他林业和草原支出</w:t>
            </w:r>
          </w:p>
        </w:tc>
        <w:tc>
          <w:tcPr>
            <w:tcW w:w="21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138.51</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047" w:type="dxa"/>
            <w:gridSpan w:val="7"/>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p>
      <w:pPr>
        <w:pStyle w:val="2"/>
      </w:pPr>
    </w:p>
    <w:p>
      <w:pPr>
        <w:pStyle w:val="3"/>
        <w:ind w:left="-199" w:leftChars="-95" w:firstLine="0" w:firstLineChars="0"/>
      </w:pPr>
      <w:r>
        <w:drawing>
          <wp:inline distT="0" distB="0" distL="114300" distR="114300">
            <wp:extent cx="9772015" cy="6050915"/>
            <wp:effectExtent l="0" t="0" r="698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772015" cy="6050915"/>
                    </a:xfrm>
                    <a:prstGeom prst="rect">
                      <a:avLst/>
                    </a:prstGeom>
                    <a:noFill/>
                    <a:ln>
                      <a:noFill/>
                    </a:ln>
                  </pic:spPr>
                </pic:pic>
              </a:graphicData>
            </a:graphic>
          </wp:inline>
        </w:drawing>
      </w:r>
    </w:p>
    <w:tbl>
      <w:tblPr>
        <w:tblStyle w:val="10"/>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
        <w:gridCol w:w="910"/>
        <w:gridCol w:w="240"/>
        <w:gridCol w:w="176"/>
        <w:gridCol w:w="701"/>
        <w:gridCol w:w="525"/>
        <w:gridCol w:w="1767"/>
        <w:gridCol w:w="352"/>
        <w:gridCol w:w="2119"/>
        <w:gridCol w:w="844"/>
        <w:gridCol w:w="1275"/>
        <w:gridCol w:w="2040"/>
        <w:gridCol w:w="79"/>
        <w:gridCol w:w="2119"/>
        <w:gridCol w:w="1973"/>
        <w:gridCol w:w="1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0" w:hRule="atLeast"/>
        </w:trPr>
        <w:tc>
          <w:tcPr>
            <w:tcW w:w="15360" w:type="dxa"/>
            <w:gridSpan w:val="1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pStyle w:val="2"/>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1003"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gridSpan w:val="3"/>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0" w:hRule="atLeast"/>
        </w:trPr>
        <w:tc>
          <w:tcPr>
            <w:tcW w:w="6883" w:type="dxa"/>
            <w:gridSpan w:val="9"/>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部门：湖南省农作物种质资源保护与良种繁育中心</w:t>
            </w: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9" w:hRule="atLeast"/>
        </w:trPr>
        <w:tc>
          <w:tcPr>
            <w:tcW w:w="26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8"/>
                <w:lang w:val="en-US" w:eastAsia="zh-CN" w:bidi="ar"/>
              </w:rPr>
              <w:t xml:space="preserve">   </w:t>
            </w:r>
            <w:r>
              <w:rPr>
                <w:rStyle w:val="19"/>
                <w:lang w:val="en-US" w:eastAsia="zh-CN" w:bidi="ar"/>
              </w:rPr>
              <w:t>目</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9" w:hRule="atLeast"/>
        </w:trPr>
        <w:tc>
          <w:tcPr>
            <w:tcW w:w="124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9" w:hRule="atLeast"/>
        </w:trPr>
        <w:tc>
          <w:tcPr>
            <w:tcW w:w="12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6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6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5" w:hRule="atLeast"/>
        </w:trPr>
        <w:tc>
          <w:tcPr>
            <w:tcW w:w="15360" w:type="dxa"/>
            <w:gridSpan w:val="1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963" w:hRule="atLeast"/>
        </w:trPr>
        <w:tc>
          <w:tcPr>
            <w:tcW w:w="15120" w:type="dxa"/>
            <w:gridSpan w:val="14"/>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417" w:hRule="atLeast"/>
        </w:trPr>
        <w:tc>
          <w:tcPr>
            <w:tcW w:w="1326" w:type="dxa"/>
            <w:gridSpan w:val="3"/>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gridSpan w:val="3"/>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417" w:hRule="atLeast"/>
        </w:trPr>
        <w:tc>
          <w:tcPr>
            <w:tcW w:w="7634" w:type="dxa"/>
            <w:gridSpan w:val="9"/>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部门：湖南省农作物种质资源保护与良种繁育中心</w:t>
            </w:r>
          </w:p>
        </w:tc>
        <w:tc>
          <w:tcPr>
            <w:tcW w:w="3315"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gridSpan w:val="3"/>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20"/>
                <w:lang w:val="en-US" w:eastAsia="zh-CN" w:bidi="ar"/>
              </w:rPr>
              <w:t>目</w:t>
            </w:r>
          </w:p>
        </w:tc>
        <w:tc>
          <w:tcPr>
            <w:tcW w:w="108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548" w:hRule="atLeast"/>
        </w:trPr>
        <w:tc>
          <w:tcPr>
            <w:tcW w:w="2027"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548" w:hRule="atLeast"/>
        </w:trPr>
        <w:tc>
          <w:tcPr>
            <w:tcW w:w="202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548" w:hRule="atLeast"/>
        </w:trPr>
        <w:tc>
          <w:tcPr>
            <w:tcW w:w="202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147" w:type="dxa"/>
          <w:trHeight w:val="976" w:hRule="atLeast"/>
        </w:trPr>
        <w:tc>
          <w:tcPr>
            <w:tcW w:w="15120" w:type="dxa"/>
            <w:gridSpan w:val="1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10"/>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5043"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部门：湖南省农作物种质资源保护与良种繁育中心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lang w:val="en-US" w:eastAsia="zh-CN"/>
              </w:rPr>
            </w:pPr>
            <w:r>
              <w:rPr>
                <w:rFonts w:hint="eastAsia"/>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p>
            <w:pPr>
              <w:pStyle w:val="2"/>
              <w:rPr>
                <w:rFonts w:hint="default"/>
                <w:lang w:val="en-US"/>
              </w:rPr>
            </w:pPr>
            <w:r>
              <w:rPr>
                <w:rFonts w:hint="eastAsia" w:ascii="楷体" w:hAnsi="楷体" w:eastAsia="楷体" w:cs="楷体"/>
                <w:b/>
                <w:bCs/>
                <w:i w:val="0"/>
                <w:color w:val="auto"/>
                <w:kern w:val="0"/>
                <w:sz w:val="24"/>
                <w:szCs w:val="24"/>
                <w:u w:val="none"/>
                <w:lang w:val="en-US" w:eastAsia="zh-CN" w:bidi="ar"/>
              </w:rPr>
              <w:t>说明：我单位无财政拨款“三公”经费支出，故本表无数据。</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5"/>
        <w:rPr>
          <w:sz w:val="72"/>
          <w:szCs w:val="72"/>
        </w:rPr>
      </w:pPr>
    </w:p>
    <w:p>
      <w:pPr>
        <w:pStyle w:val="15"/>
        <w:rPr>
          <w:sz w:val="72"/>
          <w:szCs w:val="72"/>
        </w:rPr>
      </w:pPr>
    </w:p>
    <w:p>
      <w:pPr>
        <w:pStyle w:val="15"/>
        <w:rPr>
          <w:sz w:val="72"/>
          <w:szCs w:val="72"/>
        </w:rPr>
      </w:pPr>
    </w:p>
    <w:p>
      <w:pPr>
        <w:pStyle w:val="15"/>
        <w:rPr>
          <w:sz w:val="72"/>
          <w:szCs w:val="72"/>
        </w:rPr>
      </w:pPr>
    </w:p>
    <w:p>
      <w:pPr>
        <w:pStyle w:val="15"/>
        <w:jc w:val="center"/>
        <w:rPr>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1762.99</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1371.80</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43.76</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减少了</w:t>
      </w:r>
      <w:r>
        <w:rPr>
          <w:rFonts w:hint="eastAsia" w:ascii="Times New Roman" w:hAnsi="Times New Roman" w:eastAsia="仿宋_GB2312"/>
          <w:sz w:val="32"/>
          <w:szCs w:val="32"/>
        </w:rPr>
        <w:t>湖南省2021年农业野生植物（野生茶）原生境保护区建设项目</w:t>
      </w:r>
      <w:r>
        <w:rPr>
          <w:rFonts w:hint="eastAsia" w:ascii="Times New Roman" w:hAnsi="Times New Roman" w:eastAsia="仿宋_GB2312"/>
          <w:sz w:val="32"/>
          <w:szCs w:val="32"/>
          <w:lang w:eastAsia="zh-CN"/>
        </w:rPr>
        <w:t>、湖南省2021年农业野生植物（野生茶）原生境保护区建设项目。</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1482.99</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994.63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67.07</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488.36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32.93</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1321.50</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367.53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27.81</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465.61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35.23</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488.36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36.95</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1274.63</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1297.92</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w:t>
      </w:r>
      <w:r>
        <w:rPr>
          <w:rFonts w:hint="eastAsia" w:ascii="Times New Roman" w:hAnsi="Times New Roman" w:eastAsia="仿宋_GB2312"/>
          <w:sz w:val="32"/>
          <w:szCs w:val="32"/>
          <w:lang w:val="en-US" w:eastAsia="zh-CN"/>
        </w:rPr>
        <w:t>50.45</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减少了</w:t>
      </w:r>
      <w:r>
        <w:rPr>
          <w:rFonts w:hint="eastAsia" w:ascii="Times New Roman" w:hAnsi="Times New Roman" w:eastAsia="仿宋_GB2312"/>
          <w:sz w:val="32"/>
          <w:szCs w:val="32"/>
        </w:rPr>
        <w:t>湖南省2021年农业野生植物（野生茶）原生境保护区建设项目</w:t>
      </w:r>
      <w:r>
        <w:rPr>
          <w:rFonts w:hint="eastAsia" w:ascii="Times New Roman" w:hAnsi="Times New Roman" w:eastAsia="仿宋_GB2312"/>
          <w:sz w:val="32"/>
          <w:szCs w:val="32"/>
          <w:lang w:eastAsia="zh-CN"/>
        </w:rPr>
        <w:t>、湖南省2021年农业野生植物（野生茶）原生境保护区建设项目。</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833.14</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63.05</w:t>
      </w:r>
      <w:r>
        <w:rPr>
          <w:rFonts w:hint="eastAsia" w:ascii="Times New Roman" w:hAnsi="Times New Roman" w:eastAsia="仿宋_GB2312"/>
          <w:sz w:val="32"/>
          <w:szCs w:val="32"/>
        </w:rPr>
        <w:t>%，与上年相比，财政拨款支出减少</w:t>
      </w:r>
      <w:r>
        <w:rPr>
          <w:rFonts w:hint="eastAsia" w:ascii="Times New Roman" w:hAnsi="Times New Roman" w:eastAsia="仿宋_GB2312"/>
          <w:sz w:val="32"/>
          <w:szCs w:val="32"/>
          <w:lang w:val="en-US" w:eastAsia="zh-CN"/>
        </w:rPr>
        <w:t>1253.84</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60.08</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减少了</w:t>
      </w:r>
      <w:r>
        <w:rPr>
          <w:rFonts w:hint="eastAsia" w:ascii="Times New Roman" w:hAnsi="Times New Roman" w:eastAsia="仿宋_GB2312"/>
          <w:sz w:val="32"/>
          <w:szCs w:val="32"/>
        </w:rPr>
        <w:t>湖南省2021年农业野生植物（野生茶）原生境保护区建设项目</w:t>
      </w:r>
      <w:r>
        <w:rPr>
          <w:rFonts w:hint="eastAsia" w:ascii="Times New Roman" w:hAnsi="Times New Roman" w:eastAsia="仿宋_GB2312"/>
          <w:sz w:val="32"/>
          <w:szCs w:val="32"/>
          <w:lang w:eastAsia="zh-CN"/>
        </w:rPr>
        <w:t>、湖南省2021年农业野生植物（野生茶）原生境保护区建设项目。</w:t>
      </w:r>
    </w:p>
    <w:p>
      <w:pPr>
        <w:pStyle w:val="15"/>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833.14</w:t>
      </w:r>
      <w:r>
        <w:rPr>
          <w:rFonts w:hint="eastAsia" w:ascii="Times New Roman" w:hAnsi="Times New Roman" w:eastAsia="仿宋_GB2312"/>
          <w:sz w:val="32"/>
          <w:szCs w:val="32"/>
        </w:rPr>
        <w:t>万元，主要用于以下方面：社会保障和就业（类）支出</w:t>
      </w:r>
      <w:r>
        <w:rPr>
          <w:rFonts w:hint="eastAsia" w:ascii="Times New Roman" w:hAnsi="Times New Roman" w:eastAsia="仿宋_GB2312"/>
          <w:sz w:val="32"/>
          <w:szCs w:val="32"/>
          <w:lang w:val="en-US" w:eastAsia="zh-CN"/>
        </w:rPr>
        <w:t>24.00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2.88</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809.14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97.12</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675.64</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833.14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w:t>
      </w:r>
    </w:p>
    <w:p>
      <w:pPr>
        <w:pStyle w:val="15"/>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1、社会保障和就业（类）行政事业单位养老支出（款）机关事业单位基本养老保险缴费支出（项）。</w:t>
      </w:r>
    </w:p>
    <w:p>
      <w:pPr>
        <w:pStyle w:val="15"/>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22.00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22.00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5"/>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2、社会保障和就业（类）抚恤（款）死亡抚恤（项）。</w:t>
      </w:r>
    </w:p>
    <w:p>
      <w:pPr>
        <w:pStyle w:val="15"/>
        <w:spacing w:line="600" w:lineRule="exact"/>
        <w:ind w:firstLine="800" w:firstLineChars="25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2.00</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年中追加抚恤金。</w:t>
      </w:r>
    </w:p>
    <w:p>
      <w:pPr>
        <w:pStyle w:val="15"/>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、农林水（类）农业农村（款）行政运行（项）。</w:t>
      </w:r>
    </w:p>
    <w:p>
      <w:pPr>
        <w:pStyle w:val="15"/>
        <w:spacing w:line="600" w:lineRule="exact"/>
        <w:ind w:firstLine="800" w:firstLineChars="25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69.89</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年中追加人员经费。</w:t>
      </w:r>
    </w:p>
    <w:p>
      <w:pPr>
        <w:pStyle w:val="15"/>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、农林水（类）农业农村（款）事业运行（项）。</w:t>
      </w:r>
    </w:p>
    <w:p>
      <w:pPr>
        <w:pStyle w:val="15"/>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273.64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273.64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5"/>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农林水（类）农业农村（款）统计监测与信息服务（项）。</w:t>
      </w:r>
    </w:p>
    <w:p>
      <w:pPr>
        <w:pStyle w:val="15"/>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14.00</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年中追加农业农村资源统计监测预警项目资金</w:t>
      </w:r>
      <w:r>
        <w:rPr>
          <w:rFonts w:hint="eastAsia" w:ascii="Times New Roman" w:hAnsi="Times New Roman" w:eastAsia="仿宋_GB2312"/>
          <w:sz w:val="32"/>
          <w:szCs w:val="32"/>
          <w:lang w:eastAsia="zh-CN"/>
        </w:rPr>
        <w:t>。</w:t>
      </w:r>
    </w:p>
    <w:p>
      <w:pPr>
        <w:pStyle w:val="15"/>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、农林水（类）农业农村（款）农业生产发展（项）。</w:t>
      </w:r>
    </w:p>
    <w:p>
      <w:pPr>
        <w:pStyle w:val="15"/>
        <w:spacing w:line="600" w:lineRule="exact"/>
        <w:ind w:firstLine="800" w:firstLineChars="25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308.10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年中追加</w:t>
      </w:r>
      <w:r>
        <w:rPr>
          <w:rFonts w:hint="eastAsia" w:ascii="Times New Roman" w:hAnsi="Times New Roman" w:eastAsia="仿宋_GB2312"/>
          <w:sz w:val="32"/>
          <w:szCs w:val="32"/>
        </w:rPr>
        <w:t>优势特色产业集群区域品牌及总联盟组建费</w:t>
      </w:r>
      <w:r>
        <w:rPr>
          <w:rFonts w:hint="eastAsia" w:ascii="Times New Roman" w:hAnsi="Times New Roman" w:eastAsia="仿宋_GB2312"/>
          <w:sz w:val="32"/>
          <w:szCs w:val="32"/>
          <w:lang w:val="en-US" w:eastAsia="zh-CN"/>
        </w:rPr>
        <w:t>项目资金。</w:t>
      </w:r>
    </w:p>
    <w:p>
      <w:pPr>
        <w:pStyle w:val="15"/>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、农林水（类）农业农村（款）农业资源保护修复与利用</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项）。</w:t>
      </w:r>
    </w:p>
    <w:p>
      <w:pPr>
        <w:pStyle w:val="15"/>
        <w:spacing w:line="600" w:lineRule="exact"/>
        <w:ind w:firstLine="800" w:firstLineChars="25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5.00</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w:t>
      </w:r>
      <w:r>
        <w:rPr>
          <w:rFonts w:hint="eastAsia" w:ascii="Times New Roman" w:hAnsi="Times New Roman" w:eastAsia="仿宋_GB2312"/>
          <w:sz w:val="32"/>
          <w:szCs w:val="32"/>
        </w:rPr>
        <w:t>农业种质资源保护与利用</w:t>
      </w:r>
      <w:r>
        <w:rPr>
          <w:rFonts w:hint="eastAsia" w:ascii="Times New Roman" w:hAnsi="Times New Roman" w:eastAsia="仿宋_GB2312"/>
          <w:sz w:val="32"/>
          <w:szCs w:val="32"/>
          <w:lang w:val="en-US" w:eastAsia="zh-CN"/>
        </w:rPr>
        <w:t>项目资金。</w:t>
      </w:r>
    </w:p>
    <w:p>
      <w:pPr>
        <w:pStyle w:val="15"/>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、农林水（类）林业和草原（款）其他林业和草原支出（项）。</w:t>
      </w:r>
    </w:p>
    <w:p>
      <w:pPr>
        <w:pStyle w:val="15"/>
        <w:spacing w:line="600" w:lineRule="exact"/>
        <w:ind w:firstLine="800" w:firstLineChars="25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280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138.51</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49.47</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项目已完成，资金有结余。</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367.53</w:t>
      </w:r>
      <w:r>
        <w:rPr>
          <w:rFonts w:hint="eastAsia" w:ascii="Times New Roman" w:hAnsi="Times New Roman" w:eastAsia="仿宋_GB2312"/>
          <w:sz w:val="32"/>
          <w:szCs w:val="32"/>
        </w:rPr>
        <w:t>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353.53</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96.19</w:t>
      </w:r>
      <w:r>
        <w:rPr>
          <w:rFonts w:hint="eastAsia" w:ascii="Times New Roman" w:hAnsi="Times New Roman" w:eastAsia="仿宋_GB2312"/>
          <w:sz w:val="32"/>
          <w:szCs w:val="32"/>
        </w:rPr>
        <w:t>%,主要包括基本工资、津贴补贴、绩效工资</w:t>
      </w:r>
      <w:r>
        <w:rPr>
          <w:rFonts w:hint="eastAsia" w:ascii="Times New Roman" w:hAnsi="Times New Roman" w:eastAsia="仿宋_GB2312"/>
          <w:sz w:val="32"/>
          <w:szCs w:val="32"/>
          <w:lang w:eastAsia="zh-CN"/>
        </w:rPr>
        <w:t>、机关事业单位基本养老保险缴费、住房公积金、</w:t>
      </w:r>
      <w:r>
        <w:rPr>
          <w:rFonts w:hint="eastAsia" w:ascii="Times New Roman" w:hAnsi="Times New Roman" w:eastAsia="仿宋_GB2312"/>
          <w:sz w:val="32"/>
          <w:szCs w:val="32"/>
          <w:lang w:val="en-US" w:eastAsia="zh-CN"/>
        </w:rPr>
        <w:t>退休费等</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14.00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3.81</w:t>
      </w:r>
      <w:r>
        <w:rPr>
          <w:rFonts w:hint="eastAsia" w:ascii="Times New Roman" w:hAnsi="Times New Roman" w:eastAsia="仿宋_GB2312"/>
          <w:sz w:val="32"/>
          <w:szCs w:val="32"/>
        </w:rPr>
        <w:t>%，主要包括办公费、</w:t>
      </w:r>
      <w:r>
        <w:rPr>
          <w:rFonts w:hint="eastAsia" w:ascii="Times New Roman" w:hAnsi="Times New Roman" w:eastAsia="仿宋_GB2312"/>
          <w:sz w:val="32"/>
          <w:szCs w:val="32"/>
          <w:lang w:val="en-US" w:eastAsia="zh-CN"/>
        </w:rPr>
        <w:t>水费、电费、邮电费、差旅费、其他交通费、其他商品和服务支出等。</w:t>
      </w:r>
    </w:p>
    <w:p>
      <w:pPr>
        <w:pStyle w:val="15"/>
        <w:keepNext w:val="0"/>
        <w:keepLines w:val="0"/>
        <w:pageBreakBefore w:val="0"/>
        <w:widowControl w:val="0"/>
        <w:numPr>
          <w:ilvl w:val="0"/>
          <w:numId w:val="3"/>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财政拨款三公经费支出决算情况说明</w:t>
      </w:r>
    </w:p>
    <w:p>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本单位无政府性基金收支</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无</w:t>
      </w:r>
      <w:r>
        <w:rPr>
          <w:rFonts w:hint="eastAsia" w:ascii="Times New Roman" w:hAnsi="Times New Roman" w:eastAsia="仿宋_GB2312"/>
          <w:sz w:val="32"/>
          <w:szCs w:val="32"/>
        </w:rPr>
        <w:t>机关运行经费支出。</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万元，开支培训费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未</w:t>
      </w:r>
      <w:r>
        <w:rPr>
          <w:rFonts w:hint="eastAsia" w:ascii="Times New Roman" w:hAnsi="Times New Roman" w:eastAsia="仿宋_GB2312"/>
          <w:sz w:val="32"/>
          <w:szCs w:val="32"/>
        </w:rPr>
        <w:t>举办节庆、晚会、论坛、赛事活动。</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297.60</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297.60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297.60</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297.60</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%。工程采购授予中小企业合同金额占工程支出金额的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单位</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仿宋" w:hAnsi="仿宋" w:eastAsia="仿宋" w:cs="仿宋"/>
          <w:bCs w:val="0"/>
          <w:color w:val="auto"/>
          <w:kern w:val="2"/>
          <w:sz w:val="32"/>
          <w:szCs w:val="32"/>
          <w:lang w:val="en-US" w:eastAsia="zh-CN" w:bidi="ar-SA"/>
        </w:rPr>
      </w:pPr>
      <w:r>
        <w:rPr>
          <w:rFonts w:hint="eastAsia" w:ascii="仿宋" w:hAnsi="仿宋" w:eastAsia="仿宋" w:cs="仿宋"/>
          <w:bCs w:val="0"/>
          <w:color w:val="auto"/>
          <w:kern w:val="2"/>
          <w:sz w:val="32"/>
          <w:szCs w:val="32"/>
          <w:lang w:val="en-US" w:eastAsia="zh-CN" w:bidi="ar-SA"/>
        </w:rPr>
        <w:t>一是加强管理度建设。把制度建设作为开展绩效管理的关键环节，进一步增强支出责任和效率意识，全面加强预算管理，优化资源配置提高财政资金使用效率和科学精细化管理水平，提升政府执行力和公信力。二是全面实施预算项目绩效目标管理。加强预算编制绩效管理。一方面，强化项目绩效目标。每年对单位申报的预算项目进行全面梳理、加强审核、合理保障，所有项目必须有明细的资金测算，对无具体内容无明细支出测算的，或支出测算不够细化的项目，一律不子安排。</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1、履职效能</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中心主要职能为农作物种质资源保护、良种繁育与技术示范，2023年，中心对现有中心现有种质资源圃100多个特色水果品种进行鉴定观察；对园内400个柑橘种质资源进行了黄龙病、衰退病、碎叶病、裂皮病、黄脉病5种危险性病害鉴定，并进行温室隔离种植栽培管理；抓好全省野生植物原生境保护区的运行监管。重点繁育示范推广了以柑橘为主的果树优良品种80个以上，繁育出圃柑橘、桃、梨、李、猕猴桃等优良容器种苗30万株以上，其中繁育出圃无病毒柑橘良种种苗20多万株，为全省柑橘大面积品改提供种苗服务。已将原柑橘园的南丰蜜桔、尾张、宫川、朋娜脐橙等品种改种为美国糖橘、金秋砂糖橘、红美人、冰糖柚、橘柚等，将原李、无花果、石榴等果园老化低产品种改种为布兰瑞克无花果、大秋甜柿、翠冠梨、荸荠杨梅等，品改面积50亩左右，将大大提升园区水果品质。</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default"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2、专项绩效</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eastAsia" w:ascii="仿宋" w:hAnsi="仿宋" w:eastAsia="仿宋" w:cs="仿宋"/>
          <w:bCs w:val="0"/>
          <w:kern w:val="2"/>
          <w:sz w:val="32"/>
          <w:szCs w:val="32"/>
          <w:lang w:val="en-US" w:eastAsia="zh-CN" w:bidi="ar-SA"/>
        </w:rPr>
      </w:pPr>
      <w:r>
        <w:rPr>
          <w:rFonts w:hint="default" w:ascii="仿宋" w:hAnsi="仿宋" w:eastAsia="仿宋" w:cs="仿宋"/>
          <w:bCs w:val="0"/>
          <w:kern w:val="2"/>
          <w:sz w:val="32"/>
          <w:szCs w:val="32"/>
          <w:lang w:val="en-US" w:eastAsia="zh-CN" w:bidi="ar-SA"/>
        </w:rPr>
        <w:t>农机购置与应用补贴支出</w:t>
      </w:r>
      <w:r>
        <w:rPr>
          <w:rFonts w:hint="eastAsia" w:ascii="仿宋" w:hAnsi="仿宋" w:eastAsia="仿宋" w:cs="仿宋"/>
          <w:bCs w:val="0"/>
          <w:kern w:val="2"/>
          <w:sz w:val="32"/>
          <w:szCs w:val="32"/>
          <w:lang w:val="en-US" w:eastAsia="zh-CN" w:bidi="ar-SA"/>
        </w:rPr>
        <w:t>主要用于新建智能玻璃温室、添置安装水肥一体化系统和智慧管理系统，项目建成后，将进一步提升全省果业规模化、精细化、集聚化、产业化、现代化、智能化发展水平，带动全省建设现代化设施农业基地，促进湖南优质高效现代农业的大发展，同时提高我省“果盘子”的供应能力。</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农业信息监测、调查专项主要以水果、蔬菜、粮油等重点农产品为主，在辐射京津冀地区的北京新发地农产品批发市场、首衡高碑店国际农产品交易中心、北京京丰岳各庄农副产品批发市场等地开展市场调查，重点调查市场行情、价格走势、供求信息、经销商情况，采集农产品价格走势及供求信息，进行综合分析研判。通过市场调研，为湖南优农展销馆开展大宗农产品展示展销、产销对接、产品直销做好前期准备，打下良好的基础。</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default"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农业种质资源普查与保护专项主要用于杨梅、枇杷、李等资源圃、仁果类资源圃的精细化培管与技术推广服务，有效保护园艺作物种质资源。</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sz w:val="72"/>
          <w:szCs w:val="72"/>
        </w:rPr>
      </w:pPr>
      <w:r>
        <w:rPr>
          <w:rFonts w:hint="eastAsia" w:ascii="仿宋" w:hAnsi="仿宋" w:eastAsia="仿宋" w:cs="仿宋"/>
          <w:bCs w:val="0"/>
          <w:kern w:val="2"/>
          <w:sz w:val="32"/>
          <w:szCs w:val="32"/>
          <w:lang w:val="en-US" w:eastAsia="zh-CN" w:bidi="ar-SA"/>
        </w:rPr>
        <w:t>存在的问题：不能长期发挥可持续的整体效益。原因分析：个别专项资金偏小，且无后续资金。</w:t>
      </w:r>
    </w:p>
    <w:p>
      <w:pPr>
        <w:pStyle w:val="15"/>
        <w:jc w:val="center"/>
        <w:rPr>
          <w:sz w:val="72"/>
          <w:szCs w:val="72"/>
        </w:rPr>
      </w:pPr>
    </w:p>
    <w:p>
      <w:pPr>
        <w:pStyle w:val="15"/>
        <w:jc w:val="center"/>
        <w:rPr>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pStyle w:val="15"/>
        <w:ind w:firstLine="600" w:firstLineChars="20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一）</w:t>
      </w:r>
      <w:r>
        <w:rPr>
          <w:rFonts w:hint="eastAsia" w:ascii="Times New Roman" w:hAnsi="仿宋" w:eastAsia="仿宋" w:cs="Times New Roman"/>
          <w:color w:val="000000" w:themeColor="text1"/>
          <w:sz w:val="30"/>
          <w:szCs w:val="30"/>
          <w14:textFill>
            <w14:solidFill>
              <w14:schemeClr w14:val="tx1"/>
            </w14:solidFill>
          </w14:textFill>
        </w:rPr>
        <w:t>基</w:t>
      </w:r>
      <w:r>
        <w:rPr>
          <w:rFonts w:ascii="Times New Roman" w:hAnsi="仿宋" w:eastAsia="仿宋" w:cs="Times New Roman"/>
          <w:color w:val="000000" w:themeColor="text1"/>
          <w:sz w:val="30"/>
          <w:szCs w:val="30"/>
          <w14:textFill>
            <w14:solidFill>
              <w14:schemeClr w14:val="tx1"/>
            </w14:solidFill>
          </w14:textFill>
        </w:rPr>
        <w:t>本支出：指为保障机构正常运转、完成日常工作任务而 发生的各项支出，包括人员支出和公用支出。</w:t>
      </w:r>
    </w:p>
    <w:p>
      <w:pPr>
        <w:pStyle w:val="15"/>
        <w:ind w:firstLine="450" w:firstLineChars="15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二）</w:t>
      </w:r>
      <w:r>
        <w:rPr>
          <w:rFonts w:ascii="Times New Roman" w:hAnsi="仿宋" w:eastAsia="仿宋" w:cs="Times New Roman"/>
          <w:color w:val="000000" w:themeColor="text1"/>
          <w:sz w:val="30"/>
          <w:szCs w:val="30"/>
          <w14:textFill>
            <w14:solidFill>
              <w14:schemeClr w14:val="tx1"/>
            </w14:solidFill>
          </w14:textFill>
        </w:rPr>
        <w:t xml:space="preserve"> 项目支出：指在基本支出以外为完成相关行政任务和事业 发展目标所发生的各项支出。 </w:t>
      </w:r>
    </w:p>
    <w:p>
      <w:pPr>
        <w:pStyle w:val="15"/>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三）</w:t>
      </w:r>
      <w:r>
        <w:rPr>
          <w:rFonts w:ascii="Times New Roman" w:hAnsi="仿宋" w:eastAsia="仿宋" w:cs="Times New Roman"/>
          <w:color w:val="000000" w:themeColor="text1"/>
          <w:sz w:val="30"/>
          <w:szCs w:val="30"/>
          <w14:textFill>
            <w14:solidFill>
              <w14:schemeClr w14:val="tx1"/>
            </w14:solidFill>
          </w14:textFill>
        </w:rPr>
        <w:t>“</w:t>
      </w:r>
      <w:r>
        <w:rPr>
          <w:rFonts w:hint="eastAsia" w:ascii="仿宋" w:hAnsi="仿宋" w:eastAsia="仿宋" w:cs="黑体"/>
          <w:bCs/>
          <w:color w:val="000000"/>
          <w:kern w:val="0"/>
          <w:sz w:val="32"/>
          <w:szCs w:val="32"/>
          <w:lang w:val="en-US" w:eastAsia="zh-CN" w:bidi="ar-SA"/>
        </w:rPr>
        <w:t>“三公”经费:纳入省财政预算管理的“三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四）</w:t>
      </w:r>
      <w:r>
        <w:rPr>
          <w:rFonts w:ascii="Times New Roman" w:hAnsi="仿宋" w:eastAsia="仿宋" w:cs="Times New Roman"/>
          <w:color w:val="000000" w:themeColor="text1"/>
          <w:sz w:val="30"/>
          <w:szCs w:val="30"/>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rPr>
          <w:sz w:val="72"/>
          <w:szCs w:val="72"/>
        </w:rPr>
      </w:pPr>
      <w:r>
        <w:rPr>
          <w:sz w:val="72"/>
          <w:szCs w:val="72"/>
        </w:rPr>
        <w:br w:type="page"/>
      </w: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w:t>
      </w:r>
      <w:bookmarkStart w:id="2" w:name="_GoBack"/>
      <w:bookmarkEnd w:id="2"/>
      <w:r>
        <w:rPr>
          <w:rFonts w:hint="eastAsia" w:ascii="Times New Roman" w:hAnsi="Times New Roman" w:eastAsia="仿宋_GB2312"/>
          <w:sz w:val="32"/>
          <w:szCs w:val="32"/>
          <w:lang w:val="en-US" w:eastAsia="zh-CN"/>
        </w:rPr>
        <w:t>整体支出绩效自评报告。</w:t>
      </w:r>
    </w:p>
    <w:p>
      <w:pPr>
        <w:widowControl/>
        <w:spacing w:afterLines="0" w:line="400" w:lineRule="exact"/>
        <w:jc w:val="center"/>
        <w:rPr>
          <w:rFonts w:hint="eastAsia" w:ascii="方正小标宋简体" w:hAnsi="方正小标宋简体" w:eastAsia="方正小标宋简体" w:cs="方正小标宋简体"/>
          <w:b w:val="0"/>
          <w:bCs/>
          <w:spacing w:val="-8"/>
          <w:kern w:val="44"/>
          <w:sz w:val="36"/>
          <w:szCs w:val="36"/>
          <w:lang w:val="en-US" w:eastAsia="zh-CN" w:bidi="ar-SA"/>
        </w:rPr>
      </w:pPr>
      <w:r>
        <w:rPr>
          <w:rFonts w:hint="eastAsia" w:ascii="方正小标宋简体" w:hAnsi="方正小标宋简体" w:eastAsia="方正小标宋简体" w:cs="方正小标宋简体"/>
          <w:b w:val="0"/>
          <w:bCs/>
          <w:spacing w:val="-8"/>
          <w:kern w:val="44"/>
          <w:sz w:val="36"/>
          <w:szCs w:val="36"/>
          <w:lang w:val="en-US" w:eastAsia="zh-CN" w:bidi="ar-SA"/>
        </w:rPr>
        <w:t>2023年度湖南省农作物种质资源保护与良种繁育中心</w:t>
      </w:r>
    </w:p>
    <w:p>
      <w:pPr>
        <w:jc w:val="center"/>
        <w:rPr>
          <w:rFonts w:hint="eastAsia" w:ascii="方正小标宋简体" w:hAnsi="方正小标宋简体" w:eastAsia="方正小标宋简体" w:cs="方正小标宋简体"/>
          <w:spacing w:val="-8"/>
          <w:sz w:val="44"/>
          <w:szCs w:val="44"/>
        </w:rPr>
      </w:pPr>
      <w:r>
        <w:rPr>
          <w:rFonts w:hint="eastAsia" w:ascii="方正小标宋简体" w:hAnsi="方正小标宋简体" w:eastAsia="方正小标宋简体" w:cs="方正小标宋简体"/>
          <w:b w:val="0"/>
          <w:bCs/>
          <w:spacing w:val="-8"/>
          <w:kern w:val="44"/>
          <w:sz w:val="36"/>
          <w:szCs w:val="36"/>
          <w:lang w:val="en-US" w:eastAsia="zh-CN" w:bidi="ar-SA"/>
        </w:rPr>
        <w:t>整体支出绩效</w:t>
      </w:r>
      <w:r>
        <w:rPr>
          <w:rFonts w:hint="eastAsia" w:ascii="方正小标宋简体" w:hAnsi="方正小标宋简体" w:eastAsia="方正小标宋简体" w:cs="方正小标宋简体"/>
          <w:b w:val="0"/>
          <w:bCs/>
          <w:spacing w:val="-8"/>
          <w:sz w:val="36"/>
          <w:szCs w:val="36"/>
        </w:rPr>
        <w:t>自评报告</w:t>
      </w:r>
    </w:p>
    <w:p>
      <w:pPr>
        <w:pStyle w:val="6"/>
        <w:spacing w:line="560" w:lineRule="atLeast"/>
        <w:ind w:firstLine="640"/>
        <w:rPr>
          <w:sz w:val="32"/>
          <w:szCs w:val="32"/>
        </w:rPr>
      </w:pPr>
    </w:p>
    <w:p>
      <w:pPr>
        <w:pStyle w:val="6"/>
        <w:keepNext w:val="0"/>
        <w:keepLines w:val="0"/>
        <w:pageBreakBefore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黑体" w:hAnsi="黑体" w:eastAsia="黑体" w:cs="黑体"/>
          <w:bCs w:val="0"/>
          <w:kern w:val="2"/>
          <w:sz w:val="32"/>
          <w:szCs w:val="32"/>
          <w:lang w:val="en-US" w:eastAsia="zh-CN" w:bidi="ar-SA"/>
        </w:rPr>
      </w:pPr>
      <w:r>
        <w:rPr>
          <w:rFonts w:hint="eastAsia" w:ascii="黑体" w:hAnsi="黑体" w:eastAsia="黑体" w:cs="黑体"/>
          <w:bCs w:val="0"/>
          <w:kern w:val="2"/>
          <w:sz w:val="32"/>
          <w:szCs w:val="32"/>
          <w:lang w:val="en-US" w:eastAsia="zh-CN" w:bidi="ar-SA"/>
        </w:rPr>
        <w:t>一、部门（单位）基本情况</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（一）单位简况</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省农作物种质资源保护与良种繁育中心是省农业农村厅下属公益二类事业单位，主要职能为农作物种质资源收集、保存、保护、开发和利用，良种引进与繁育，良种试验示范与推广，现代农业设施与高新技术示范推广，农业科技培训与学术交流，科技成果转化应用，农业科普教育，现代农业高效发展模式探索与展示推广，现代农业信息服务等。</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（二)机构设置及人员情况</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bCs w:val="0"/>
          <w:kern w:val="2"/>
          <w:sz w:val="32"/>
          <w:szCs w:val="32"/>
          <w:lang w:val="en-US" w:eastAsia="zh-CN" w:bidi="ar-SA"/>
        </w:rPr>
      </w:pPr>
      <w:r>
        <w:rPr>
          <w:rFonts w:hint="eastAsia" w:ascii="仿宋" w:hAnsi="仿宋" w:eastAsia="仿宋" w:cs="仿宋"/>
          <w:b/>
          <w:bCs/>
          <w:kern w:val="2"/>
          <w:sz w:val="32"/>
          <w:szCs w:val="32"/>
          <w:lang w:val="en-US" w:eastAsia="zh-CN" w:bidi="ar-SA"/>
        </w:rPr>
        <w:t>1.机构设置</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我单位是省农业农村厅下属二级预算单位，下设置综合科、财务科、产业开发科、后勤服务科、良种繁育科、种质资源科、技术推广科七个科室。</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2.人员编制</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我单位</w:t>
      </w:r>
      <w:r>
        <w:rPr>
          <w:rFonts w:hint="default" w:ascii="仿宋" w:hAnsi="仿宋" w:eastAsia="仿宋" w:cs="仿宋"/>
          <w:bCs w:val="0"/>
          <w:kern w:val="2"/>
          <w:sz w:val="32"/>
          <w:szCs w:val="32"/>
          <w:lang w:val="en-US" w:eastAsia="zh-CN" w:bidi="ar-SA"/>
        </w:rPr>
        <w:t>有差额拨款事业编制1</w:t>
      </w:r>
      <w:r>
        <w:rPr>
          <w:rFonts w:hint="eastAsia" w:ascii="仿宋" w:hAnsi="仿宋" w:eastAsia="仿宋" w:cs="仿宋"/>
          <w:bCs w:val="0"/>
          <w:kern w:val="2"/>
          <w:sz w:val="32"/>
          <w:szCs w:val="32"/>
          <w:lang w:val="en-US" w:eastAsia="zh-CN" w:bidi="ar-SA"/>
        </w:rPr>
        <w:t>7</w:t>
      </w:r>
      <w:r>
        <w:rPr>
          <w:rFonts w:hint="default" w:ascii="仿宋" w:hAnsi="仿宋" w:eastAsia="仿宋" w:cs="仿宋"/>
          <w:bCs w:val="0"/>
          <w:kern w:val="2"/>
          <w:sz w:val="32"/>
          <w:szCs w:val="32"/>
          <w:lang w:val="en-US" w:eastAsia="zh-CN" w:bidi="ar-SA"/>
        </w:rPr>
        <w:t>名，实际在编员工</w:t>
      </w:r>
      <w:r>
        <w:rPr>
          <w:rFonts w:hint="eastAsia" w:ascii="仿宋" w:hAnsi="仿宋" w:eastAsia="仿宋" w:cs="仿宋"/>
          <w:bCs w:val="0"/>
          <w:kern w:val="2"/>
          <w:sz w:val="32"/>
          <w:szCs w:val="32"/>
          <w:lang w:val="en-US" w:eastAsia="zh-CN" w:bidi="ar-SA"/>
        </w:rPr>
        <w:t>16</w:t>
      </w:r>
      <w:r>
        <w:rPr>
          <w:rFonts w:hint="default" w:ascii="仿宋" w:hAnsi="仿宋" w:eastAsia="仿宋" w:cs="仿宋"/>
          <w:bCs w:val="0"/>
          <w:kern w:val="2"/>
          <w:sz w:val="32"/>
          <w:szCs w:val="32"/>
          <w:lang w:val="en-US" w:eastAsia="zh-CN" w:bidi="ar-SA"/>
        </w:rPr>
        <w:t>人，退休人员</w:t>
      </w:r>
      <w:r>
        <w:rPr>
          <w:rFonts w:hint="eastAsia" w:ascii="仿宋" w:hAnsi="仿宋" w:eastAsia="仿宋" w:cs="仿宋"/>
          <w:bCs w:val="0"/>
          <w:kern w:val="2"/>
          <w:sz w:val="32"/>
          <w:szCs w:val="32"/>
          <w:lang w:val="en-US" w:eastAsia="zh-CN" w:bidi="ar-SA"/>
        </w:rPr>
        <w:t>37</w:t>
      </w:r>
      <w:r>
        <w:rPr>
          <w:rFonts w:hint="default" w:ascii="仿宋" w:hAnsi="仿宋" w:eastAsia="仿宋" w:cs="仿宋"/>
          <w:bCs w:val="0"/>
          <w:kern w:val="2"/>
          <w:sz w:val="32"/>
          <w:szCs w:val="32"/>
          <w:lang w:val="en-US" w:eastAsia="zh-CN" w:bidi="ar-SA"/>
        </w:rPr>
        <w:t>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firstLine="640"/>
        <w:jc w:val="left"/>
        <w:textAlignment w:val="auto"/>
        <w:rPr>
          <w:rFonts w:hint="eastAsia" w:ascii="黑体" w:hAnsi="黑体" w:eastAsia="黑体" w:cs="黑体"/>
          <w:bCs w:val="0"/>
          <w:kern w:val="2"/>
          <w:sz w:val="32"/>
          <w:szCs w:val="32"/>
          <w:lang w:val="en-US" w:eastAsia="zh-CN" w:bidi="ar-SA"/>
        </w:rPr>
      </w:pPr>
      <w:r>
        <w:rPr>
          <w:rFonts w:hint="eastAsia" w:ascii="黑体" w:hAnsi="黑体" w:eastAsia="黑体" w:cs="黑体"/>
          <w:bCs w:val="0"/>
          <w:kern w:val="2"/>
          <w:sz w:val="32"/>
          <w:szCs w:val="32"/>
          <w:lang w:val="en-US" w:eastAsia="zh-CN" w:bidi="ar-SA"/>
        </w:rPr>
        <w:t>二、一般公共预算支出情况</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（一）基本支出情况</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基本支出系保障我单位机构正常运转、完成日常工作任务而发生的各项支出，包括用于在职和离退休人员基本工资、津贴补贴等人员经费以及办公费、印刷费、水电费、办公设备购置等日常公用经费。</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2023年度基本支出年初预算数295.64万元，全年预算数为367.53万元，决算数为367.53万元。人员经费年初预算数281.64万元，全年预算数353.53万元，决算数353.53万元，日常公用经费年初预算数14万元，全年预算数14万元，决算数14万元。</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（二）项目支出情况</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2023年度预算安排省级专项资金319万元，其中农业产业发展资金（农机购置与应用补贴支出）300万元、现代农业农村发展专项（农业种质资源普查与保护）5万元、现代农业农村发展专项（农业信息监测、调查）14万元。实际支出金额为107.75万元，即农机购置与应用补贴支出88.75万元、农业种质资源普查与保护5万元、农业信息监测、调查14万元。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firstLine="640"/>
        <w:jc w:val="left"/>
        <w:textAlignment w:val="auto"/>
        <w:rPr>
          <w:rFonts w:hint="eastAsia" w:ascii="黑体" w:hAnsi="黑体" w:eastAsia="黑体" w:cs="黑体"/>
          <w:bCs w:val="0"/>
          <w:kern w:val="2"/>
          <w:sz w:val="32"/>
          <w:szCs w:val="32"/>
          <w:lang w:val="en-US" w:eastAsia="zh-CN" w:bidi="ar-SA"/>
        </w:rPr>
      </w:pPr>
      <w:r>
        <w:rPr>
          <w:rFonts w:hint="eastAsia" w:ascii="黑体" w:hAnsi="黑体" w:eastAsia="黑体" w:cs="黑体"/>
          <w:bCs w:val="0"/>
          <w:kern w:val="2"/>
          <w:sz w:val="32"/>
          <w:szCs w:val="32"/>
          <w:lang w:val="en-US" w:eastAsia="zh-CN" w:bidi="ar-SA"/>
        </w:rPr>
        <w:t>三、部门整体支出绩效情况</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（一）履职效能</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中心主要职能为农作物种质资源保护、良种繁育与技术示范，2023年，中心对现有中心现有种质资源圃100多个特色水果品种进行鉴定观察；对园内400个柑橘种质资源进行了黄龙病、衰退病、碎叶病、裂皮病、黄脉病5种危险性病害鉴定，并进行温室隔离种植栽培管理；抓好全省野生植物原生境保护区的运行监管。重点繁育示范推广了以柑橘为主的果树优良品种80个以上，繁育出圃柑橘、桃、梨、李、猕猴桃等优良容器种苗30万株以上，其中繁育出圃无病毒柑橘良种种苗20多万株，为全省柑橘大面积品改提供种苗服务。已将原柑橘园的南丰蜜桔、尾张、宫川、朋娜脐橙等品种改种为美国糖橘、金秋砂糖橘、红美人、冰糖柚、橘柚等，将原李、无花果、石榴等果园老化低产品种改种为布兰瑞克无花果、大秋甜柿、翠冠梨、荸荠杨梅等，品改面积50亩左右，将大大提升园区水果品质。</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default"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（二）专项绩效</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eastAsia" w:ascii="仿宋" w:hAnsi="仿宋" w:eastAsia="仿宋" w:cs="仿宋"/>
          <w:bCs w:val="0"/>
          <w:kern w:val="2"/>
          <w:sz w:val="32"/>
          <w:szCs w:val="32"/>
          <w:lang w:val="en-US" w:eastAsia="zh-CN" w:bidi="ar-SA"/>
        </w:rPr>
      </w:pPr>
      <w:r>
        <w:rPr>
          <w:rFonts w:hint="default" w:ascii="仿宋" w:hAnsi="仿宋" w:eastAsia="仿宋" w:cs="仿宋"/>
          <w:bCs w:val="0"/>
          <w:kern w:val="2"/>
          <w:sz w:val="32"/>
          <w:szCs w:val="32"/>
          <w:lang w:val="en-US" w:eastAsia="zh-CN" w:bidi="ar-SA"/>
        </w:rPr>
        <w:t>农机购置与应用补贴支出</w:t>
      </w:r>
      <w:r>
        <w:rPr>
          <w:rFonts w:hint="eastAsia" w:ascii="仿宋" w:hAnsi="仿宋" w:eastAsia="仿宋" w:cs="仿宋"/>
          <w:bCs w:val="0"/>
          <w:kern w:val="2"/>
          <w:sz w:val="32"/>
          <w:szCs w:val="32"/>
          <w:lang w:val="en-US" w:eastAsia="zh-CN" w:bidi="ar-SA"/>
        </w:rPr>
        <w:t>主要用于新建智能玻璃温室、添置安装水肥一体化系统和智慧管理系统，项目建成后，将进一步提升全省果业规模化、精细化、集聚化、产业化、现代化、智能化发展水平，带动全省建设现代化设施农业基地，促进湖南优质高效现代农业的大发展，同时提高我省“果盘子”的供应能力。</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农业信息监测、调查专项主要以水果、蔬菜、粮油等重点农产品为主，在辐射京津冀地区的北京新发地农产品批发市场、首衡高碑店国际农产品交易中心、北京京丰岳各庄农副产品批发市场等地开展市场调查，重点调查市场行情、价格走势、供求信息、经销商情况，采集农产品价格走势及供求信息，进行综合分析研判。通过市场调研，为湖南优农展销馆开展大宗农产品展示展销、产销对接、产品直销做好前期准备，打下良好的基础。</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default"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农业种质资源普查与保护专项主要用于杨梅、枇杷、李等资源圃、仁果类资源圃的精细化培管与技术推广服务，有效保护园艺作物种质资源。</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eastAsia" w:ascii="黑体" w:hAnsi="黑体" w:eastAsia="黑体" w:cs="黑体"/>
          <w:bCs w:val="0"/>
          <w:kern w:val="2"/>
          <w:sz w:val="32"/>
          <w:szCs w:val="32"/>
          <w:lang w:val="en-US" w:eastAsia="zh-CN" w:bidi="ar-SA"/>
        </w:rPr>
      </w:pPr>
      <w:r>
        <w:rPr>
          <w:rFonts w:hint="eastAsia" w:ascii="黑体" w:hAnsi="黑体" w:eastAsia="黑体" w:cs="黑体"/>
          <w:bCs w:val="0"/>
          <w:kern w:val="2"/>
          <w:sz w:val="32"/>
          <w:szCs w:val="32"/>
          <w:lang w:val="en-US" w:eastAsia="zh-CN" w:bidi="ar-SA"/>
        </w:rPr>
        <w:t>四、存在的问题及原因分析</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eastAsia"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（一）存在的问题：不能长期发挥可持续的整体效益。</w:t>
      </w:r>
    </w:p>
    <w:p>
      <w:pPr>
        <w:pStyle w:val="6"/>
        <w:keepNext w:val="0"/>
        <w:keepLines w:val="0"/>
        <w:pageBreakBefore w:val="0"/>
        <w:kinsoku/>
        <w:wordWrap/>
        <w:overflowPunct/>
        <w:topLinePunct w:val="0"/>
        <w:autoSpaceDE/>
        <w:autoSpaceDN/>
        <w:bidi w:val="0"/>
        <w:adjustRightInd/>
        <w:snapToGrid/>
        <w:spacing w:line="560" w:lineRule="exact"/>
        <w:ind w:left="0" w:firstLine="640"/>
        <w:textAlignment w:val="auto"/>
        <w:rPr>
          <w:rFonts w:hint="default" w:ascii="仿宋" w:hAnsi="仿宋" w:eastAsia="仿宋" w:cs="仿宋"/>
          <w:bCs w:val="0"/>
          <w:kern w:val="2"/>
          <w:sz w:val="32"/>
          <w:szCs w:val="32"/>
          <w:lang w:val="en-US" w:eastAsia="zh-CN" w:bidi="ar-SA"/>
        </w:rPr>
      </w:pPr>
      <w:r>
        <w:rPr>
          <w:rFonts w:hint="eastAsia" w:ascii="仿宋" w:hAnsi="仿宋" w:eastAsia="仿宋" w:cs="仿宋"/>
          <w:bCs w:val="0"/>
          <w:kern w:val="2"/>
          <w:sz w:val="32"/>
          <w:szCs w:val="32"/>
          <w:lang w:val="en-US" w:eastAsia="zh-CN" w:bidi="ar-SA"/>
        </w:rPr>
        <w:t>（二）原因分析：个别专项资金偏小，且无后续资金。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5"/>
        <w:jc w:val="center"/>
        <w:rPr>
          <w:sz w:val="72"/>
          <w:szCs w:val="72"/>
        </w:rPr>
        <w:sectPr>
          <w:pgSz w:w="11906" w:h="16838"/>
          <w:pgMar w:top="720" w:right="720" w:bottom="720" w:left="720" w:header="851" w:footer="992" w:gutter="0"/>
          <w:cols w:space="425" w:num="1"/>
          <w:docGrid w:type="linesAndChars" w:linePitch="312" w:charSpace="0"/>
        </w:sectPr>
      </w:pPr>
    </w:p>
    <w:p>
      <w:pPr>
        <w:spacing w:after="120" w:afterLines="50" w:line="600" w:lineRule="exact"/>
        <w:jc w:val="center"/>
        <w:rPr>
          <w:rFonts w:hint="default" w:ascii="Times New Roman" w:hAnsi="Times New Roman" w:eastAsia="仿宋_GB2312" w:cs="Times New Roman"/>
          <w:sz w:val="24"/>
        </w:rPr>
      </w:pPr>
      <w:r>
        <w:rPr>
          <w:rFonts w:hint="default"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lang w:eastAsia="zh-CN"/>
        </w:rPr>
        <w:t>度</w:t>
      </w:r>
      <w:r>
        <w:rPr>
          <w:rFonts w:hint="default" w:ascii="Times New Roman" w:hAnsi="Times New Roman" w:eastAsia="方正小标宋_GBK" w:cs="Times New Roman"/>
          <w:sz w:val="36"/>
          <w:szCs w:val="36"/>
        </w:rPr>
        <w:t>部门整体支出绩效评价基础数据表</w:t>
      </w:r>
    </w:p>
    <w:tbl>
      <w:tblPr>
        <w:tblStyle w:val="10"/>
        <w:tblW w:w="9673" w:type="dxa"/>
        <w:jc w:val="center"/>
        <w:tblInd w:w="0" w:type="dxa"/>
        <w:tblLayout w:type="fixed"/>
        <w:tblCellMar>
          <w:top w:w="0" w:type="dxa"/>
          <w:left w:w="108" w:type="dxa"/>
          <w:bottom w:w="0" w:type="dxa"/>
          <w:right w:w="108" w:type="dxa"/>
        </w:tblCellMar>
      </w:tblPr>
      <w:tblGrid>
        <w:gridCol w:w="3782"/>
        <w:gridCol w:w="761"/>
        <w:gridCol w:w="849"/>
        <w:gridCol w:w="1129"/>
        <w:gridCol w:w="1111"/>
        <w:gridCol w:w="1081"/>
        <w:gridCol w:w="960"/>
      </w:tblGrid>
      <w:tr>
        <w:tblPrEx>
          <w:tblLayout w:type="fixed"/>
          <w:tblCellMar>
            <w:top w:w="0" w:type="dxa"/>
            <w:left w:w="108" w:type="dxa"/>
            <w:bottom w:w="0" w:type="dxa"/>
            <w:right w:w="108" w:type="dxa"/>
          </w:tblCellMar>
        </w:tblPrEx>
        <w:trPr>
          <w:trHeight w:val="0" w:hRule="atLeast"/>
          <w:jc w:val="center"/>
        </w:trPr>
        <w:tc>
          <w:tcPr>
            <w:tcW w:w="378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财政供养人员情况（人）</w:t>
            </w:r>
          </w:p>
        </w:tc>
        <w:tc>
          <w:tcPr>
            <w:tcW w:w="161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控制率</w:t>
            </w:r>
          </w:p>
        </w:tc>
      </w:tr>
      <w:tr>
        <w:tblPrEx>
          <w:tblLayout w:type="fixed"/>
          <w:tblCellMar>
            <w:top w:w="0" w:type="dxa"/>
            <w:left w:w="108" w:type="dxa"/>
            <w:bottom w:w="0" w:type="dxa"/>
            <w:right w:w="108" w:type="dxa"/>
          </w:tblCellMar>
        </w:tblPrEx>
        <w:trPr>
          <w:trHeight w:val="0" w:hRule="atLeast"/>
          <w:jc w:val="center"/>
        </w:trPr>
        <w:tc>
          <w:tcPr>
            <w:tcW w:w="37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161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17</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16</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100%</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经费控制情况（万元）</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2</w:t>
            </w:r>
            <w:r>
              <w:rPr>
                <w:rFonts w:hint="default"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年决算数</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三公经费</w:t>
            </w:r>
            <w:r>
              <w:rPr>
                <w:rFonts w:hint="eastAsia" w:ascii="Times New Roman" w:hAnsi="Times New Roman" w:eastAsia="仿宋_GB2312" w:cs="Times New Roman"/>
                <w:sz w:val="20"/>
                <w:szCs w:val="20"/>
                <w:lang w:val="en-US" w:eastAsia="zh-CN"/>
              </w:rPr>
              <w:t>:</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1、公务用车购置和维护经费</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其中：公车购置</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公车运行维护</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2、出国经费</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3、公务接待</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项目支出：</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eastAsia="zh-CN"/>
              </w:rPr>
            </w:pPr>
            <w:r>
              <w:rPr>
                <w:rFonts w:hint="default" w:ascii="Times New Roman" w:hAnsi="Times New Roman" w:eastAsia="仿宋_GB2312" w:cs="Times New Roman"/>
                <w:sz w:val="20"/>
                <w:szCs w:val="20"/>
              </w:rPr>
              <w:t xml:space="preserve">    1、</w:t>
            </w:r>
            <w:r>
              <w:rPr>
                <w:rFonts w:hint="eastAsia" w:ascii="Times New Roman" w:hAnsi="Times New Roman" w:eastAsia="仿宋_GB2312" w:cs="Times New Roman"/>
                <w:sz w:val="20"/>
                <w:szCs w:val="20"/>
                <w:lang w:eastAsia="zh-CN"/>
              </w:rPr>
              <w:t>其他事业发展资金</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农业产业发展资金（农机购置与应用补贴支出）</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300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Times New Roman" w:hAnsi="Times New Roman" w:eastAsia="仿宋_GB2312" w:cs="Times New Roman"/>
                <w:sz w:val="20"/>
                <w:szCs w:val="20"/>
                <w:lang w:val="en-US" w:eastAsia="zh-CN"/>
              </w:rPr>
            </w:pP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2</w:t>
            </w:r>
            <w:r>
              <w:rPr>
                <w:rFonts w:hint="default" w:ascii="Times New Roman" w:hAnsi="Times New Roman" w:eastAsia="仿宋_GB2312" w:cs="Times New Roman"/>
                <w:sz w:val="20"/>
                <w:szCs w:val="20"/>
              </w:rPr>
              <w:t>、省级专项资金（</w:t>
            </w:r>
            <w:r>
              <w:rPr>
                <w:rFonts w:hint="eastAsia" w:ascii="Times New Roman" w:hAnsi="Times New Roman" w:eastAsia="仿宋_GB2312" w:cs="Times New Roman"/>
                <w:sz w:val="20"/>
                <w:szCs w:val="20"/>
                <w:lang w:eastAsia="zh-CN"/>
              </w:rPr>
              <w:t>每</w:t>
            </w:r>
            <w:r>
              <w:rPr>
                <w:rFonts w:hint="default" w:ascii="Times New Roman" w:hAnsi="Times New Roman" w:eastAsia="仿宋_GB2312" w:cs="Times New Roman"/>
                <w:sz w:val="20"/>
                <w:szCs w:val="20"/>
              </w:rPr>
              <w:t>个专项一行）</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现代农业农村发展专项（农业种质资源普查与保护）</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现代农业农村发展专项（农业信息监测、调查）</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14</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公用经费</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w:t>
            </w:r>
            <w:r>
              <w:rPr>
                <w:rFonts w:hint="default" w:ascii="Times New Roman" w:hAnsi="Times New Roman" w:eastAsia="仿宋_GB2312" w:cs="Times New Roman"/>
                <w:sz w:val="22"/>
              </w:rPr>
              <w:t>一般商品和服务支出</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FF0000"/>
                <w:sz w:val="20"/>
                <w:szCs w:val="20"/>
              </w:rPr>
            </w:pPr>
            <w:r>
              <w:rPr>
                <w:rFonts w:hint="default" w:ascii="Times New Roman" w:hAnsi="Times New Roman" w:eastAsia="仿宋_GB2312" w:cs="Times New Roman"/>
                <w:color w:val="FF0000"/>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FF0000"/>
                <w:sz w:val="20"/>
                <w:szCs w:val="20"/>
                <w:lang w:val="en-US" w:eastAsia="zh-CN"/>
              </w:rPr>
            </w:pPr>
            <w:r>
              <w:rPr>
                <w:rFonts w:hint="default" w:ascii="Times New Roman" w:hAnsi="Times New Roman" w:eastAsia="仿宋_GB2312" w:cs="Times New Roman"/>
                <w:color w:val="FF0000"/>
                <w:sz w:val="20"/>
                <w:szCs w:val="20"/>
              </w:rPr>
              <w:t>　</w:t>
            </w:r>
            <w:r>
              <w:rPr>
                <w:rFonts w:hint="eastAsia" w:ascii="Times New Roman" w:hAnsi="Times New Roman" w:eastAsia="仿宋_GB2312" w:cs="Times New Roman"/>
                <w:sz w:val="20"/>
                <w:szCs w:val="20"/>
                <w:lang w:val="en-US" w:eastAsia="zh-CN"/>
              </w:rPr>
              <w:t>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FF0000"/>
                <w:sz w:val="20"/>
                <w:szCs w:val="20"/>
              </w:rPr>
            </w:pPr>
            <w:r>
              <w:rPr>
                <w:rFonts w:hint="eastAsia" w:ascii="Times New Roman" w:hAnsi="Times New Roman" w:eastAsia="仿宋_GB2312" w:cs="Times New Roman"/>
                <w:sz w:val="20"/>
                <w:szCs w:val="20"/>
                <w:lang w:val="en-US" w:eastAsia="zh-CN"/>
              </w:rPr>
              <w:t>2</w:t>
            </w:r>
            <w:r>
              <w:rPr>
                <w:rFonts w:hint="default" w:ascii="Times New Roman" w:hAnsi="Times New Roman" w:eastAsia="仿宋_GB2312" w:cs="Times New Roman"/>
                <w:color w:val="FF0000"/>
                <w:sz w:val="20"/>
                <w:szCs w:val="20"/>
              </w:rPr>
              <w:t>　</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政府采购金额</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部门基本支出预算调整 </w:t>
            </w:r>
          </w:p>
        </w:tc>
        <w:tc>
          <w:tcPr>
            <w:tcW w:w="161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楼堂馆所控制情况</w:t>
            </w:r>
            <w:r>
              <w:rPr>
                <w:rFonts w:hint="default" w:ascii="Times New Roman" w:hAnsi="Times New Roman" w:eastAsia="仿宋_GB2312" w:cs="Times New Roman"/>
                <w:sz w:val="20"/>
                <w:szCs w:val="20"/>
              </w:rPr>
              <w:br w:type="textWrapping"/>
            </w:r>
            <w:r>
              <w:rPr>
                <w:rFonts w:hint="default"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年完工项目）</w:t>
            </w:r>
          </w:p>
        </w:tc>
        <w:tc>
          <w:tcPr>
            <w:tcW w:w="76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批复规模</w:t>
            </w:r>
            <w:r>
              <w:rPr>
                <w:rFonts w:hint="default" w:ascii="Times New Roman" w:hAnsi="Times New Roman" w:eastAsia="仿宋_GB2312" w:cs="Times New Roman"/>
                <w:bCs/>
                <w:sz w:val="20"/>
                <w:szCs w:val="20"/>
              </w:rPr>
              <w:br w:type="textWrapping"/>
            </w:r>
            <w:r>
              <w:rPr>
                <w:rFonts w:hint="default" w:ascii="Times New Roman" w:hAnsi="Times New Roman" w:eastAsia="仿宋_GB2312" w:cs="Times New Roman"/>
                <w:bCs/>
                <w:sz w:val="20"/>
                <w:szCs w:val="20"/>
              </w:rPr>
              <w:t>（</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实际规模（</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投资概算控制率</w:t>
            </w:r>
          </w:p>
        </w:tc>
      </w:tr>
      <w:tr>
        <w:tblPrEx>
          <w:tblLayout w:type="fixed"/>
          <w:tblCellMar>
            <w:top w:w="0" w:type="dxa"/>
            <w:left w:w="108" w:type="dxa"/>
            <w:bottom w:w="0" w:type="dxa"/>
            <w:right w:w="108" w:type="dxa"/>
          </w:tblCellMar>
        </w:tblPrEx>
        <w:trPr>
          <w:trHeight w:val="0" w:hRule="atLeast"/>
          <w:jc w:val="center"/>
        </w:trPr>
        <w:tc>
          <w:tcPr>
            <w:tcW w:w="3782"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厉行节约保障措施</w:t>
            </w:r>
          </w:p>
        </w:tc>
        <w:tc>
          <w:tcPr>
            <w:tcW w:w="5891"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after="0" w:afterLines="0" w:line="400" w:lineRule="exact"/>
        <w:jc w:val="left"/>
        <w:rPr>
          <w:rFonts w:hint="default" w:ascii="Times New Roman" w:hAnsi="Times New Roman" w:eastAsia="仿宋_GB2312" w:cs="Times New Roman"/>
          <w:sz w:val="22"/>
        </w:rPr>
      </w:pPr>
    </w:p>
    <w:p>
      <w:pPr>
        <w:widowControl/>
        <w:spacing w:after="0" w:afterLines="0" w:line="400" w:lineRule="exact"/>
        <w:jc w:val="left"/>
        <w:rPr>
          <w:rFonts w:hint="eastAsia" w:ascii="Times New Roman" w:hAnsi="Times New Roman" w:eastAsia="黑体" w:cs="Times New Roman"/>
          <w:sz w:val="32"/>
          <w:szCs w:val="32"/>
          <w:lang w:eastAsia="zh-CN"/>
        </w:rPr>
      </w:pPr>
      <w:r>
        <w:rPr>
          <w:rFonts w:hint="default" w:ascii="Times New Roman" w:hAnsi="Times New Roman" w:eastAsia="仿宋_GB2312" w:cs="Times New Roman"/>
          <w:sz w:val="22"/>
        </w:rPr>
        <w:br w:type="page"/>
      </w:r>
    </w:p>
    <w:p>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10"/>
        <w:tblW w:w="10192" w:type="dxa"/>
        <w:jc w:val="center"/>
        <w:tblInd w:w="0" w:type="dxa"/>
        <w:tblLayout w:type="fixed"/>
        <w:tblCellMar>
          <w:top w:w="0" w:type="dxa"/>
          <w:left w:w="108" w:type="dxa"/>
          <w:bottom w:w="0" w:type="dxa"/>
          <w:right w:w="108" w:type="dxa"/>
        </w:tblCellMar>
      </w:tblPr>
      <w:tblGrid>
        <w:gridCol w:w="1080"/>
        <w:gridCol w:w="1080"/>
        <w:gridCol w:w="1034"/>
        <w:gridCol w:w="1270"/>
        <w:gridCol w:w="1311"/>
        <w:gridCol w:w="1269"/>
        <w:gridCol w:w="716"/>
        <w:gridCol w:w="873"/>
        <w:gridCol w:w="1559"/>
      </w:tblGrid>
      <w:tr>
        <w:tblPrEx>
          <w:tblLayout w:type="fixed"/>
          <w:tblCellMar>
            <w:top w:w="0" w:type="dxa"/>
            <w:left w:w="108" w:type="dxa"/>
            <w:bottom w:w="0" w:type="dxa"/>
            <w:right w:w="108" w:type="dxa"/>
          </w:tblCellMar>
        </w:tblPrEx>
        <w:trPr>
          <w:jc w:val="center"/>
        </w:trPr>
        <w:tc>
          <w:tcPr>
            <w:tcW w:w="319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6998"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eastAsia="zh-CN"/>
              </w:rPr>
              <w:t>湖南省农作物种质资源保护与良种繁育中心</w:t>
            </w: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算申请</w:t>
            </w:r>
            <w:r>
              <w:rPr>
                <w:rFonts w:hint="default" w:ascii="Times New Roman" w:hAnsi="Times New Roman" w:eastAsia="仿宋_GB2312" w:cs="Times New Roman"/>
                <w:color w:val="000000"/>
                <w:sz w:val="20"/>
                <w:szCs w:val="20"/>
              </w:rPr>
              <w:br w:type="textWrapping"/>
            </w:r>
            <w:r>
              <w:rPr>
                <w:rFonts w:hint="default" w:ascii="Times New Roman" w:hAnsi="Times New Roman" w:eastAsia="仿宋_GB2312" w:cs="Times New Roman"/>
                <w:color w:val="000000"/>
                <w:sz w:val="20"/>
                <w:szCs w:val="20"/>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55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1058</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1763</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1763</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166%</w:t>
            </w:r>
          </w:p>
        </w:tc>
        <w:tc>
          <w:tcPr>
            <w:tcW w:w="155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417"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color w:val="000000"/>
                <w:sz w:val="20"/>
                <w:szCs w:val="20"/>
                <w:lang w:val="en-US" w:eastAsia="zh-CN"/>
              </w:rPr>
              <w:t xml:space="preserve">     1058</w:t>
            </w:r>
          </w:p>
        </w:tc>
        <w:tc>
          <w:tcPr>
            <w:tcW w:w="4417"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lang w:val="en-US" w:eastAsia="zh-CN"/>
              </w:rPr>
              <w:t xml:space="preserve">  678</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政府性基金拨款：</w:t>
            </w:r>
          </w:p>
        </w:tc>
        <w:tc>
          <w:tcPr>
            <w:tcW w:w="4417"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lang w:val="en-US" w:eastAsia="zh-CN"/>
              </w:rPr>
              <w:t xml:space="preserve">  107.75</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纳入专户管理的非税收入拨款：</w:t>
            </w:r>
            <w:r>
              <w:rPr>
                <w:rFonts w:hint="eastAsia" w:ascii="Times New Roman" w:hAnsi="Times New Roman" w:eastAsia="仿宋_GB2312" w:cs="Times New Roman"/>
                <w:color w:val="000000"/>
                <w:sz w:val="20"/>
                <w:szCs w:val="20"/>
                <w:lang w:val="en-US" w:eastAsia="zh-CN"/>
              </w:rPr>
              <w:t xml:space="preserve"> </w:t>
            </w:r>
          </w:p>
        </w:tc>
        <w:tc>
          <w:tcPr>
            <w:tcW w:w="4417"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其他资金：</w:t>
            </w:r>
            <w:r>
              <w:rPr>
                <w:rFonts w:hint="eastAsia" w:ascii="Times New Roman" w:hAnsi="Times New Roman" w:eastAsia="仿宋_GB2312" w:cs="Times New Roman"/>
                <w:color w:val="000000"/>
                <w:sz w:val="20"/>
                <w:szCs w:val="20"/>
                <w:lang w:val="en-US" w:eastAsia="zh-CN"/>
              </w:rPr>
              <w:t xml:space="preserve">     662</w:t>
            </w:r>
          </w:p>
        </w:tc>
        <w:tc>
          <w:tcPr>
            <w:tcW w:w="4417"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417"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完成中心业务工作、尽心尽力履职履能，抓文明创建和安全生产。</w:t>
            </w:r>
            <w:r>
              <w:rPr>
                <w:rFonts w:hint="default" w:ascii="Times New Roman" w:hAnsi="Times New Roman" w:eastAsia="仿宋_GB2312" w:cs="Times New Roman"/>
                <w:color w:val="000000"/>
                <w:sz w:val="20"/>
                <w:szCs w:val="20"/>
                <w:lang w:val="en-US" w:eastAsia="zh-CN"/>
              </w:rPr>
              <w:t>　</w:t>
            </w:r>
          </w:p>
        </w:tc>
        <w:tc>
          <w:tcPr>
            <w:tcW w:w="4417"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完成中心业务工作，起到种苗龙头作用，积极推广优质种苗、科普农民提升种植管理技术。</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269"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资源圃</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3个</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12</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12</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质量指标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良好</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良好</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12</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12</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2023年</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2023年</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12</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12</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成本指标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700万元</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700万元</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14</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14</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restart"/>
            <w:tcBorders>
              <w:top w:val="nil"/>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r>
              <w:rPr>
                <w:rFonts w:hint="eastAsia" w:ascii="Times New Roman" w:hAnsi="Times New Roman" w:eastAsia="仿宋_GB2312" w:cs="Times New Roman"/>
                <w:color w:val="000000"/>
                <w:sz w:val="20"/>
                <w:szCs w:val="20"/>
                <w:lang w:val="en-US" w:eastAsia="zh-CN"/>
              </w:rPr>
              <w:t>3</w:t>
            </w:r>
            <w:r>
              <w:rPr>
                <w:rFonts w:hint="default" w:ascii="Times New Roman" w:hAnsi="Times New Roman" w:eastAsia="仿宋_GB2312" w:cs="Times New Roman"/>
                <w:color w:val="000000"/>
                <w:sz w:val="20"/>
                <w:szCs w:val="20"/>
              </w:rPr>
              <w:t>0分）</w:t>
            </w: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经济效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300万元</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300万元</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9</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盘活资产，更好的创造效益。</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良种推广</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良种推广</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生态效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促产业结构调整</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促立业结构调整</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85"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34"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2023年至以后</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2023年至以后</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完成</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满意</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满意</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基本满意</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7</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增强服务意识，更好的服务大众。</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92</w:t>
            </w:r>
          </w:p>
        </w:tc>
        <w:tc>
          <w:tcPr>
            <w:tcW w:w="155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说明：本表由农业农村厅部门本级和直属单位填写，市、县农业农村局不需填写。</w:t>
      </w:r>
    </w:p>
    <w:p>
      <w:pPr>
        <w:pStyle w:val="15"/>
        <w:jc w:val="center"/>
        <w:rPr>
          <w:sz w:val="72"/>
          <w:szCs w:val="72"/>
        </w:rPr>
        <w:sectPr>
          <w:pgSz w:w="11906" w:h="16838"/>
          <w:pgMar w:top="720" w:right="720" w:bottom="720" w:left="720" w:header="851" w:footer="992" w:gutter="0"/>
          <w:cols w:space="425" w:num="1"/>
          <w:docGrid w:type="linesAndChars" w:linePitch="312" w:charSpace="0"/>
        </w:sectPr>
      </w:pPr>
      <w:r>
        <w:rPr>
          <w:rFonts w:hint="default" w:ascii="Times New Roman" w:hAnsi="Times New Roman" w:eastAsia="仿宋_GB2312" w:cs="Times New Roman"/>
          <w:sz w:val="22"/>
        </w:rPr>
        <w:br w:type="page"/>
      </w:r>
    </w:p>
    <w:p>
      <w:pPr>
        <w:pStyle w:val="15"/>
        <w:jc w:val="center"/>
        <w:rPr>
          <w:sz w:val="72"/>
          <w:szCs w:val="72"/>
        </w:rPr>
      </w:pPr>
    </w:p>
    <w:p>
      <w:pPr>
        <w:pStyle w:val="15"/>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0BB3F0"/>
    <w:multiLevelType w:val="singleLevel"/>
    <w:tmpl w:val="E60BB3F0"/>
    <w:lvl w:ilvl="0" w:tentative="0">
      <w:start w:val="7"/>
      <w:numFmt w:val="chineseCounting"/>
      <w:suff w:val="nothing"/>
      <w:lvlText w:val="%1、"/>
      <w:lvlJc w:val="left"/>
      <w:rPr>
        <w:rFonts w:hint="eastAsia"/>
      </w:rPr>
    </w:lvl>
  </w:abstractNum>
  <w:abstractNum w:abstractNumId="1">
    <w:nsid w:val="1C873317"/>
    <w:multiLevelType w:val="singleLevel"/>
    <w:tmpl w:val="1C873317"/>
    <w:lvl w:ilvl="0" w:tentative="0">
      <w:start w:val="1"/>
      <w:numFmt w:val="chineseCounting"/>
      <w:suff w:val="nothing"/>
      <w:lvlText w:val="（%1）"/>
      <w:lvlJc w:val="left"/>
      <w:pPr>
        <w:ind w:left="200"/>
      </w:pPr>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zJmNzhlMWNlZTg0ZmI3YWU4MWU1MWMyZWUwMDg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641528D"/>
    <w:rsid w:val="140C32A5"/>
    <w:rsid w:val="154C3409"/>
    <w:rsid w:val="18F319E8"/>
    <w:rsid w:val="1C7B6A6D"/>
    <w:rsid w:val="1D97DEFF"/>
    <w:rsid w:val="1DFF72E5"/>
    <w:rsid w:val="1EFC6F07"/>
    <w:rsid w:val="21653DC2"/>
    <w:rsid w:val="2FDF85B8"/>
    <w:rsid w:val="2FFFEE04"/>
    <w:rsid w:val="30E4221F"/>
    <w:rsid w:val="31990EA4"/>
    <w:rsid w:val="31A23EB0"/>
    <w:rsid w:val="34DF85B0"/>
    <w:rsid w:val="3B8F36BC"/>
    <w:rsid w:val="40F642BE"/>
    <w:rsid w:val="411B7E57"/>
    <w:rsid w:val="44D133DD"/>
    <w:rsid w:val="491FF225"/>
    <w:rsid w:val="4FFD214C"/>
    <w:rsid w:val="51DF1B7E"/>
    <w:rsid w:val="56185575"/>
    <w:rsid w:val="5777D4F5"/>
    <w:rsid w:val="59DD8326"/>
    <w:rsid w:val="5AF40354"/>
    <w:rsid w:val="5C3929A3"/>
    <w:rsid w:val="5CC75A4E"/>
    <w:rsid w:val="5DEF592A"/>
    <w:rsid w:val="5FC6BB1E"/>
    <w:rsid w:val="5FF720F1"/>
    <w:rsid w:val="62312E72"/>
    <w:rsid w:val="658163BC"/>
    <w:rsid w:val="67FF5C0B"/>
    <w:rsid w:val="689F1158"/>
    <w:rsid w:val="6EFC0924"/>
    <w:rsid w:val="6FB74722"/>
    <w:rsid w:val="6FEF8B7E"/>
    <w:rsid w:val="71A6591B"/>
    <w:rsid w:val="737D59BA"/>
    <w:rsid w:val="74D54369"/>
    <w:rsid w:val="77C37683"/>
    <w:rsid w:val="79FF515B"/>
    <w:rsid w:val="7D0C7248"/>
    <w:rsid w:val="7E9E1962"/>
    <w:rsid w:val="7E9F11B4"/>
    <w:rsid w:val="7F37EC1E"/>
    <w:rsid w:val="7F7DCD9D"/>
    <w:rsid w:val="7F970A6F"/>
    <w:rsid w:val="7FC1FFF3"/>
    <w:rsid w:val="7FC69637"/>
    <w:rsid w:val="7FD4433C"/>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6">
    <w:name w:val="heading 2"/>
    <w:basedOn w:val="1"/>
    <w:next w:val="1"/>
    <w:qFormat/>
    <w:uiPriority w:val="0"/>
    <w:pPr>
      <w:outlineLvl w:val="1"/>
    </w:pPr>
    <w:rPr>
      <w:rFonts w:eastAsia="黑体"/>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5"/>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7">
    <w:name w:val="Balloon Text"/>
    <w:basedOn w:val="1"/>
    <w:link w:val="17"/>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12">
    <w:name w:val="page number"/>
    <w:basedOn w:val="11"/>
    <w:qFormat/>
    <w:uiPriority w:val="0"/>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7"/>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9722</Words>
  <Characters>12011</Characters>
  <Lines>63</Lines>
  <Paragraphs>18</Paragraphs>
  <TotalTime>13</TotalTime>
  <ScaleCrop>false</ScaleCrop>
  <LinksUpToDate>false</LinksUpToDate>
  <CharactersWithSpaces>12273</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2024-09-06T06:48:42Z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2AB31503818A4D858E305CF4CF60DD5E_12</vt:lpwstr>
  </property>
</Properties>
</file>