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湖南省农作物种子救灾储备中心</w:t>
      </w: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湖南省农作物种子救灾储备中心</w:t>
      </w:r>
      <w:r>
        <w:rPr>
          <w:rFonts w:hint="eastAsia" w:ascii="黑体" w:hAnsi="黑体" w:eastAsia="黑体" w:cs="黑体"/>
          <w:b w:val="0"/>
          <w:bCs/>
          <w:sz w:val="28"/>
          <w:szCs w:val="28"/>
        </w:rPr>
        <w:t>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湖南省农作物种子救灾储备中心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pStyle w:val="14"/>
        <w:numPr>
          <w:ilvl w:val="0"/>
          <w:numId w:val="0"/>
        </w:numPr>
        <w:ind w:leftChars="0" w:firstLine="640" w:firstLineChars="200"/>
        <w:jc w:val="left"/>
        <w:rPr>
          <w:rFonts w:hint="default" w:ascii="仿宋" w:hAnsi="仿宋" w:eastAsia="仿宋" w:cstheme="minorBidi"/>
          <w:kern w:val="2"/>
          <w:sz w:val="32"/>
          <w:szCs w:val="32"/>
          <w:highlight w:val="none"/>
          <w:lang w:val="en-US" w:eastAsia="zh-CN" w:bidi="ar-SA"/>
        </w:rPr>
      </w:pPr>
      <w:r>
        <w:rPr>
          <w:rFonts w:hint="eastAsia" w:ascii="仿宋" w:hAnsi="仿宋" w:eastAsia="仿宋" w:cstheme="minorBidi"/>
          <w:kern w:val="2"/>
          <w:sz w:val="32"/>
          <w:szCs w:val="32"/>
          <w:highlight w:val="none"/>
          <w:lang w:val="en-US" w:eastAsia="zh-CN" w:bidi="ar-SA"/>
        </w:rPr>
        <w:t>承担国家和省级农业行政主管部门下达的农作物种子救灾备荒储备任务，对储备种子定期检验和更新。</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spacing w:line="620" w:lineRule="exact"/>
        <w:ind w:firstLine="640" w:firstLineChars="200"/>
        <w:rPr>
          <w:rFonts w:ascii="仿宋" w:hAnsi="仿宋" w:eastAsia="仿宋"/>
          <w:sz w:val="32"/>
          <w:szCs w:val="32"/>
        </w:rPr>
      </w:pPr>
      <w:r>
        <w:rPr>
          <w:rFonts w:hint="eastAsia" w:ascii="Times New Roman" w:hAnsi="Times New Roman" w:eastAsia="仿宋_GB2312" w:cs="仿宋_GB2312"/>
          <w:bCs/>
          <w:kern w:val="0"/>
          <w:sz w:val="32"/>
          <w:szCs w:val="32"/>
        </w:rPr>
        <w:t>（一）内设机构设置。</w:t>
      </w:r>
      <w:r>
        <w:rPr>
          <w:rFonts w:hint="eastAsia" w:ascii="仿宋" w:hAnsi="仿宋" w:eastAsia="仿宋"/>
          <w:sz w:val="32"/>
          <w:szCs w:val="32"/>
          <w:lang w:eastAsia="zh-CN"/>
        </w:rPr>
        <w:t>湖南省农作物种子救灾储备中心</w:t>
      </w:r>
      <w:r>
        <w:rPr>
          <w:rFonts w:hint="eastAsia" w:ascii="仿宋" w:hAnsi="仿宋" w:eastAsia="仿宋"/>
          <w:sz w:val="32"/>
          <w:szCs w:val="32"/>
        </w:rPr>
        <w:t>内设机构包括：财务科、储备科</w:t>
      </w:r>
    </w:p>
    <w:p>
      <w:pPr>
        <w:widowControl/>
        <w:spacing w:line="600" w:lineRule="exact"/>
        <w:ind w:firstLine="640" w:firstLineChars="200"/>
        <w:rPr>
          <w:rFonts w:hint="eastAsia" w:ascii="仿宋_GB2312" w:eastAsia="仿宋_GB2312" w:hAnsiTheme="minorEastAsia"/>
          <w:sz w:val="28"/>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sz w:val="32"/>
          <w:szCs w:val="32"/>
          <w:lang w:eastAsia="zh-CN"/>
        </w:rPr>
        <w:t>湖南省农作物种子救灾储备中心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sz w:val="32"/>
          <w:szCs w:val="32"/>
          <w:lang w:eastAsia="zh-CN"/>
        </w:rPr>
        <w:t>湖南省农作物种子救灾储备中心</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rPr>
          <w:sz w:val="72"/>
          <w:szCs w:val="72"/>
        </w:rPr>
      </w:pPr>
    </w:p>
    <w:p>
      <w:pPr>
        <w:sectPr>
          <w:pgSz w:w="11906" w:h="16838"/>
          <w:pgMar w:top="720" w:right="720" w:bottom="720" w:left="720" w:header="851" w:footer="992" w:gutter="0"/>
          <w:cols w:space="425" w:num="1"/>
          <w:docGrid w:type="lines" w:linePitch="312" w:charSpace="0"/>
        </w:sectPr>
      </w:pPr>
    </w:p>
    <w:p>
      <w:pPr>
        <w:pStyle w:val="2"/>
      </w:pPr>
    </w:p>
    <w:p/>
    <w:tbl>
      <w:tblPr>
        <w:tblStyle w:val="8"/>
        <w:tblW w:w="13342" w:type="dxa"/>
        <w:tblInd w:w="9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976"/>
        <w:gridCol w:w="609"/>
        <w:gridCol w:w="900"/>
        <w:gridCol w:w="4394"/>
        <w:gridCol w:w="609"/>
        <w:gridCol w:w="1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3342" w:type="dxa"/>
            <w:gridSpan w:val="6"/>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7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39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5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76"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60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39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5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4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8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208.39</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208.39</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c>
          <w:tcPr>
            <w:tcW w:w="43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34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342"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jc w:val="center"/>
        <w:rPr>
          <w:sz w:val="72"/>
          <w:szCs w:val="72"/>
        </w:rPr>
      </w:pPr>
    </w:p>
    <w:p>
      <w:pPr>
        <w:jc w:val="center"/>
        <w:rPr>
          <w:sz w:val="72"/>
          <w:szCs w:val="72"/>
        </w:rPr>
      </w:pPr>
    </w:p>
    <w:p>
      <w:pPr>
        <w:jc w:val="left"/>
        <w:rPr>
          <w:sz w:val="32"/>
          <w:szCs w:val="32"/>
        </w:r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tbl>
      <w:tblPr>
        <w:tblStyle w:val="8"/>
        <w:tblW w:w="153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32"/>
        <w:gridCol w:w="3362"/>
        <w:gridCol w:w="1701"/>
        <w:gridCol w:w="1701"/>
        <w:gridCol w:w="1539"/>
        <w:gridCol w:w="1539"/>
        <w:gridCol w:w="1539"/>
        <w:gridCol w:w="1539"/>
        <w:gridCol w:w="13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322"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3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36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0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70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4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123"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1701"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3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4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422" w:type="dxa"/>
            <w:gridSpan w:val="4"/>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53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53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53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53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342"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362" w:type="dxa"/>
            <w:vMerge w:val="restart"/>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62"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62"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422" w:type="dxa"/>
            <w:gridSpan w:val="4"/>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701"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01"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39"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39"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39"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39"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42" w:type="dxa"/>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422" w:type="dxa"/>
            <w:gridSpan w:val="4"/>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208.39</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208.39</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20801</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人力资源和社会保障管理事务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2080107</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社会保险业务管理事务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178.89</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178.89</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178.89</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178.89</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41.59</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41.59</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2130119</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防灾救灾</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6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36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70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42"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322"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bookmarkEnd w:id="1"/>
    <w:tbl>
      <w:tblPr>
        <w:tblStyle w:val="8"/>
        <w:tblW w:w="149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594"/>
        <w:gridCol w:w="4056"/>
        <w:gridCol w:w="1645"/>
        <w:gridCol w:w="1645"/>
        <w:gridCol w:w="1568"/>
        <w:gridCol w:w="1489"/>
        <w:gridCol w:w="1490"/>
        <w:gridCol w:w="1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921"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9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0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4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45"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6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8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1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811"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1645"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6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8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1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6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6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0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0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0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6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1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6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187.05</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159.42</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27.63</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20801</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人力资源和社会保障管理事务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2080107</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社会保险业务管理事务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131.38</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27.63</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131.38</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27.63</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16.94</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16.94</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105.66</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105.66</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15.63</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15.63</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2130119</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防灾救灾</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8.78</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8.78</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0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64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921"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tbl>
      <w:tblPr>
        <w:tblStyle w:val="8"/>
        <w:tblW w:w="154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339"/>
        <w:gridCol w:w="477"/>
        <w:gridCol w:w="1382"/>
        <w:gridCol w:w="3595"/>
        <w:gridCol w:w="477"/>
        <w:gridCol w:w="733"/>
        <w:gridCol w:w="1382"/>
        <w:gridCol w:w="1256"/>
        <w:gridCol w:w="27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418"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33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59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3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8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77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198"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359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3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8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5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277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1022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33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59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27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3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5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7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208.39</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208.39</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187.05</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187.05</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26.97</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26.97</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3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c>
          <w:tcPr>
            <w:tcW w:w="359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c>
          <w:tcPr>
            <w:tcW w:w="1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c>
          <w:tcPr>
            <w:tcW w:w="12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41"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2777"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pStyle w:val="2"/>
        <w:sectPr>
          <w:pgSz w:w="16838" w:h="11906" w:orient="landscape"/>
          <w:pgMar w:top="720" w:right="720" w:bottom="720" w:left="720" w:header="851" w:footer="992" w:gutter="0"/>
          <w:cols w:space="425" w:num="1"/>
          <w:docGrid w:type="lines" w:linePitch="312" w:charSpace="0"/>
        </w:sectPr>
      </w:pPr>
    </w:p>
    <w:tbl>
      <w:tblPr>
        <w:tblStyle w:val="8"/>
        <w:tblW w:w="11925" w:type="dxa"/>
        <w:tblInd w:w="11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810"/>
        <w:gridCol w:w="4251"/>
        <w:gridCol w:w="2030"/>
        <w:gridCol w:w="2030"/>
        <w:gridCol w:w="2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560" w:hRule="atLeast"/>
        </w:trPr>
        <w:tc>
          <w:tcPr>
            <w:tcW w:w="11925"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1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5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03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03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27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7619"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203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27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8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33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25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0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0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27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3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5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5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8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8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187.05</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159.42</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20801</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人力资源和社会保障管理事务</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2080107</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社会保险业务管理事务</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16.59</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131.38</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159.01</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131.38</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16.94</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16.94</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105.66</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105.66</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15.63</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2130119</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防灾救灾</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8.78</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8.78</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2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20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11.44</w:t>
            </w:r>
          </w:p>
        </w:tc>
        <w:tc>
          <w:tcPr>
            <w:tcW w:w="2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925"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3"/>
      </w:pPr>
    </w:p>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drawing>
          <wp:inline distT="0" distB="0" distL="114300" distR="114300">
            <wp:extent cx="9772650" cy="607822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772650" cy="6078220"/>
                    </a:xfrm>
                    <a:prstGeom prst="rect">
                      <a:avLst/>
                    </a:prstGeom>
                    <a:noFill/>
                    <a:ln>
                      <a:noFill/>
                    </a:ln>
                  </pic:spPr>
                </pic:pic>
              </a:graphicData>
            </a:graphic>
          </wp:inline>
        </w:drawing>
      </w:r>
    </w:p>
    <w:tbl>
      <w:tblPr>
        <w:tblStyle w:val="8"/>
        <w:tblW w:w="15614" w:type="dxa"/>
        <w:tblInd w:w="0" w:type="dxa"/>
        <w:tblLayout w:type="fixed"/>
        <w:tblCellMar>
          <w:top w:w="0" w:type="dxa"/>
          <w:left w:w="108" w:type="dxa"/>
          <w:bottom w:w="0" w:type="dxa"/>
          <w:right w:w="108" w:type="dxa"/>
        </w:tblCellMar>
      </w:tblPr>
      <w:tblGrid>
        <w:gridCol w:w="93"/>
        <w:gridCol w:w="910"/>
        <w:gridCol w:w="240"/>
        <w:gridCol w:w="176"/>
        <w:gridCol w:w="701"/>
        <w:gridCol w:w="525"/>
        <w:gridCol w:w="1767"/>
        <w:gridCol w:w="352"/>
        <w:gridCol w:w="2119"/>
        <w:gridCol w:w="844"/>
        <w:gridCol w:w="1275"/>
        <w:gridCol w:w="2040"/>
        <w:gridCol w:w="79"/>
        <w:gridCol w:w="2119"/>
        <w:gridCol w:w="1973"/>
        <w:gridCol w:w="147"/>
        <w:gridCol w:w="254"/>
      </w:tblGrid>
      <w:tr>
        <w:tblPrEx>
          <w:tblLayout w:type="fixed"/>
          <w:tblCellMar>
            <w:top w:w="0" w:type="dxa"/>
            <w:left w:w="108" w:type="dxa"/>
            <w:bottom w:w="0" w:type="dxa"/>
            <w:right w:w="108" w:type="dxa"/>
          </w:tblCellMar>
        </w:tblPrEx>
        <w:trPr>
          <w:trHeight w:val="113" w:hRule="atLeast"/>
        </w:trPr>
        <w:tc>
          <w:tcPr>
            <w:tcW w:w="15614" w:type="dxa"/>
            <w:gridSpan w:val="17"/>
            <w:tcBorders>
              <w:top w:val="nil"/>
              <w:left w:val="nil"/>
              <w:bottom w:val="nil"/>
              <w:right w:val="nil"/>
            </w:tcBorders>
            <w:shd w:val="clear" w:color="auto" w:fill="auto"/>
            <w:noWrap/>
            <w:vAlign w:val="center"/>
          </w:tcPr>
          <w:p>
            <w:pPr>
              <w:widowControl/>
              <w:jc w:val="left"/>
              <w:rPr>
                <w:rFonts w:ascii="华文中宋" w:hAnsi="华文中宋" w:eastAsia="华文中宋" w:cs="宋体"/>
                <w:color w:val="000000"/>
                <w:kern w:val="0"/>
                <w:szCs w:val="32"/>
              </w:rPr>
            </w:pPr>
            <w:r>
              <w:rPr>
                <w:rFonts w:ascii="Times New Roman" w:hAnsi="Times New Roman" w:eastAsia="仿宋_GB2312" w:cs="Times New Roman"/>
                <w:bCs/>
                <w:kern w:val="0"/>
                <w:szCs w:val="21"/>
              </w:rPr>
              <w:br w:type="page"/>
            </w:r>
          </w:p>
        </w:tc>
      </w:tr>
      <w:tr>
        <w:tblPrEx>
          <w:tblLayout w:type="fixed"/>
          <w:tblCellMar>
            <w:top w:w="0" w:type="dxa"/>
            <w:left w:w="108" w:type="dxa"/>
            <w:bottom w:w="0" w:type="dxa"/>
            <w:right w:w="108" w:type="dxa"/>
          </w:tblCellMar>
        </w:tblPrEx>
        <w:trPr>
          <w:trHeight w:val="284" w:hRule="exact"/>
        </w:trPr>
        <w:tc>
          <w:tcPr>
            <w:tcW w:w="15614" w:type="dxa"/>
            <w:gridSpan w:val="17"/>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1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8"/>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6"/>
                <w:lang w:val="en-US" w:eastAsia="zh-CN" w:bidi="ar"/>
              </w:rPr>
              <w:t xml:space="preserve">   </w:t>
            </w:r>
            <w:r>
              <w:rPr>
                <w:rStyle w:val="17"/>
                <w:lang w:val="en-US" w:eastAsia="zh-CN" w:bidi="ar"/>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1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963" w:hRule="atLeast"/>
        </w:trPr>
        <w:tc>
          <w:tcPr>
            <w:tcW w:w="15120" w:type="dxa"/>
            <w:gridSpan w:val="14"/>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417" w:hRule="atLeast"/>
        </w:trPr>
        <w:tc>
          <w:tcPr>
            <w:tcW w:w="1326" w:type="dxa"/>
            <w:gridSpan w:val="3"/>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417" w:hRule="atLeast"/>
        </w:trPr>
        <w:tc>
          <w:tcPr>
            <w:tcW w:w="4319" w:type="dxa"/>
            <w:gridSpan w:val="6"/>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3315"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gridSpan w:val="3"/>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8"/>
                <w:lang w:val="en-US" w:eastAsia="zh-CN" w:bidi="ar"/>
              </w:rPr>
              <w:t>目</w:t>
            </w:r>
          </w:p>
        </w:tc>
        <w:tc>
          <w:tcPr>
            <w:tcW w:w="108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43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548" w:hRule="atLeast"/>
        </w:trPr>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2"/>
          <w:wBefore w:w="93" w:type="dxa"/>
          <w:wAfter w:w="401" w:type="dxa"/>
          <w:trHeight w:val="976" w:hRule="atLeast"/>
        </w:trPr>
        <w:tc>
          <w:tcPr>
            <w:tcW w:w="15120" w:type="dxa"/>
            <w:gridSpan w:val="1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8"/>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部门：湖南省农作物种子救灾储备中心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lang w:val="en-US" w:eastAsia="zh-CN"/>
              </w:rPr>
            </w:pPr>
            <w:r>
              <w:rPr>
                <w:rFonts w:hint="eastAsia"/>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pStyle w:val="2"/>
              <w:rPr>
                <w:rFonts w:hint="eastAsia"/>
              </w:rPr>
            </w:pPr>
            <w:r>
              <w:rPr>
                <w:rFonts w:hint="eastAsia" w:ascii="楷体" w:hAnsi="楷体" w:eastAsia="楷体" w:cs="楷体"/>
                <w:b/>
                <w:bCs/>
                <w:i w:val="0"/>
                <w:color w:val="auto"/>
                <w:kern w:val="0"/>
                <w:sz w:val="24"/>
                <w:szCs w:val="24"/>
                <w:u w:val="none"/>
                <w:lang w:val="en-US" w:eastAsia="zh-CN"/>
              </w:rPr>
              <w:t>说明：我单位没有财政拨款“三公“经费预算安排的支出，故本表无数据。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214.02</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增加31.40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增长 17.19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追加人员经费。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208.39</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208.39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187.05</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159.42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85.23</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27.63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14.77</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214.02</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增加31.40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增长17.19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追加人员经费。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187.05</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w:t>
      </w:r>
      <w:r>
        <w:rPr>
          <w:rFonts w:hint="eastAsia" w:ascii="Times New Roman" w:hAnsi="Times New Roman" w:eastAsia="仿宋_GB2312"/>
          <w:sz w:val="32"/>
          <w:szCs w:val="32"/>
          <w:lang w:val="en-US" w:eastAsia="zh-CN"/>
        </w:rPr>
        <w:t>增加35.65</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增长23.54</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人员经费增加。</w:t>
      </w:r>
    </w:p>
    <w:p>
      <w:pPr>
        <w:pStyle w:val="13"/>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187.05</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16.59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8.87</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159.01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85.01</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；住房保障</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11.44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6.12</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162.43</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187.05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1、社会保障和就业（类）人力资源和社会保障管理事务（款）社会保险业务管理事务（项）。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17.50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16.59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94.80</w:t>
      </w:r>
      <w:r>
        <w:rPr>
          <w:rFonts w:hint="eastAsia" w:ascii="Times New Roman" w:hAnsi="Times New Roman" w:eastAsia="仿宋_GB2312"/>
          <w:sz w:val="32"/>
          <w:szCs w:val="32"/>
        </w:rPr>
        <w:t>%，决算数小于年初预算数的主要原因是：社会保险业务管理事务</w:t>
      </w:r>
      <w:r>
        <w:rPr>
          <w:rFonts w:hint="eastAsia" w:ascii="Times New Roman" w:hAnsi="Times New Roman" w:eastAsia="仿宋_GB2312"/>
          <w:sz w:val="32"/>
          <w:szCs w:val="32"/>
          <w:lang w:val="en-US" w:eastAsia="zh-CN"/>
        </w:rPr>
        <w:t>支出年底有结余。</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w:t>
      </w:r>
      <w:r>
        <w:rPr>
          <w:rFonts w:hint="eastAsia" w:ascii="Times New Roman" w:hAnsi="Times New Roman" w:eastAsia="仿宋_GB2312"/>
          <w:sz w:val="32"/>
          <w:szCs w:val="32"/>
          <w:lang w:val="en-US" w:eastAsia="zh-CN"/>
        </w:rPr>
        <w:t>行政</w:t>
      </w:r>
      <w:r>
        <w:rPr>
          <w:rFonts w:hint="eastAsia" w:ascii="Times New Roman" w:hAnsi="Times New Roman" w:eastAsia="仿宋_GB2312"/>
          <w:sz w:val="32"/>
          <w:szCs w:val="32"/>
        </w:rPr>
        <w:t>运行（项）。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16.94</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年中追加资金。</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、农林水（类）农业农村（款）事业运行</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106.00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105.66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99.68</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人员及公用经费年底有结余</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、农林水（类）农业农村（款）农产品质量安全（项）。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5.63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15.63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年中追加项目资金。</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、农林水（类）农业农村（款）防灾救灾（项）。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8.78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94.415</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此项经费有结余。</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、农林水（类）农业农村（款）农业生产发展（项）。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12.00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、住房保障（类）住房改革支出（款）住房公积金（项）。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11.44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95.33</w:t>
      </w:r>
      <w:r>
        <w:rPr>
          <w:rFonts w:hint="eastAsia" w:ascii="Times New Roman" w:hAnsi="Times New Roman" w:eastAsia="仿宋_GB2312"/>
          <w:sz w:val="32"/>
          <w:szCs w:val="32"/>
        </w:rPr>
        <w:t>%，决算数小于年初预算数的主要原因是：住房公积金</w:t>
      </w:r>
      <w:r>
        <w:rPr>
          <w:rFonts w:hint="eastAsia" w:ascii="Times New Roman" w:hAnsi="Times New Roman" w:eastAsia="仿宋_GB2312"/>
          <w:sz w:val="32"/>
          <w:szCs w:val="32"/>
          <w:lang w:val="en-US" w:eastAsia="zh-CN"/>
        </w:rPr>
        <w:t>年底有结余</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159.42</w:t>
      </w:r>
      <w:r>
        <w:rPr>
          <w:rFonts w:hint="eastAsia" w:ascii="Times New Roman" w:hAnsi="Times New Roman" w:eastAsia="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150.64</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94.49</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退休费、生活补助等。</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b/>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8.78</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5.51</w:t>
      </w:r>
      <w:r>
        <w:rPr>
          <w:rFonts w:hint="eastAsia" w:ascii="Times New Roman" w:hAnsi="Times New Roman" w:eastAsia="仿宋_GB2312"/>
          <w:sz w:val="32"/>
          <w:szCs w:val="32"/>
        </w:rPr>
        <w:t>%，主要包括办公费、</w:t>
      </w:r>
      <w:r>
        <w:rPr>
          <w:rFonts w:hint="eastAsia" w:ascii="Times New Roman" w:hAnsi="Times New Roman" w:eastAsia="仿宋_GB2312"/>
          <w:sz w:val="32"/>
          <w:szCs w:val="32"/>
          <w:lang w:val="en-US" w:eastAsia="zh-CN"/>
        </w:rPr>
        <w:t>工会经费、福利费、其他交通费用等。</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本单位无政府性基金收支</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中心</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基本支出全年预算数186.39万元，实际支出159.42万元，预算执行率85.53%，其中人员经费全年预算数177.09万元，实际支出150.64万元，预算执行率85.06%，公用经费全年预算数9.30元，实际支出8.78万元，预算执行率94.37%。</w:t>
      </w:r>
    </w:p>
    <w:p>
      <w:pPr>
        <w:ind w:firstLine="709"/>
        <w:rPr>
          <w:rFonts w:ascii="仿宋_GB2312" w:hAnsi="仿宋" w:eastAsia="仿宋_GB2312" w:cs="Times New Roman"/>
          <w:color w:val="FF0000"/>
          <w:sz w:val="32"/>
          <w:szCs w:val="32"/>
        </w:rPr>
      </w:pPr>
      <w:r>
        <w:rPr>
          <w:rFonts w:hint="eastAsia" w:ascii="仿宋_GB2312" w:hAnsi="仿宋" w:eastAsia="仿宋_GB2312"/>
          <w:sz w:val="32"/>
          <w:szCs w:val="32"/>
        </w:rPr>
        <w:t>（1）</w:t>
      </w:r>
      <w:r>
        <w:rPr>
          <w:rFonts w:hint="eastAsia" w:ascii="仿宋_GB2312" w:hAnsi="仿宋" w:eastAsia="仿宋_GB2312" w:cs="仿宋"/>
          <w:color w:val="000000"/>
          <w:sz w:val="32"/>
          <w:szCs w:val="32"/>
        </w:rPr>
        <w:t>“三公”经费全部为年初预算数</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万元，实际支出</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（2）会议费支出情况：</w:t>
      </w:r>
      <w:r>
        <w:rPr>
          <w:rFonts w:hint="eastAsia" w:ascii="仿宋_GB2312" w:hAnsi="仿宋" w:eastAsia="仿宋_GB2312"/>
          <w:sz w:val="32"/>
          <w:szCs w:val="32"/>
          <w:lang w:eastAsia="zh-CN"/>
        </w:rPr>
        <w:t>会议费支出</w:t>
      </w:r>
      <w:r>
        <w:rPr>
          <w:rFonts w:hint="eastAsia" w:ascii="仿宋_GB2312" w:hAnsi="仿宋" w:eastAsia="仿宋_GB2312"/>
          <w:sz w:val="32"/>
          <w:szCs w:val="32"/>
          <w:lang w:val="en-US" w:eastAsia="zh-CN"/>
        </w:rPr>
        <w:t>0万元，上年支出为0万元</w:t>
      </w:r>
      <w:r>
        <w:rPr>
          <w:rFonts w:hint="eastAsia" w:ascii="仿宋_GB2312" w:hAnsi="仿宋" w:eastAsia="仿宋_GB2312"/>
          <w:sz w:val="32"/>
          <w:szCs w:val="32"/>
        </w:rPr>
        <w:t>。</w:t>
      </w:r>
    </w:p>
    <w:p>
      <w:pPr>
        <w:snapToGrid w:val="0"/>
        <w:spacing w:line="520" w:lineRule="exact"/>
        <w:ind w:firstLine="640" w:firstLineChars="200"/>
        <w:rPr>
          <w:rFonts w:hint="default" w:ascii="仿宋_GB2312" w:hAnsi="仿宋" w:eastAsia="仿宋_GB2312"/>
          <w:sz w:val="32"/>
          <w:szCs w:val="32"/>
          <w:lang w:val="en-US"/>
        </w:rPr>
      </w:pPr>
      <w:r>
        <w:rPr>
          <w:rFonts w:hint="eastAsia" w:ascii="仿宋_GB2312" w:hAnsi="仿宋" w:eastAsia="仿宋_GB2312"/>
          <w:sz w:val="32"/>
          <w:szCs w:val="32"/>
        </w:rPr>
        <w:t>（3）培训费支出情况：</w:t>
      </w:r>
      <w:r>
        <w:rPr>
          <w:rFonts w:hint="eastAsia" w:ascii="仿宋_GB2312" w:hAnsi="仿宋" w:eastAsia="仿宋_GB2312"/>
          <w:sz w:val="32"/>
          <w:szCs w:val="32"/>
          <w:lang w:eastAsia="zh-CN"/>
        </w:rPr>
        <w:t>培训费支出</w:t>
      </w:r>
      <w:r>
        <w:rPr>
          <w:rFonts w:hint="eastAsia" w:ascii="仿宋_GB2312" w:hAnsi="仿宋" w:eastAsia="仿宋_GB2312"/>
          <w:sz w:val="32"/>
          <w:szCs w:val="32"/>
          <w:lang w:val="en-US" w:eastAsia="zh-CN"/>
        </w:rPr>
        <w:t>0万元，上年支出为0万元。</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根据2016版《湖南省救灾备荒储备管理办法》和新的《种子法》及2022年度农业农村厅颁发的《湖南省救灾备荒储备管理细则》的相关规定，制定了储备管理办法修改草案；对2024年度承储单位开展储备业务培训，讲述储备的技术要点。</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2023年度我省</w:t>
      </w:r>
      <w:r>
        <w:rPr>
          <w:rFonts w:hint="eastAsia" w:ascii="仿宋_GB2312" w:hAnsi="仿宋" w:eastAsia="仿宋_GB2312"/>
          <w:sz w:val="32"/>
          <w:szCs w:val="32"/>
        </w:rPr>
        <w:t>省级救灾备荒种子</w:t>
      </w:r>
      <w:r>
        <w:rPr>
          <w:rFonts w:hint="eastAsia" w:ascii="仿宋_GB2312" w:hAnsi="仿宋" w:eastAsia="仿宋_GB2312"/>
          <w:sz w:val="32"/>
          <w:szCs w:val="32"/>
          <w:lang w:val="en-US" w:eastAsia="zh-CN"/>
        </w:rPr>
        <w:t>由湖南亚华种业等9家企业</w:t>
      </w:r>
      <w:r>
        <w:rPr>
          <w:rFonts w:hint="eastAsia" w:ascii="仿宋_GB2312" w:hAnsi="仿宋" w:eastAsia="仿宋_GB2312"/>
          <w:sz w:val="32"/>
          <w:szCs w:val="32"/>
        </w:rPr>
        <w:t>储备</w:t>
      </w:r>
      <w:r>
        <w:rPr>
          <w:rFonts w:hint="eastAsia" w:ascii="仿宋_GB2312" w:hAnsi="仿宋" w:eastAsia="仿宋_GB2312"/>
          <w:sz w:val="32"/>
          <w:szCs w:val="32"/>
          <w:lang w:eastAsia="zh-CN"/>
        </w:rPr>
        <w:t>，</w:t>
      </w:r>
      <w:r>
        <w:rPr>
          <w:rFonts w:hint="eastAsia" w:ascii="仿宋_GB2312" w:hAnsi="仿宋" w:eastAsia="仿宋_GB2312"/>
          <w:sz w:val="32"/>
          <w:szCs w:val="32"/>
        </w:rPr>
        <w:t>总数量为</w:t>
      </w:r>
      <w:r>
        <w:rPr>
          <w:rFonts w:hint="eastAsia" w:ascii="仿宋_GB2312" w:hAnsi="仿宋" w:eastAsia="仿宋_GB2312"/>
          <w:sz w:val="32"/>
          <w:szCs w:val="32"/>
          <w:lang w:val="en-US" w:eastAsia="zh-CN"/>
        </w:rPr>
        <w:t>365</w:t>
      </w:r>
      <w:r>
        <w:rPr>
          <w:rFonts w:hint="eastAsia" w:ascii="仿宋_GB2312" w:hAnsi="仿宋" w:eastAsia="仿宋_GB2312"/>
          <w:sz w:val="32"/>
          <w:szCs w:val="32"/>
        </w:rPr>
        <w:t>万公斤，其中常规早稻</w:t>
      </w:r>
      <w:r>
        <w:rPr>
          <w:rFonts w:hint="eastAsia" w:ascii="仿宋_GB2312" w:hAnsi="仿宋" w:eastAsia="仿宋_GB2312"/>
          <w:sz w:val="32"/>
          <w:szCs w:val="32"/>
          <w:lang w:val="en-US" w:eastAsia="zh-CN"/>
        </w:rPr>
        <w:t>345</w:t>
      </w:r>
      <w:r>
        <w:rPr>
          <w:rFonts w:hint="eastAsia" w:ascii="仿宋_GB2312" w:hAnsi="仿宋" w:eastAsia="仿宋_GB2312"/>
          <w:sz w:val="32"/>
          <w:szCs w:val="32"/>
        </w:rPr>
        <w:t>万公斤</w:t>
      </w:r>
      <w:r>
        <w:rPr>
          <w:rFonts w:hint="eastAsia" w:ascii="仿宋_GB2312" w:hAnsi="仿宋" w:eastAsia="仿宋_GB2312"/>
          <w:sz w:val="32"/>
          <w:szCs w:val="32"/>
          <w:lang w:eastAsia="zh-CN"/>
        </w:rPr>
        <w:t>，占比</w:t>
      </w:r>
      <w:r>
        <w:rPr>
          <w:rFonts w:hint="eastAsia" w:ascii="仿宋_GB2312" w:hAnsi="仿宋" w:eastAsia="仿宋_GB2312"/>
          <w:sz w:val="32"/>
          <w:szCs w:val="32"/>
          <w:lang w:val="en-US" w:eastAsia="zh-CN"/>
        </w:rPr>
        <w:t>95%，</w:t>
      </w:r>
      <w:r>
        <w:rPr>
          <w:rFonts w:hint="eastAsia" w:ascii="仿宋_GB2312" w:hAnsi="仿宋" w:eastAsia="仿宋_GB2312"/>
          <w:sz w:val="32"/>
          <w:szCs w:val="32"/>
        </w:rPr>
        <w:t>杂交早稻20万公斤。</w:t>
      </w:r>
      <w:r>
        <w:rPr>
          <w:rFonts w:hint="eastAsia" w:ascii="仿宋_GB2312" w:hAnsi="仿宋" w:eastAsia="仿宋_GB2312"/>
          <w:sz w:val="32"/>
          <w:szCs w:val="32"/>
          <w:lang w:eastAsia="zh-CN"/>
        </w:rPr>
        <w:t>今年</w:t>
      </w:r>
      <w:r>
        <w:rPr>
          <w:rFonts w:hint="eastAsia" w:ascii="仿宋_GB2312" w:hAnsi="仿宋" w:eastAsia="仿宋_GB2312"/>
          <w:sz w:val="32"/>
          <w:szCs w:val="32"/>
          <w:lang w:val="en-US" w:eastAsia="zh-CN"/>
        </w:rPr>
        <w:t>1月，我们组织由厅计财、纪检、种业处、种子站和中心的17名同志分成三组对其开展入库验收检查，经检查数量以及储备各项管理工作均能达到要求，但湖南金色农丰、湖南洞庭高科、湖南金色农华、益阳惠民种业等四家企业76.975万公斤常规稻种子海南种植鉴定纯度不合格。因此2023年度省级救灾备荒种子储备种子只有288.025万公斤，</w:t>
      </w:r>
      <w:r>
        <w:rPr>
          <w:rFonts w:hint="eastAsia" w:ascii="仿宋_GB2312" w:hAnsi="仿宋" w:eastAsia="仿宋_GB2312"/>
          <w:sz w:val="32"/>
          <w:szCs w:val="32"/>
        </w:rPr>
        <w:t>其中常规早稻</w:t>
      </w:r>
      <w:r>
        <w:rPr>
          <w:rFonts w:hint="eastAsia" w:ascii="仿宋_GB2312" w:hAnsi="仿宋" w:eastAsia="仿宋_GB2312"/>
          <w:sz w:val="32"/>
          <w:szCs w:val="32"/>
          <w:lang w:val="en-US" w:eastAsia="zh-CN"/>
        </w:rPr>
        <w:t>268.025</w:t>
      </w:r>
      <w:r>
        <w:rPr>
          <w:rFonts w:hint="eastAsia" w:ascii="仿宋_GB2312" w:hAnsi="仿宋" w:eastAsia="仿宋_GB2312"/>
          <w:sz w:val="32"/>
          <w:szCs w:val="32"/>
        </w:rPr>
        <w:t>万公斤、杂交早稻20万公斤。</w:t>
      </w:r>
      <w:r>
        <w:rPr>
          <w:rFonts w:hint="eastAsia" w:ascii="仿宋_GB2312" w:hAnsi="仿宋" w:eastAsia="仿宋_GB2312"/>
          <w:sz w:val="32"/>
          <w:szCs w:val="32"/>
          <w:lang w:val="en-US" w:eastAsia="zh-CN"/>
        </w:rPr>
        <w:t>6月，我们采取检查全程负责制，由原班人马对各企业的承储种子开展中期检查，经检查各企业都严格按照合同要求，未出现承储种子动用情况，数量达到要求。</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2023年度国家救灾储备20万公斤，国家备荒储备70万公斤的验收检查和中期检查，检查标准参照省级执行。</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完成2024年度储备招标和安排种子生产，为将管理关口前移7-8月我们开展了储备种子生产花期检查；省级储备下发了储备专用标签，为验收做好准备。</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90%。</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预算执行率较低，全年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214.02</w:t>
      </w:r>
      <w:r>
        <w:rPr>
          <w:rFonts w:hint="eastAsia" w:ascii="仿宋_GB2312" w:hAnsi="仿宋" w:eastAsia="仿宋_GB2312"/>
          <w:sz w:val="32"/>
          <w:szCs w:val="32"/>
        </w:rPr>
        <w:t>万元，支出决算数</w:t>
      </w:r>
      <w:r>
        <w:rPr>
          <w:rFonts w:hint="eastAsia" w:ascii="仿宋_GB2312" w:hAnsi="仿宋" w:eastAsia="仿宋_GB2312"/>
          <w:sz w:val="32"/>
          <w:szCs w:val="32"/>
          <w:lang w:val="en-US" w:eastAsia="zh-CN"/>
        </w:rPr>
        <w:t>187.05</w:t>
      </w:r>
      <w:r>
        <w:rPr>
          <w:rFonts w:hint="eastAsia" w:ascii="仿宋_GB2312" w:hAnsi="仿宋" w:eastAsia="仿宋_GB2312"/>
          <w:sz w:val="32"/>
          <w:szCs w:val="32"/>
        </w:rPr>
        <w:t>万元，执行率</w:t>
      </w:r>
      <w:r>
        <w:rPr>
          <w:rFonts w:hint="eastAsia" w:ascii="仿宋_GB2312" w:hAnsi="仿宋" w:eastAsia="仿宋_GB2312"/>
          <w:sz w:val="32"/>
          <w:szCs w:val="32"/>
          <w:lang w:val="en-US" w:eastAsia="zh-CN"/>
        </w:rPr>
        <w:t>87.40，主要是因为人员经费年初编制与实际有差距，资金结余。</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p>
    <w:p>
      <w:pPr>
        <w:pStyle w:val="13"/>
        <w:jc w:val="center"/>
        <w:rPr>
          <w:sz w:val="72"/>
          <w:szCs w:val="72"/>
        </w:rPr>
      </w:pPr>
    </w:p>
    <w:p>
      <w:pPr>
        <w:pStyle w:val="13"/>
        <w:jc w:val="center"/>
        <w:rPr>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3"/>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rPr>
          <w:sz w:val="72"/>
          <w:szCs w:val="72"/>
        </w:rPr>
      </w:pPr>
      <w:r>
        <w:rPr>
          <w:sz w:val="72"/>
          <w:szCs w:val="72"/>
        </w:rPr>
        <w:br w:type="page"/>
      </w: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w:t>
      </w:r>
      <w:bookmarkStart w:id="2" w:name="_GoBack"/>
      <w:bookmarkEnd w:id="2"/>
      <w:r>
        <w:rPr>
          <w:rFonts w:hint="eastAsia" w:ascii="Times New Roman" w:hAnsi="Times New Roman" w:eastAsia="仿宋_GB2312"/>
          <w:sz w:val="32"/>
          <w:szCs w:val="32"/>
          <w:lang w:val="en-US" w:eastAsia="zh-CN"/>
        </w:rPr>
        <w:t>单位整体支出绩效自评报告。</w:t>
      </w:r>
    </w:p>
    <w:p>
      <w:pPr>
        <w:pStyle w:val="13"/>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44"/>
          <w:szCs w:val="44"/>
          <w:lang w:val="en-US" w:eastAsia="zh-CN"/>
        </w:rPr>
      </w:pPr>
      <w:r>
        <w:rPr>
          <w:rFonts w:hint="eastAsia" w:ascii="Times New Roman" w:hAnsi="Times New Roman" w:eastAsia="仿宋_GB2312"/>
          <w:b/>
          <w:bCs/>
          <w:sz w:val="44"/>
          <w:szCs w:val="44"/>
          <w:lang w:val="en-US" w:eastAsia="zh-CN"/>
        </w:rPr>
        <w:t>湖南省农作物种子救灾储备中心整体绩效自评报告</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widowControl/>
        <w:spacing w:line="600" w:lineRule="exact"/>
        <w:ind w:firstLine="627" w:firstLineChars="196"/>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承担我省农村能源科研、新技术引进；试点示范推广等任务。</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机构情况</w:t>
      </w:r>
      <w:r>
        <w:rPr>
          <w:rFonts w:hint="eastAsia" w:ascii="仿宋_GB2312" w:hAnsi="仿宋" w:eastAsia="仿宋_GB2312"/>
          <w:sz w:val="32"/>
          <w:szCs w:val="32"/>
          <w:lang w:eastAsia="zh-CN"/>
        </w:rPr>
        <w:t>与上年对比无变化</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rPr>
        <w:t>3．</w:t>
      </w:r>
      <w:r>
        <w:rPr>
          <w:rFonts w:hint="eastAsia" w:ascii="仿宋_GB2312" w:hAnsi="仿宋" w:eastAsia="仿宋_GB2312"/>
          <w:sz w:val="32"/>
          <w:szCs w:val="32"/>
          <w:lang w:eastAsia="zh-CN"/>
        </w:rPr>
        <w:t>人员情况：</w:t>
      </w:r>
      <w:r>
        <w:rPr>
          <w:rFonts w:hint="eastAsia" w:ascii="仿宋" w:hAnsi="仿宋" w:eastAsia="仿宋" w:cs="仿宋"/>
          <w:bCs/>
          <w:sz w:val="32"/>
          <w:szCs w:val="32"/>
          <w:lang w:val="en-US" w:eastAsia="zh-CN"/>
        </w:rPr>
        <w:t>人员编制6人，</w:t>
      </w:r>
      <w:r>
        <w:rPr>
          <w:rFonts w:hint="eastAsia" w:ascii="仿宋" w:hAnsi="仿宋" w:eastAsia="仿宋" w:cs="仿宋"/>
          <w:bCs/>
          <w:sz w:val="32"/>
          <w:szCs w:val="32"/>
        </w:rPr>
        <w:t>现有在职员工</w:t>
      </w:r>
      <w:r>
        <w:rPr>
          <w:rFonts w:hint="eastAsia" w:ascii="仿宋" w:hAnsi="仿宋" w:eastAsia="仿宋" w:cs="仿宋"/>
          <w:bCs/>
          <w:sz w:val="32"/>
          <w:szCs w:val="32"/>
          <w:lang w:val="en-US" w:eastAsia="zh-CN"/>
        </w:rPr>
        <w:t>4</w:t>
      </w:r>
      <w:r>
        <w:rPr>
          <w:rFonts w:hint="eastAsia" w:ascii="仿宋" w:hAnsi="仿宋" w:eastAsia="仿宋" w:cs="仿宋"/>
          <w:bCs/>
          <w:sz w:val="32"/>
          <w:szCs w:val="32"/>
        </w:rPr>
        <w:t>人，退休人员</w:t>
      </w:r>
      <w:r>
        <w:rPr>
          <w:rFonts w:hint="eastAsia" w:ascii="仿宋" w:hAnsi="仿宋" w:eastAsia="仿宋" w:cs="仿宋"/>
          <w:bCs/>
          <w:sz w:val="32"/>
          <w:szCs w:val="32"/>
          <w:lang w:val="en-US" w:eastAsia="zh-CN"/>
        </w:rPr>
        <w:t>2</w:t>
      </w:r>
      <w:r>
        <w:rPr>
          <w:rFonts w:hint="eastAsia" w:ascii="仿宋" w:hAnsi="仿宋" w:eastAsia="仿宋" w:cs="仿宋"/>
          <w:bCs/>
          <w:sz w:val="32"/>
          <w:szCs w:val="32"/>
        </w:rPr>
        <w:t>名。</w:t>
      </w:r>
    </w:p>
    <w:p>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一般公共预算支出情况</w:t>
      </w:r>
    </w:p>
    <w:p>
      <w:pPr>
        <w:pStyle w:val="13"/>
        <w:keepNext w:val="0"/>
        <w:keepLines w:val="0"/>
        <w:pageBreakBefore w:val="0"/>
        <w:widowControl w:val="0"/>
        <w:numPr>
          <w:ilvl w:val="0"/>
          <w:numId w:val="4"/>
        </w:numPr>
        <w:kinsoku/>
        <w:wordWrap/>
        <w:overflowPunct/>
        <w:topLinePunct w:val="0"/>
        <w:bidi w:val="0"/>
        <w:snapToGrid/>
        <w:spacing w:line="600" w:lineRule="exact"/>
        <w:ind w:left="580" w:leftChars="0" w:firstLine="0" w:firstLineChars="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基本支出全年预算数63.89万元，实际支出63.89万元，预算执行率100%，其中人员经费全年预算数63.89万元，实际支出63.89万元，预算执行率100%，公用经费全年预算数0元，实际支出0万元。</w:t>
      </w:r>
    </w:p>
    <w:p>
      <w:pPr>
        <w:pStyle w:val="13"/>
        <w:keepNext w:val="0"/>
        <w:keepLines w:val="0"/>
        <w:pageBreakBefore w:val="0"/>
        <w:widowControl w:val="0"/>
        <w:numPr>
          <w:ilvl w:val="0"/>
          <w:numId w:val="4"/>
        </w:numPr>
        <w:kinsoku/>
        <w:wordWrap/>
        <w:overflowPunct/>
        <w:topLinePunct w:val="0"/>
        <w:bidi w:val="0"/>
        <w:snapToGrid/>
        <w:spacing w:line="600" w:lineRule="exact"/>
        <w:ind w:left="580" w:leftChars="0" w:firstLine="0" w:firstLine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项目支出全年预算数0万元，实际支出0万元。</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三、部门整体支出绩效情况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仿宋_GB2312" w:hAnsi="仿宋" w:eastAsia="仿宋_GB2312"/>
          <w:sz w:val="32"/>
          <w:szCs w:val="32"/>
          <w:lang w:eastAsia="zh-CN"/>
        </w:rPr>
        <w:t>支出预算数</w:t>
      </w:r>
      <w:r>
        <w:rPr>
          <w:rFonts w:hint="eastAsia" w:ascii="仿宋_GB2312" w:hAnsi="仿宋" w:eastAsia="仿宋_GB2312"/>
          <w:sz w:val="32"/>
          <w:szCs w:val="32"/>
          <w:lang w:val="en-US" w:eastAsia="zh-CN"/>
        </w:rPr>
        <w:t>128.78万元，支出决算数</w:t>
      </w:r>
      <w:r>
        <w:rPr>
          <w:rFonts w:hint="eastAsia" w:ascii="Times New Roman" w:hAnsi="Times New Roman" w:eastAsia="仿宋_GB2312"/>
          <w:sz w:val="32"/>
          <w:szCs w:val="32"/>
          <w:lang w:val="en-US" w:eastAsia="zh-CN"/>
        </w:rPr>
        <w:t>63.89万元，实际支出63.89万元，预算执行率100%，其中人员经费全年预算数63.89万元，实际支出63.89万元，预算执行率100%，公用经费全年预算数0元，实际支出0万元。</w:t>
      </w:r>
    </w:p>
    <w:p>
      <w:pPr>
        <w:ind w:firstLine="709"/>
        <w:rPr>
          <w:rFonts w:ascii="仿宋_GB2312" w:hAnsi="仿宋" w:eastAsia="仿宋_GB2312" w:cs="Times New Roman"/>
          <w:color w:val="FF0000"/>
          <w:sz w:val="32"/>
          <w:szCs w:val="32"/>
        </w:rPr>
      </w:pPr>
      <w:r>
        <w:rPr>
          <w:rFonts w:hint="eastAsia" w:ascii="仿宋_GB2312" w:hAnsi="仿宋" w:eastAsia="仿宋_GB2312"/>
          <w:sz w:val="32"/>
          <w:szCs w:val="32"/>
        </w:rPr>
        <w:t>（1）</w:t>
      </w:r>
      <w:r>
        <w:rPr>
          <w:rFonts w:hint="eastAsia" w:ascii="仿宋_GB2312" w:hAnsi="仿宋" w:eastAsia="仿宋_GB2312" w:cs="仿宋"/>
          <w:color w:val="000000"/>
          <w:sz w:val="32"/>
          <w:szCs w:val="32"/>
        </w:rPr>
        <w:t>“三公”经费全部为年初预算数</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万元，实际支出</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（2）会议费支出情况：</w:t>
      </w:r>
      <w:r>
        <w:rPr>
          <w:rFonts w:hint="eastAsia" w:ascii="仿宋_GB2312" w:hAnsi="仿宋" w:eastAsia="仿宋_GB2312"/>
          <w:sz w:val="32"/>
          <w:szCs w:val="32"/>
          <w:lang w:eastAsia="zh-CN"/>
        </w:rPr>
        <w:t>会议费支出</w:t>
      </w:r>
      <w:r>
        <w:rPr>
          <w:rFonts w:hint="eastAsia" w:ascii="仿宋_GB2312" w:hAnsi="仿宋" w:eastAsia="仿宋_GB2312"/>
          <w:sz w:val="32"/>
          <w:szCs w:val="32"/>
          <w:lang w:val="en-US" w:eastAsia="zh-CN"/>
        </w:rPr>
        <w:t>0万元，上年支出为0万元</w:t>
      </w:r>
      <w:r>
        <w:rPr>
          <w:rFonts w:hint="eastAsia" w:ascii="仿宋_GB2312" w:hAnsi="仿宋" w:eastAsia="仿宋_GB2312"/>
          <w:sz w:val="32"/>
          <w:szCs w:val="32"/>
        </w:rPr>
        <w:t>。</w:t>
      </w:r>
    </w:p>
    <w:p>
      <w:pPr>
        <w:snapToGrid w:val="0"/>
        <w:spacing w:line="520" w:lineRule="exact"/>
        <w:ind w:firstLine="640" w:firstLineChars="200"/>
        <w:rPr>
          <w:rFonts w:hint="default" w:ascii="仿宋_GB2312" w:hAnsi="仿宋" w:eastAsia="仿宋_GB2312"/>
          <w:sz w:val="32"/>
          <w:szCs w:val="32"/>
          <w:lang w:val="en-US"/>
        </w:rPr>
      </w:pPr>
      <w:r>
        <w:rPr>
          <w:rFonts w:hint="eastAsia" w:ascii="仿宋_GB2312" w:hAnsi="仿宋" w:eastAsia="仿宋_GB2312"/>
          <w:sz w:val="32"/>
          <w:szCs w:val="32"/>
        </w:rPr>
        <w:t>（3）培训费支出情况：</w:t>
      </w:r>
      <w:r>
        <w:rPr>
          <w:rFonts w:hint="eastAsia" w:ascii="仿宋_GB2312" w:hAnsi="仿宋" w:eastAsia="仿宋_GB2312"/>
          <w:sz w:val="32"/>
          <w:szCs w:val="32"/>
          <w:lang w:eastAsia="zh-CN"/>
        </w:rPr>
        <w:t>培训费支出</w:t>
      </w:r>
      <w:r>
        <w:rPr>
          <w:rFonts w:hint="eastAsia" w:ascii="仿宋_GB2312" w:hAnsi="仿宋" w:eastAsia="仿宋_GB2312"/>
          <w:sz w:val="32"/>
          <w:szCs w:val="32"/>
          <w:lang w:val="en-US" w:eastAsia="zh-CN"/>
        </w:rPr>
        <w:t>0万元，上年支出为0万元。</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对标农业农村部要求，将农村沼气安全生产作为农业农村领域安全生产的重点工作，加强农业农村部门对农村沼气安全生产的监管，压实农村沼气用户和业主农村沼气安全生产的主体责任，确保安全监管到位。</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组织编写农村沼气安全操作手册。根据我省农村沼气安全的现状，我们组织相关专家编写了《湖南省农村沼气安全操作与处置实用技术手册》，指导沼气设施安全隐患排查与整治。</w:t>
      </w:r>
    </w:p>
    <w:p>
      <w:pPr>
        <w:snapToGrid w:val="0"/>
        <w:spacing w:line="520" w:lineRule="exact"/>
        <w:ind w:firstLine="640" w:firstLineChars="200"/>
        <w:rPr>
          <w:rFonts w:hint="eastAsia" w:ascii="仿宋_GB2312" w:hAnsi="仿宋" w:eastAsia="仿宋_GB2312"/>
          <w:sz w:val="32"/>
          <w:szCs w:val="32"/>
          <w:lang w:val="en" w:eastAsia="zh-CN"/>
        </w:rPr>
      </w:pPr>
      <w:r>
        <w:rPr>
          <w:rFonts w:hint="eastAsia" w:ascii="仿宋_GB2312" w:hAnsi="仿宋" w:eastAsia="仿宋_GB2312"/>
          <w:sz w:val="32"/>
          <w:szCs w:val="32"/>
          <w:lang w:val="en-US" w:eastAsia="zh-CN"/>
        </w:rPr>
        <w:t>积极开展农村沼气“安全生产月”活动。</w:t>
      </w:r>
      <w:r>
        <w:rPr>
          <w:rFonts w:hint="eastAsia" w:ascii="仿宋_GB2312" w:hAnsi="仿宋" w:eastAsia="仿宋_GB2312"/>
          <w:sz w:val="32"/>
          <w:szCs w:val="32"/>
          <w:lang w:val="en" w:eastAsia="zh-CN"/>
        </w:rPr>
        <w:t>在衡阳县、沅江市、岳阳县、桃江县等</w:t>
      </w:r>
      <w:r>
        <w:rPr>
          <w:rFonts w:hint="eastAsia" w:ascii="仿宋_GB2312" w:hAnsi="仿宋" w:eastAsia="仿宋_GB2312"/>
          <w:sz w:val="32"/>
          <w:szCs w:val="32"/>
          <w:lang w:val="en-US" w:eastAsia="zh-CN"/>
        </w:rPr>
        <w:t>4</w:t>
      </w:r>
      <w:r>
        <w:rPr>
          <w:rFonts w:hint="eastAsia" w:ascii="仿宋_GB2312" w:hAnsi="仿宋" w:eastAsia="仿宋_GB2312"/>
          <w:sz w:val="32"/>
          <w:szCs w:val="32"/>
          <w:lang w:val="en" w:eastAsia="zh-CN"/>
        </w:rPr>
        <w:t>个县市，现场开展农村沼气设施现场安全处置示范，并积极宣传农村沼气安全生产知识，让</w:t>
      </w:r>
      <w:r>
        <w:rPr>
          <w:rFonts w:hint="eastAsia" w:ascii="仿宋_GB2312" w:hAnsi="仿宋" w:eastAsia="仿宋_GB2312"/>
          <w:sz w:val="32"/>
          <w:szCs w:val="32"/>
          <w:lang w:val="en-US" w:eastAsia="zh-CN"/>
        </w:rPr>
        <w:t>大家思想上高度警醒，并且做到七个清楚：清楚自己的职责、清楚自己的任务、清楚自己分管工作的风险隐患、清楚每一项工作用什么样的措施办法才有效、清楚各项工作的技术路径、清楚和熟悉每一项工作的进展情况、清楚不履行职责将要承担什么样的后果。</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协助举办沼气安全生产培训班。6月13日，协助资源保护与利用处在衡阳市举办了全省大中型沼气工程安全生产操作培训班。并且现场开展农村沼气安全处置示范。通过现场讲解和与会人员互动，增强大家对沼气相关知识的理解和记忆、提升业务能力，并充分认识到“安全无小事，责任大于天”。</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协助完成了生态农场的申报和评审。根据资源与利用处安排，全站人员配合协助尹邦友和易新两位同志到全省各地指导省级生态农场建设，并对拟申报国家级生态农场的企业进行了实地考察。目前，13个国家级生态农场已公示，省级生态农场通过了初审。</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完成了全省可再生能源统计的汇总审核上报和统计分析工作。按照部要求，2022年5月全面启动小程序的填报工作，至2023年</w:t>
      </w:r>
      <w:r>
        <w:rPr>
          <w:rFonts w:hint="default" w:ascii="仿宋_GB2312" w:hAnsi="仿宋" w:eastAsia="仿宋_GB2312"/>
          <w:sz w:val="32"/>
          <w:szCs w:val="32"/>
          <w:lang w:val="en" w:eastAsia="zh-CN"/>
        </w:rPr>
        <w:t>1</w:t>
      </w:r>
      <w:r>
        <w:rPr>
          <w:rFonts w:hint="eastAsia" w:ascii="仿宋_GB2312" w:hAnsi="仿宋" w:eastAsia="仿宋_GB2312"/>
          <w:sz w:val="32"/>
          <w:szCs w:val="32"/>
          <w:lang w:val="en-US" w:eastAsia="zh-CN"/>
        </w:rPr>
        <w:t>1月</w:t>
      </w:r>
      <w:r>
        <w:rPr>
          <w:rFonts w:hint="default" w:ascii="仿宋_GB2312" w:hAnsi="仿宋" w:eastAsia="仿宋_GB2312"/>
          <w:sz w:val="32"/>
          <w:szCs w:val="32"/>
          <w:lang w:val="en" w:eastAsia="zh-CN"/>
        </w:rPr>
        <w:t>30</w:t>
      </w:r>
      <w:r>
        <w:rPr>
          <w:rFonts w:hint="eastAsia" w:ascii="仿宋_GB2312" w:hAnsi="仿宋" w:eastAsia="仿宋_GB2312"/>
          <w:sz w:val="32"/>
          <w:szCs w:val="32"/>
          <w:lang w:val="en-US" w:eastAsia="zh-CN"/>
        </w:rPr>
        <w:t>日，填报户用沼气池1547</w:t>
      </w:r>
      <w:r>
        <w:rPr>
          <w:rFonts w:hint="default" w:ascii="仿宋_GB2312" w:hAnsi="仿宋" w:eastAsia="仿宋_GB2312"/>
          <w:sz w:val="32"/>
          <w:szCs w:val="32"/>
          <w:lang w:val="en" w:eastAsia="zh-CN"/>
        </w:rPr>
        <w:t>42</w:t>
      </w:r>
      <w:r>
        <w:rPr>
          <w:rFonts w:hint="eastAsia" w:ascii="仿宋_GB2312" w:hAnsi="仿宋" w:eastAsia="仿宋_GB2312"/>
          <w:sz w:val="32"/>
          <w:szCs w:val="32"/>
          <w:lang w:val="en-US" w:eastAsia="zh-CN"/>
        </w:rPr>
        <w:t>口（其中87569口存在安全隐患）、沼气工程1375处（其中796处存在安全隐患），为农村沼气安全生产提供了坚实基础。</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90%。</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四、存在的问题及原因分析</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sectPr>
          <w:pgSz w:w="11906" w:h="16838"/>
          <w:pgMar w:top="720" w:right="720" w:bottom="720" w:left="720" w:header="851" w:footer="992" w:gutter="0"/>
          <w:cols w:space="425" w:num="1"/>
          <w:docGrid w:type="linesAndChars" w:linePitch="312" w:charSpace="0"/>
        </w:sectPr>
      </w:pPr>
      <w:r>
        <w:rPr>
          <w:rFonts w:hint="eastAsia" w:ascii="Times New Roman" w:hAnsi="Times New Roman" w:eastAsia="仿宋_GB2312"/>
          <w:sz w:val="32"/>
          <w:szCs w:val="32"/>
          <w:lang w:val="en-US" w:eastAsia="zh-CN"/>
        </w:rPr>
        <w:t>经费预算不足，因我站为差额拨款事业单位，年初预算只能维持全站职工约10个月的人员经费开支。</w:t>
      </w:r>
    </w:p>
    <w:p>
      <w:pPr>
        <w:pStyle w:val="13"/>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44"/>
          <w:szCs w:val="44"/>
          <w:lang w:val="en-US" w:eastAsia="zh-CN"/>
        </w:rPr>
      </w:pPr>
      <w:r>
        <w:rPr>
          <w:rFonts w:hint="eastAsia" w:ascii="Times New Roman" w:hAnsi="Times New Roman" w:eastAsia="仿宋_GB2312"/>
          <w:b/>
          <w:bCs/>
          <w:sz w:val="44"/>
          <w:szCs w:val="44"/>
          <w:lang w:val="en-US" w:eastAsia="zh-CN"/>
        </w:rPr>
        <w:t>湖南省农作物种子救灾储备中心整体绩效自评报告</w:t>
      </w:r>
    </w:p>
    <w:p>
      <w:pPr>
        <w:pStyle w:val="13"/>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承担国家和省级农业行政主管部门下达的农作物种子救灾备荒储备任务，对储备种子定期检验和更新。</w:t>
      </w:r>
    </w:p>
    <w:p>
      <w:pPr>
        <w:spacing w:line="620" w:lineRule="exact"/>
        <w:ind w:firstLine="640" w:firstLineChars="200"/>
        <w:rPr>
          <w:rFonts w:hint="eastAsia" w:ascii="仿宋" w:hAnsi="仿宋" w:eastAsia="仿宋"/>
          <w:sz w:val="32"/>
          <w:szCs w:val="32"/>
          <w:lang w:eastAsia="zh-CN"/>
        </w:rPr>
      </w:pPr>
      <w:r>
        <w:rPr>
          <w:rFonts w:hint="eastAsia" w:ascii="仿宋_GB2312" w:hAnsi="仿宋" w:eastAsia="仿宋_GB2312"/>
          <w:sz w:val="32"/>
          <w:szCs w:val="32"/>
        </w:rPr>
        <w:t>2．</w:t>
      </w:r>
      <w:r>
        <w:rPr>
          <w:rFonts w:hint="eastAsia" w:ascii="仿宋" w:hAnsi="仿宋" w:eastAsia="仿宋"/>
          <w:sz w:val="32"/>
          <w:szCs w:val="32"/>
          <w:lang w:eastAsia="zh-CN"/>
        </w:rPr>
        <w:t>湖南省农作物种子救灾储备中心</w:t>
      </w:r>
      <w:r>
        <w:rPr>
          <w:rFonts w:hint="eastAsia" w:ascii="仿宋" w:hAnsi="仿宋" w:eastAsia="仿宋"/>
          <w:sz w:val="32"/>
          <w:szCs w:val="32"/>
        </w:rPr>
        <w:t>内设机构包括：财务科、储备科</w:t>
      </w:r>
      <w:r>
        <w:rPr>
          <w:rFonts w:hint="eastAsia" w:ascii="仿宋" w:hAnsi="仿宋" w:eastAsia="仿宋"/>
          <w:sz w:val="32"/>
          <w:szCs w:val="32"/>
          <w:lang w:eastAsia="zh-CN"/>
        </w:rPr>
        <w:t>。</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3．人员情况，</w:t>
      </w:r>
      <w:r>
        <w:rPr>
          <w:rFonts w:hint="eastAsia" w:ascii="仿宋" w:hAnsi="仿宋" w:eastAsia="仿宋"/>
          <w:sz w:val="32"/>
          <w:szCs w:val="32"/>
        </w:rPr>
        <w:t>中心现有在编在职人员</w:t>
      </w:r>
      <w:r>
        <w:rPr>
          <w:rFonts w:hint="eastAsia" w:ascii="仿宋" w:hAnsi="仿宋" w:eastAsia="仿宋"/>
          <w:sz w:val="32"/>
          <w:szCs w:val="32"/>
          <w:lang w:val="en-US" w:eastAsia="zh-CN"/>
        </w:rPr>
        <w:t>4</w:t>
      </w:r>
      <w:r>
        <w:rPr>
          <w:rFonts w:hint="eastAsia" w:ascii="仿宋" w:hAnsi="仿宋" w:eastAsia="仿宋"/>
          <w:sz w:val="32"/>
          <w:szCs w:val="32"/>
        </w:rPr>
        <w:t>人</w:t>
      </w:r>
      <w:r>
        <w:rPr>
          <w:rFonts w:hint="eastAsia" w:ascii="仿宋_GB2312" w:hAnsi="仿宋" w:eastAsia="仿宋_GB2312"/>
          <w:sz w:val="32"/>
          <w:szCs w:val="32"/>
        </w:rPr>
        <w:t>。</w:t>
      </w:r>
    </w:p>
    <w:p>
      <w:pPr>
        <w:pStyle w:val="13"/>
        <w:keepNext w:val="0"/>
        <w:keepLines w:val="0"/>
        <w:pageBreakBefore w:val="0"/>
        <w:widowControl w:val="0"/>
        <w:numPr>
          <w:ilvl w:val="0"/>
          <w:numId w:val="3"/>
        </w:numPr>
        <w:kinsoku/>
        <w:wordWrap/>
        <w:overflowPunct/>
        <w:topLinePunct w:val="0"/>
        <w:bidi w:val="0"/>
        <w:snapToGrid/>
        <w:spacing w:line="600" w:lineRule="exact"/>
        <w:ind w:left="0" w:leftChars="0"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一般公共预算支出情况</w:t>
      </w:r>
    </w:p>
    <w:p>
      <w:pPr>
        <w:pStyle w:val="13"/>
        <w:keepNext w:val="0"/>
        <w:keepLines w:val="0"/>
        <w:pageBreakBefore w:val="0"/>
        <w:widowControl w:val="0"/>
        <w:numPr>
          <w:ilvl w:val="0"/>
          <w:numId w:val="4"/>
        </w:numPr>
        <w:kinsoku/>
        <w:wordWrap/>
        <w:overflowPunct/>
        <w:topLinePunct w:val="0"/>
        <w:bidi w:val="0"/>
        <w:snapToGrid/>
        <w:spacing w:line="600" w:lineRule="exact"/>
        <w:ind w:left="580" w:leftChars="0" w:firstLine="0" w:firstLineChars="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基本支出全年预算数186.39万元，实际支出159.42万元，预算执行率85.53%，其中人员经费全年预算数177.09万元，实际支出150.64万元，预算执行率85.06%，公用经费全年预算数9.30元，实际支出8.78万元，预算执行率94.37%。</w:t>
      </w:r>
    </w:p>
    <w:p>
      <w:pPr>
        <w:pStyle w:val="13"/>
        <w:keepNext w:val="0"/>
        <w:keepLines w:val="0"/>
        <w:pageBreakBefore w:val="0"/>
        <w:widowControl w:val="0"/>
        <w:numPr>
          <w:ilvl w:val="0"/>
          <w:numId w:val="4"/>
        </w:numPr>
        <w:kinsoku/>
        <w:wordWrap/>
        <w:overflowPunct/>
        <w:topLinePunct w:val="0"/>
        <w:bidi w:val="0"/>
        <w:snapToGrid/>
        <w:spacing w:line="600" w:lineRule="exact"/>
        <w:ind w:left="580" w:leftChars="0" w:firstLine="0" w:firstLine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项目支出全年预算数27.63万元，实际支出27.63万元。</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三、部门整体支出绩效情况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基本支出全年预算数186.39万元，实际支出159.42万元，预算执行率85.53%，其中人员经费全年预算数177.09万元，实际支出150.64万元，预算执行率85.06%，公用经费全年预算数9.30元，实际支出8.78万元，预算执行率94.37%。</w:t>
      </w:r>
    </w:p>
    <w:p>
      <w:pPr>
        <w:ind w:firstLine="709"/>
        <w:rPr>
          <w:rFonts w:ascii="仿宋_GB2312" w:hAnsi="仿宋" w:eastAsia="仿宋_GB2312" w:cs="Times New Roman"/>
          <w:color w:val="FF0000"/>
          <w:sz w:val="32"/>
          <w:szCs w:val="32"/>
        </w:rPr>
      </w:pPr>
      <w:r>
        <w:rPr>
          <w:rFonts w:hint="eastAsia" w:ascii="仿宋_GB2312" w:hAnsi="仿宋" w:eastAsia="仿宋_GB2312"/>
          <w:sz w:val="32"/>
          <w:szCs w:val="32"/>
        </w:rPr>
        <w:t>（1）</w:t>
      </w:r>
      <w:r>
        <w:rPr>
          <w:rFonts w:hint="eastAsia" w:ascii="仿宋_GB2312" w:hAnsi="仿宋" w:eastAsia="仿宋_GB2312" w:cs="仿宋"/>
          <w:color w:val="000000"/>
          <w:sz w:val="32"/>
          <w:szCs w:val="32"/>
        </w:rPr>
        <w:t>“三公”经费全部为年初预算数</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万元，实际支出</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（2）会议费支出情况：</w:t>
      </w:r>
      <w:r>
        <w:rPr>
          <w:rFonts w:hint="eastAsia" w:ascii="仿宋_GB2312" w:hAnsi="仿宋" w:eastAsia="仿宋_GB2312"/>
          <w:sz w:val="32"/>
          <w:szCs w:val="32"/>
          <w:lang w:eastAsia="zh-CN"/>
        </w:rPr>
        <w:t>会议费支出</w:t>
      </w:r>
      <w:r>
        <w:rPr>
          <w:rFonts w:hint="eastAsia" w:ascii="仿宋_GB2312" w:hAnsi="仿宋" w:eastAsia="仿宋_GB2312"/>
          <w:sz w:val="32"/>
          <w:szCs w:val="32"/>
          <w:lang w:val="en-US" w:eastAsia="zh-CN"/>
        </w:rPr>
        <w:t>0万元，上年支出为0万元</w:t>
      </w:r>
      <w:r>
        <w:rPr>
          <w:rFonts w:hint="eastAsia" w:ascii="仿宋_GB2312" w:hAnsi="仿宋" w:eastAsia="仿宋_GB2312"/>
          <w:sz w:val="32"/>
          <w:szCs w:val="32"/>
        </w:rPr>
        <w:t>。</w:t>
      </w:r>
    </w:p>
    <w:p>
      <w:pPr>
        <w:snapToGrid w:val="0"/>
        <w:spacing w:line="520" w:lineRule="exact"/>
        <w:ind w:firstLine="640" w:firstLineChars="200"/>
        <w:rPr>
          <w:rFonts w:hint="default" w:ascii="仿宋_GB2312" w:hAnsi="仿宋" w:eastAsia="仿宋_GB2312"/>
          <w:sz w:val="32"/>
          <w:szCs w:val="32"/>
          <w:lang w:val="en-US"/>
        </w:rPr>
      </w:pPr>
      <w:r>
        <w:rPr>
          <w:rFonts w:hint="eastAsia" w:ascii="仿宋_GB2312" w:hAnsi="仿宋" w:eastAsia="仿宋_GB2312"/>
          <w:sz w:val="32"/>
          <w:szCs w:val="32"/>
        </w:rPr>
        <w:t>（3）培训费支出情况：</w:t>
      </w:r>
      <w:r>
        <w:rPr>
          <w:rFonts w:hint="eastAsia" w:ascii="仿宋_GB2312" w:hAnsi="仿宋" w:eastAsia="仿宋_GB2312"/>
          <w:sz w:val="32"/>
          <w:szCs w:val="32"/>
          <w:lang w:eastAsia="zh-CN"/>
        </w:rPr>
        <w:t>培训费支出</w:t>
      </w:r>
      <w:r>
        <w:rPr>
          <w:rFonts w:hint="eastAsia" w:ascii="仿宋_GB2312" w:hAnsi="仿宋" w:eastAsia="仿宋_GB2312"/>
          <w:sz w:val="32"/>
          <w:szCs w:val="32"/>
          <w:lang w:val="en-US" w:eastAsia="zh-CN"/>
        </w:rPr>
        <w:t>0万元，上年支出为0万元。</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根据2016版《湖南省救灾备荒储备管理办法》和新的《种子法》及2022年度农业农村厅颁发的《湖南省救灾备荒储备管理细则》的相关规定，制定了储备管理办法修改草案；对2024年度承储单位开展储备业务培训，讲述储备的技术要点。</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2023年度我省</w:t>
      </w:r>
      <w:r>
        <w:rPr>
          <w:rFonts w:hint="eastAsia" w:ascii="仿宋_GB2312" w:hAnsi="仿宋" w:eastAsia="仿宋_GB2312"/>
          <w:sz w:val="32"/>
          <w:szCs w:val="32"/>
        </w:rPr>
        <w:t>省级救灾备荒种子</w:t>
      </w:r>
      <w:r>
        <w:rPr>
          <w:rFonts w:hint="eastAsia" w:ascii="仿宋_GB2312" w:hAnsi="仿宋" w:eastAsia="仿宋_GB2312"/>
          <w:sz w:val="32"/>
          <w:szCs w:val="32"/>
          <w:lang w:val="en-US" w:eastAsia="zh-CN"/>
        </w:rPr>
        <w:t>由湖南亚华种业等9家企业</w:t>
      </w:r>
      <w:r>
        <w:rPr>
          <w:rFonts w:hint="eastAsia" w:ascii="仿宋_GB2312" w:hAnsi="仿宋" w:eastAsia="仿宋_GB2312"/>
          <w:sz w:val="32"/>
          <w:szCs w:val="32"/>
        </w:rPr>
        <w:t>储备</w:t>
      </w:r>
      <w:r>
        <w:rPr>
          <w:rFonts w:hint="eastAsia" w:ascii="仿宋_GB2312" w:hAnsi="仿宋" w:eastAsia="仿宋_GB2312"/>
          <w:sz w:val="32"/>
          <w:szCs w:val="32"/>
          <w:lang w:eastAsia="zh-CN"/>
        </w:rPr>
        <w:t>，</w:t>
      </w:r>
      <w:r>
        <w:rPr>
          <w:rFonts w:hint="eastAsia" w:ascii="仿宋_GB2312" w:hAnsi="仿宋" w:eastAsia="仿宋_GB2312"/>
          <w:sz w:val="32"/>
          <w:szCs w:val="32"/>
        </w:rPr>
        <w:t>总数量为</w:t>
      </w:r>
      <w:r>
        <w:rPr>
          <w:rFonts w:hint="eastAsia" w:ascii="仿宋_GB2312" w:hAnsi="仿宋" w:eastAsia="仿宋_GB2312"/>
          <w:sz w:val="32"/>
          <w:szCs w:val="32"/>
          <w:lang w:val="en-US" w:eastAsia="zh-CN"/>
        </w:rPr>
        <w:t>365</w:t>
      </w:r>
      <w:r>
        <w:rPr>
          <w:rFonts w:hint="eastAsia" w:ascii="仿宋_GB2312" w:hAnsi="仿宋" w:eastAsia="仿宋_GB2312"/>
          <w:sz w:val="32"/>
          <w:szCs w:val="32"/>
        </w:rPr>
        <w:t>万公斤，其中常规早稻</w:t>
      </w:r>
      <w:r>
        <w:rPr>
          <w:rFonts w:hint="eastAsia" w:ascii="仿宋_GB2312" w:hAnsi="仿宋" w:eastAsia="仿宋_GB2312"/>
          <w:sz w:val="32"/>
          <w:szCs w:val="32"/>
          <w:lang w:val="en-US" w:eastAsia="zh-CN"/>
        </w:rPr>
        <w:t>345</w:t>
      </w:r>
      <w:r>
        <w:rPr>
          <w:rFonts w:hint="eastAsia" w:ascii="仿宋_GB2312" w:hAnsi="仿宋" w:eastAsia="仿宋_GB2312"/>
          <w:sz w:val="32"/>
          <w:szCs w:val="32"/>
        </w:rPr>
        <w:t>万公斤</w:t>
      </w:r>
      <w:r>
        <w:rPr>
          <w:rFonts w:hint="eastAsia" w:ascii="仿宋_GB2312" w:hAnsi="仿宋" w:eastAsia="仿宋_GB2312"/>
          <w:sz w:val="32"/>
          <w:szCs w:val="32"/>
          <w:lang w:eastAsia="zh-CN"/>
        </w:rPr>
        <w:t>，占比</w:t>
      </w:r>
      <w:r>
        <w:rPr>
          <w:rFonts w:hint="eastAsia" w:ascii="仿宋_GB2312" w:hAnsi="仿宋" w:eastAsia="仿宋_GB2312"/>
          <w:sz w:val="32"/>
          <w:szCs w:val="32"/>
          <w:lang w:val="en-US" w:eastAsia="zh-CN"/>
        </w:rPr>
        <w:t>95%，</w:t>
      </w:r>
      <w:r>
        <w:rPr>
          <w:rFonts w:hint="eastAsia" w:ascii="仿宋_GB2312" w:hAnsi="仿宋" w:eastAsia="仿宋_GB2312"/>
          <w:sz w:val="32"/>
          <w:szCs w:val="32"/>
        </w:rPr>
        <w:t>杂交早稻20万公斤。</w:t>
      </w:r>
      <w:r>
        <w:rPr>
          <w:rFonts w:hint="eastAsia" w:ascii="仿宋_GB2312" w:hAnsi="仿宋" w:eastAsia="仿宋_GB2312"/>
          <w:sz w:val="32"/>
          <w:szCs w:val="32"/>
          <w:lang w:eastAsia="zh-CN"/>
        </w:rPr>
        <w:t>今年</w:t>
      </w:r>
      <w:r>
        <w:rPr>
          <w:rFonts w:hint="eastAsia" w:ascii="仿宋_GB2312" w:hAnsi="仿宋" w:eastAsia="仿宋_GB2312"/>
          <w:sz w:val="32"/>
          <w:szCs w:val="32"/>
          <w:lang w:val="en-US" w:eastAsia="zh-CN"/>
        </w:rPr>
        <w:t>1月，我们组织由厅计财、纪检、种业处、种子站和中心的17名同志分成三组对其开展入库验收检查，经检查数量以及储备各项管理工作均能达到要求，但湖南金色农丰、湖南洞庭高科、湖南金色农华、益阳惠民种业等四家企业76.975万公斤常规稻种子海南种植鉴定纯度不合格。因此2023年度省级救灾备荒种子储备种子只有288.025万公斤，</w:t>
      </w:r>
      <w:r>
        <w:rPr>
          <w:rFonts w:hint="eastAsia" w:ascii="仿宋_GB2312" w:hAnsi="仿宋" w:eastAsia="仿宋_GB2312"/>
          <w:sz w:val="32"/>
          <w:szCs w:val="32"/>
        </w:rPr>
        <w:t>其中常规早稻</w:t>
      </w:r>
      <w:r>
        <w:rPr>
          <w:rFonts w:hint="eastAsia" w:ascii="仿宋_GB2312" w:hAnsi="仿宋" w:eastAsia="仿宋_GB2312"/>
          <w:sz w:val="32"/>
          <w:szCs w:val="32"/>
          <w:lang w:val="en-US" w:eastAsia="zh-CN"/>
        </w:rPr>
        <w:t>268.025</w:t>
      </w:r>
      <w:r>
        <w:rPr>
          <w:rFonts w:hint="eastAsia" w:ascii="仿宋_GB2312" w:hAnsi="仿宋" w:eastAsia="仿宋_GB2312"/>
          <w:sz w:val="32"/>
          <w:szCs w:val="32"/>
        </w:rPr>
        <w:t>万公斤、杂交早稻20万公斤。</w:t>
      </w:r>
      <w:r>
        <w:rPr>
          <w:rFonts w:hint="eastAsia" w:ascii="仿宋_GB2312" w:hAnsi="仿宋" w:eastAsia="仿宋_GB2312"/>
          <w:sz w:val="32"/>
          <w:szCs w:val="32"/>
          <w:lang w:val="en-US" w:eastAsia="zh-CN"/>
        </w:rPr>
        <w:t>6月，我们采取检查全程负责制，由原班人马对各企业的承储种子开展中期检查，经检查各企业都严格按照合同要求，未出现承储种子动用情况，数量达到要求。</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2023年度国家救灾储备20万公斤，国家备荒储备70万公斤的验收检查和中期检查，检查标准参照省级执行。</w:t>
      </w:r>
    </w:p>
    <w:p>
      <w:pPr>
        <w:pStyle w:val="13"/>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完成2024年度储备招标和安排种子生产，为将管理关口前移7-8月我们开展了储备种子生产花期检查；省级储备下发了储备专用标签，为验收做好准备。</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90%。</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四、存在的问题及原因分析</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预算执行率较低，全年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214.02</w:t>
      </w:r>
      <w:r>
        <w:rPr>
          <w:rFonts w:hint="eastAsia" w:ascii="仿宋_GB2312" w:hAnsi="仿宋" w:eastAsia="仿宋_GB2312"/>
          <w:sz w:val="32"/>
          <w:szCs w:val="32"/>
        </w:rPr>
        <w:t>万元，支出决算数</w:t>
      </w:r>
      <w:r>
        <w:rPr>
          <w:rFonts w:hint="eastAsia" w:ascii="仿宋_GB2312" w:hAnsi="仿宋" w:eastAsia="仿宋_GB2312"/>
          <w:sz w:val="32"/>
          <w:szCs w:val="32"/>
          <w:lang w:val="en-US" w:eastAsia="zh-CN"/>
        </w:rPr>
        <w:t>187.05</w:t>
      </w:r>
      <w:r>
        <w:rPr>
          <w:rFonts w:hint="eastAsia" w:ascii="仿宋_GB2312" w:hAnsi="仿宋" w:eastAsia="仿宋_GB2312"/>
          <w:sz w:val="32"/>
          <w:szCs w:val="32"/>
        </w:rPr>
        <w:t>万元，执行率</w:t>
      </w:r>
      <w:r>
        <w:rPr>
          <w:rFonts w:hint="eastAsia" w:ascii="仿宋_GB2312" w:hAnsi="仿宋" w:eastAsia="仿宋_GB2312"/>
          <w:sz w:val="32"/>
          <w:szCs w:val="32"/>
          <w:lang w:val="en-US" w:eastAsia="zh-CN"/>
        </w:rPr>
        <w:t>87.40，主要是因为人员经费年初编制与实际有差距，资金的结余。</w:t>
      </w:r>
    </w:p>
    <w:p>
      <w:pPr>
        <w:jc w:val="left"/>
        <w:rPr>
          <w:rFonts w:cs="黑体" w:asciiTheme="minorEastAsia" w:hAnsiTheme="minorEastAsia"/>
          <w:color w:val="000000"/>
          <w:kern w:val="0"/>
          <w:sz w:val="32"/>
          <w:szCs w:val="32"/>
        </w:rPr>
        <w:sectPr>
          <w:pgSz w:w="11906" w:h="16838"/>
          <w:pgMar w:top="1440" w:right="1800" w:bottom="1440" w:left="1800" w:header="851" w:footer="992" w:gutter="0"/>
          <w:cols w:space="425" w:num="1"/>
          <w:docGrid w:type="lines" w:linePitch="312" w:charSpace="0"/>
        </w:sectPr>
      </w:pP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8"/>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66.670%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23.85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27.63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27.63 </w:t>
            </w:r>
          </w:p>
        </w:tc>
      </w:tr>
      <w:tr>
        <w:tblPrEx>
          <w:tblLayout w:type="fixed"/>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23.85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27.63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27.63 </w:t>
            </w:r>
          </w:p>
        </w:tc>
      </w:tr>
      <w:tr>
        <w:tblPrEx>
          <w:tblLayout w:type="fixed"/>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仿宋_GB2312" w:cs="Times New Roman"/>
                <w:sz w:val="19"/>
                <w:szCs w:val="19"/>
                <w:lang w:eastAsia="zh-CN"/>
              </w:rPr>
            </w:pPr>
            <w:r>
              <w:rPr>
                <w:rFonts w:hint="eastAsia" w:ascii="宋体" w:hAnsi="宋体" w:eastAsia="宋体" w:cs="宋体"/>
                <w:i w:val="0"/>
                <w:color w:val="000000"/>
                <w:kern w:val="0"/>
                <w:sz w:val="22"/>
                <w:szCs w:val="22"/>
                <w:u w:val="none"/>
                <w:lang w:val="en-US" w:eastAsia="zh-CN" w:bidi="ar"/>
              </w:rPr>
              <w:t>农作物、畜禽种业安全监管</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14.37</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5.63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5.63 </w:t>
            </w:r>
          </w:p>
        </w:tc>
      </w:tr>
      <w:tr>
        <w:tblPrEx>
          <w:tblLayout w:type="fixed"/>
          <w:tblCellMar>
            <w:top w:w="0" w:type="dxa"/>
            <w:left w:w="108" w:type="dxa"/>
            <w:bottom w:w="0" w:type="dxa"/>
            <w:right w:w="108" w:type="dxa"/>
          </w:tblCellMar>
        </w:tblPrEx>
        <w:trPr>
          <w:trHeight w:val="373"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仿宋_GB2312" w:cs="Times New Roman"/>
                <w:sz w:val="19"/>
                <w:szCs w:val="19"/>
                <w:lang w:eastAsia="zh-CN"/>
              </w:rPr>
            </w:pPr>
            <w:r>
              <w:rPr>
                <w:rFonts w:hint="eastAsia" w:ascii="宋体" w:hAnsi="宋体" w:eastAsia="宋体" w:cs="宋体"/>
                <w:i w:val="0"/>
                <w:color w:val="000000"/>
                <w:kern w:val="0"/>
                <w:sz w:val="22"/>
                <w:szCs w:val="22"/>
                <w:u w:val="none"/>
                <w:lang w:val="en-US" w:eastAsia="zh-CN" w:bidi="ar"/>
              </w:rPr>
              <w:t>重要农产品稳产保供(市县)</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10.00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10.00 </w:t>
            </w:r>
          </w:p>
        </w:tc>
      </w:tr>
      <w:tr>
        <w:tblPrEx>
          <w:tblLayout w:type="fixed"/>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仿宋_GB2312" w:cs="Times New Roman"/>
                <w:sz w:val="19"/>
                <w:szCs w:val="19"/>
                <w:lang w:eastAsia="zh-CN"/>
              </w:rPr>
            </w:pPr>
            <w:r>
              <w:rPr>
                <w:rFonts w:hint="eastAsia" w:ascii="宋体" w:hAnsi="宋体" w:eastAsia="宋体" w:cs="宋体"/>
                <w:i w:val="0"/>
                <w:color w:val="000000"/>
                <w:kern w:val="0"/>
                <w:sz w:val="22"/>
                <w:szCs w:val="22"/>
                <w:u w:val="none"/>
                <w:lang w:val="en-US" w:eastAsia="zh-CN" w:bidi="ar"/>
              </w:rPr>
              <w:t>现代农业发展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12.00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 xml:space="preserve"> 12.00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Times New Roman" w:hAnsi="Times New Roman" w:eastAsia="仿宋_GB2312" w:cs="Times New Roman"/>
                <w:sz w:val="19"/>
                <w:szCs w:val="19"/>
                <w:lang w:val="en-US" w:eastAsia="zh-CN"/>
              </w:rPr>
            </w:pPr>
            <w:r>
              <w:rPr>
                <w:rFonts w:hint="eastAsia" w:ascii="宋体" w:hAnsi="宋体" w:eastAsia="宋体" w:cs="宋体"/>
                <w:i w:val="0"/>
                <w:color w:val="000000"/>
                <w:kern w:val="0"/>
                <w:sz w:val="22"/>
                <w:szCs w:val="22"/>
                <w:u w:val="none"/>
                <w:lang w:val="en-US" w:eastAsia="zh-CN" w:bidi="ar"/>
              </w:rPr>
              <w:t>种植业发展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19"/>
                <w:szCs w:val="19"/>
                <w:lang w:eastAsia="zh-CN"/>
              </w:rPr>
            </w:pPr>
            <w:r>
              <w:rPr>
                <w:rFonts w:hint="eastAsia" w:ascii="Times New Roman" w:hAnsi="Times New Roman" w:eastAsia="仿宋_GB2312" w:cs="Times New Roman"/>
                <w:sz w:val="19"/>
                <w:szCs w:val="19"/>
                <w:lang w:eastAsia="zh-CN"/>
              </w:rPr>
              <w:t>农业种质资源保护与种业发展</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5.48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9.80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9.30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8.78</w:t>
            </w:r>
          </w:p>
        </w:tc>
      </w:tr>
      <w:tr>
        <w:tblPrEx>
          <w:tblLayout w:type="fixed"/>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jc w:val="both"/>
        <w:rPr>
          <w:rFonts w:hint="default" w:eastAsia="仿宋_GB2312"/>
          <w:lang w:val="en-US" w:eastAsia="zh-CN"/>
        </w:rPr>
      </w:pPr>
      <w:r>
        <w:rPr>
          <w:rFonts w:hint="default" w:ascii="Times New Roman" w:hAnsi="Times New Roman" w:eastAsia="仿宋_GB2312" w:cs="Times New Roman"/>
          <w:sz w:val="22"/>
          <w:szCs w:val="22"/>
        </w:rPr>
        <w:t xml:space="preserve">填表人：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填报日期：         联系电话：</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p>
      <w:pPr>
        <w:widowControl/>
        <w:spacing w:after="120" w:afterLines="50"/>
        <w:jc w:val="center"/>
        <w:rPr>
          <w:rFonts w:hint="default" w:ascii="Times New Roman" w:hAnsi="Times New Roman" w:eastAsia="方正小标宋_GBK" w:cs="Times New Roman"/>
          <w:color w:val="000000"/>
          <w:sz w:val="36"/>
          <w:szCs w:val="36"/>
        </w:rPr>
      </w:pP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8"/>
        <w:tblW w:w="10093" w:type="dxa"/>
        <w:jc w:val="center"/>
        <w:tblInd w:w="0" w:type="dxa"/>
        <w:tblLayout w:type="fixed"/>
        <w:tblCellMar>
          <w:top w:w="0" w:type="dxa"/>
          <w:left w:w="108" w:type="dxa"/>
          <w:bottom w:w="0" w:type="dxa"/>
          <w:right w:w="108" w:type="dxa"/>
        </w:tblCellMar>
      </w:tblPr>
      <w:tblGrid>
        <w:gridCol w:w="616"/>
        <w:gridCol w:w="1029"/>
        <w:gridCol w:w="1140"/>
        <w:gridCol w:w="1813"/>
        <w:gridCol w:w="1187"/>
        <w:gridCol w:w="1752"/>
        <w:gridCol w:w="624"/>
        <w:gridCol w:w="888"/>
        <w:gridCol w:w="1044"/>
      </w:tblGrid>
      <w:tr>
        <w:tblPrEx>
          <w:tblLayout w:type="fixed"/>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30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湖南省农作物种子救灾储备中心</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162.43</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214.02</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180.05</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87.40%</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8.74</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214.02</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159.42</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eastAsia="zh-CN"/>
              </w:rPr>
              <w:t>：</w:t>
            </w:r>
            <w:r>
              <w:rPr>
                <w:rFonts w:hint="eastAsia" w:ascii="Times New Roman" w:hAnsi="Times New Roman" w:eastAsia="仿宋_GB2312" w:cs="Times New Roman"/>
                <w:color w:val="000000"/>
                <w:sz w:val="20"/>
                <w:szCs w:val="20"/>
                <w:lang w:val="en-US" w:eastAsia="zh-CN"/>
              </w:rPr>
              <w:t>27.63</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完成政府储备种子用量的日常管理</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val="en-US" w:eastAsia="zh-CN"/>
              </w:rPr>
            </w:pPr>
            <w:r>
              <w:rPr>
                <w:rFonts w:hint="eastAsia" w:ascii="Times New Roman" w:hAnsi="Times New Roman" w:eastAsia="仿宋" w:cs="Times New Roman"/>
                <w:color w:val="000000"/>
                <w:sz w:val="20"/>
                <w:szCs w:val="20"/>
                <w:lang w:val="en-US" w:eastAsia="zh-CN"/>
              </w:rPr>
              <w:t>完成政府储备种子用量的日常管理</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752"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4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省级救灾备荒种子</w:t>
            </w:r>
            <w:r>
              <w:rPr>
                <w:rFonts w:hint="eastAsia" w:ascii="Times New Roman" w:hAnsi="Times New Roman" w:eastAsia="仿宋_GB2312" w:cs="Times New Roman"/>
                <w:color w:val="000000"/>
                <w:sz w:val="20"/>
                <w:szCs w:val="20"/>
                <w:lang w:val="en-US" w:eastAsia="zh-CN"/>
              </w:rPr>
              <w:t>储备量</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Arial" w:hAnsi="Arial" w:eastAsia="仿宋_GB2312" w:cs="Arial"/>
                <w:color w:val="000000"/>
                <w:sz w:val="20"/>
                <w:szCs w:val="20"/>
                <w:lang w:val="en-US"/>
              </w:rPr>
              <w:t>≥</w:t>
            </w:r>
            <w:r>
              <w:rPr>
                <w:rFonts w:hint="eastAsia" w:ascii="Times New Roman" w:hAnsi="Times New Roman" w:eastAsia="仿宋_GB2312" w:cs="Times New Roman"/>
                <w:color w:val="000000"/>
                <w:sz w:val="20"/>
                <w:szCs w:val="20"/>
                <w:lang w:val="en-US" w:eastAsia="zh-CN"/>
              </w:rPr>
              <w:t>250万公斤</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288</w:t>
            </w:r>
            <w:r>
              <w:rPr>
                <w:rFonts w:hint="default" w:ascii="Times New Roman" w:hAnsi="Times New Roman" w:eastAsia="仿宋_GB2312" w:cs="Times New Roman"/>
                <w:color w:val="000000"/>
                <w:sz w:val="20"/>
                <w:szCs w:val="20"/>
                <w:lang w:val="en-US" w:eastAsia="zh-CN"/>
              </w:rPr>
              <w:t>万公斤</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15</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定了储备管理办法修改草案</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1个</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1个</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质量指标</w:t>
            </w:r>
          </w:p>
        </w:tc>
        <w:tc>
          <w:tcPr>
            <w:tcW w:w="181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对</w:t>
            </w:r>
            <w:r>
              <w:rPr>
                <w:rFonts w:hint="default" w:ascii="Times New Roman" w:hAnsi="Times New Roman" w:eastAsia="仿宋_GB2312" w:cs="Times New Roman"/>
                <w:color w:val="000000"/>
                <w:sz w:val="20"/>
                <w:szCs w:val="20"/>
                <w:lang w:val="en-US" w:eastAsia="zh-CN"/>
              </w:rPr>
              <w:t>省级救灾备荒种子</w:t>
            </w:r>
            <w:r>
              <w:rPr>
                <w:rFonts w:hint="eastAsia" w:ascii="Times New Roman" w:hAnsi="Times New Roman" w:eastAsia="仿宋_GB2312" w:cs="Times New Roman"/>
                <w:color w:val="000000"/>
                <w:sz w:val="20"/>
                <w:szCs w:val="20"/>
                <w:lang w:val="en-US" w:eastAsia="zh-CN"/>
              </w:rPr>
              <w:t>质量进行检查</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按质量完成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各项工作按时完成</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single" w:color="auto" w:sz="4" w:space="0"/>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各项支出控制在预算范围内</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Arial" w:hAnsi="Arial" w:eastAsia="仿宋_GB2312" w:cs="Arial"/>
                <w:color w:val="000000"/>
                <w:sz w:val="20"/>
                <w:szCs w:val="20"/>
                <w:lang w:val="en-US" w:eastAsia="zh-CN"/>
              </w:rPr>
              <w:t>≤</w:t>
            </w:r>
            <w:r>
              <w:rPr>
                <w:rFonts w:hint="eastAsia" w:ascii="Times New Roman" w:hAnsi="Times New Roman" w:eastAsia="仿宋_GB2312" w:cs="Times New Roman"/>
                <w:color w:val="000000"/>
                <w:sz w:val="20"/>
                <w:szCs w:val="20"/>
                <w:lang w:val="en-US" w:eastAsia="zh-CN"/>
              </w:rPr>
              <w:t>100%</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国家救灾储备</w:t>
            </w:r>
            <w:r>
              <w:rPr>
                <w:rFonts w:hint="eastAsia" w:ascii="Times New Roman" w:hAnsi="Times New Roman" w:eastAsia="仿宋_GB2312" w:cs="Times New Roman"/>
                <w:color w:val="000000"/>
                <w:sz w:val="20"/>
                <w:szCs w:val="20"/>
                <w:lang w:val="en-US" w:eastAsia="zh-CN"/>
              </w:rPr>
              <w:t>验收检查和中期检查</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参照省级执行</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73" w:hRule="atLeast"/>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eastAsia="zh-CN"/>
              </w:rPr>
            </w:pPr>
            <w:r>
              <w:rPr>
                <w:rFonts w:hint="eastAsia" w:ascii="Times New Roman" w:hAnsi="Times New Roman" w:eastAsia="仿宋" w:cs="Times New Roman"/>
                <w:color w:val="000000"/>
                <w:sz w:val="20"/>
                <w:szCs w:val="20"/>
                <w:lang w:val="en-US" w:eastAsia="zh-CN"/>
              </w:rPr>
              <w:t>完成2024年度储备招标和安排种子生产</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服务对象的满意程度</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458" w:hRule="atLeast"/>
          <w:jc w:val="center"/>
        </w:trPr>
        <w:tc>
          <w:tcPr>
            <w:tcW w:w="7537"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88"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bl>
    <w:p>
      <w:pPr>
        <w:jc w:val="both"/>
        <w:rPr>
          <w:rFonts w:hint="default" w:ascii="Times New Roman" w:hAnsi="Times New Roman" w:eastAsia="仿宋_GB2312" w:cs="Times New Roman"/>
          <w:sz w:val="22"/>
          <w:szCs w:val="22"/>
        </w:rPr>
      </w:pPr>
    </w:p>
    <w:p>
      <w:pPr>
        <w:jc w:val="both"/>
        <w:rPr>
          <w:rFonts w:hint="default" w:eastAsia="仿宋_GB2312"/>
          <w:lang w:val="en-US" w:eastAsia="zh-CN"/>
        </w:rPr>
      </w:pPr>
      <w:r>
        <w:rPr>
          <w:rFonts w:hint="default" w:ascii="Times New Roman" w:hAnsi="Times New Roman" w:eastAsia="仿宋_GB2312" w:cs="Times New Roman"/>
          <w:sz w:val="22"/>
          <w:szCs w:val="22"/>
        </w:rPr>
        <w:t>填表人： 填报日期：         联系电话：</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p>
      <w:pPr>
        <w:pStyle w:val="2"/>
      </w:pPr>
    </w:p>
    <w:sectPr>
      <w:headerReference r:id="rId3" w:type="default"/>
      <w:footerReference r:id="rId4" w:type="default"/>
      <w:footerReference r:id="rId5" w:type="even"/>
      <w:pgSz w:w="11905" w:h="16837"/>
      <w:pgMar w:top="1417" w:right="1588" w:bottom="1417" w:left="1588" w:header="720" w:footer="1304" w:gutter="0"/>
      <w:pgNumType w:fmt="numberInDash" w:start="1"/>
      <w:cols w:space="720" w:num="1"/>
      <w:rtlGutter w:val="0"/>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sz w:val="28"/>
        <w:szCs w:val="28"/>
      </w:rPr>
    </w:pP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- 3 -</w:t>
    </w:r>
    <w:r>
      <w:rPr>
        <w:sz w:val="28"/>
        <w:szCs w:val="28"/>
      </w:rPr>
      <w:fldChar w:fldCharType="end"/>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Fonts w:ascii="宋体" w:hAnsi="宋体"/>
        <w:sz w:val="28"/>
        <w:szCs w:val="28"/>
      </w:rPr>
    </w:pPr>
    <w:r>
      <w:rPr>
        <w:rFonts w:ascii="宋体" w:hAnsi="宋体"/>
        <w:sz w:val="28"/>
        <w:szCs w:val="28"/>
      </w:rPr>
      <w:fldChar w:fldCharType="begin"/>
    </w:r>
    <w:r>
      <w:rPr>
        <w:rStyle w:val="10"/>
        <w:rFonts w:ascii="宋体" w:hAnsi="宋体"/>
        <w:sz w:val="28"/>
        <w:szCs w:val="28"/>
      </w:rPr>
      <w:instrText xml:space="preserve">PAGE  </w:instrText>
    </w:r>
    <w:r>
      <w:rPr>
        <w:rFonts w:ascii="宋体" w:hAnsi="宋体"/>
        <w:sz w:val="28"/>
        <w:szCs w:val="28"/>
      </w:rPr>
      <w:fldChar w:fldCharType="separate"/>
    </w:r>
    <w:r>
      <w:rPr>
        <w:rStyle w:val="10"/>
        <w:rFonts w:ascii="宋体" w:hAnsi="宋体"/>
        <w:sz w:val="28"/>
        <w:szCs w:val="28"/>
      </w:rPr>
      <w:t>- 2 -</w:t>
    </w:r>
    <w:r>
      <w:rPr>
        <w:rFonts w:ascii="宋体" w:hAnsi="宋体"/>
        <w:sz w:val="28"/>
        <w:szCs w:val="28"/>
      </w:rPr>
      <w:fldChar w:fldCharType="end"/>
    </w:r>
  </w:p>
  <w:p>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409D1"/>
    <w:multiLevelType w:val="singleLevel"/>
    <w:tmpl w:val="36F409D1"/>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8CE42CB"/>
    <w:multiLevelType w:val="singleLevel"/>
    <w:tmpl w:val="48CE42CB"/>
    <w:lvl w:ilvl="0" w:tentative="0">
      <w:start w:val="1"/>
      <w:numFmt w:val="chineseCounting"/>
      <w:suff w:val="nothing"/>
      <w:lvlText w:val="（%1）"/>
      <w:lvlJc w:val="left"/>
      <w:pPr>
        <w:ind w:left="580" w:leftChars="0" w:firstLine="0" w:firstLineChars="0"/>
      </w:pPr>
      <w:rPr>
        <w:rFonts w:hint="eastAsia"/>
      </w:rPr>
    </w:lvl>
  </w:abstractNum>
  <w:abstractNum w:abstractNumId="3">
    <w:nsid w:val="5EC9EE8F"/>
    <w:multiLevelType w:val="singleLevel"/>
    <w:tmpl w:val="5EC9EE8F"/>
    <w:lvl w:ilvl="0" w:tentative="0">
      <w:start w:val="4"/>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7440389"/>
    <w:rsid w:val="0EB46B91"/>
    <w:rsid w:val="1D97DEFF"/>
    <w:rsid w:val="1DFF72E5"/>
    <w:rsid w:val="1EFC6F07"/>
    <w:rsid w:val="1F165E35"/>
    <w:rsid w:val="29164785"/>
    <w:rsid w:val="2FDF85B8"/>
    <w:rsid w:val="2FFFEE04"/>
    <w:rsid w:val="31990EA4"/>
    <w:rsid w:val="34DF85B0"/>
    <w:rsid w:val="3B8F36BC"/>
    <w:rsid w:val="41382A38"/>
    <w:rsid w:val="491FF225"/>
    <w:rsid w:val="4E0E30C9"/>
    <w:rsid w:val="4FFD214C"/>
    <w:rsid w:val="513974A8"/>
    <w:rsid w:val="566C244B"/>
    <w:rsid w:val="5777D4F5"/>
    <w:rsid w:val="59DD8326"/>
    <w:rsid w:val="5DEF592A"/>
    <w:rsid w:val="5FC6BB1E"/>
    <w:rsid w:val="5FF720F1"/>
    <w:rsid w:val="63E00AE7"/>
    <w:rsid w:val="67FF5C0B"/>
    <w:rsid w:val="6A7D09BA"/>
    <w:rsid w:val="6EFC0924"/>
    <w:rsid w:val="6FB74722"/>
    <w:rsid w:val="6FEF8B7E"/>
    <w:rsid w:val="71A6591B"/>
    <w:rsid w:val="737D59BA"/>
    <w:rsid w:val="77C37683"/>
    <w:rsid w:val="79FF515B"/>
    <w:rsid w:val="7C59034D"/>
    <w:rsid w:val="7E9E1962"/>
    <w:rsid w:val="7E9F11B4"/>
    <w:rsid w:val="7EB56B51"/>
    <w:rsid w:val="7F37EC1E"/>
    <w:rsid w:val="7F7DCD9D"/>
    <w:rsid w:val="7F8F12D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5"/>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9984</Words>
  <Characters>12490</Characters>
  <Lines>63</Lines>
  <Paragraphs>18</Paragraphs>
  <TotalTime>6</TotalTime>
  <ScaleCrop>false</ScaleCrop>
  <LinksUpToDate>false</LinksUpToDate>
  <CharactersWithSpaces>12672</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2024-09-06T06:46:57Z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D11FCB748CBC4273B9686EF98F072E9A_12</vt:lpwstr>
  </property>
</Properties>
</file>