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both"/>
        <w:rPr>
          <w:sz w:val="84"/>
          <w:szCs w:val="84"/>
        </w:rPr>
      </w:pPr>
    </w:p>
    <w:p>
      <w:pPr>
        <w:pStyle w:val="18"/>
        <w:jc w:val="center"/>
        <w:rPr>
          <w:sz w:val="84"/>
          <w:szCs w:val="84"/>
        </w:rPr>
      </w:pPr>
      <w:r>
        <w:rPr>
          <w:rFonts w:hint="eastAsia"/>
          <w:sz w:val="84"/>
          <w:szCs w:val="84"/>
        </w:rPr>
        <w:t>202</w:t>
      </w:r>
      <w:r>
        <w:rPr>
          <w:rFonts w:hint="eastAsia"/>
          <w:sz w:val="84"/>
          <w:szCs w:val="84"/>
          <w:lang w:val="en-US" w:eastAsia="zh-CN"/>
        </w:rPr>
        <w:t>3</w:t>
      </w:r>
      <w:r>
        <w:rPr>
          <w:rFonts w:hint="eastAsia"/>
          <w:sz w:val="84"/>
          <w:szCs w:val="84"/>
        </w:rPr>
        <w:t>年度</w:t>
      </w:r>
    </w:p>
    <w:p>
      <w:pPr>
        <w:pStyle w:val="18"/>
        <w:jc w:val="center"/>
        <w:rPr>
          <w:rFonts w:hint="eastAsia"/>
          <w:sz w:val="84"/>
          <w:szCs w:val="84"/>
          <w:lang w:val="en-US" w:eastAsia="zh-CN"/>
        </w:rPr>
      </w:pPr>
      <w:r>
        <w:rPr>
          <w:rFonts w:hint="eastAsia"/>
          <w:sz w:val="84"/>
          <w:szCs w:val="84"/>
          <w:lang w:val="en-US" w:eastAsia="zh-CN"/>
        </w:rPr>
        <w:t>湖南省农业科技服务中心</w:t>
      </w:r>
    </w:p>
    <w:p>
      <w:pPr>
        <w:pStyle w:val="18"/>
        <w:jc w:val="center"/>
        <w:rPr>
          <w:sz w:val="84"/>
          <w:szCs w:val="84"/>
        </w:rPr>
      </w:pPr>
      <w:r>
        <w:rPr>
          <w:rFonts w:hint="eastAsia"/>
          <w:sz w:val="84"/>
          <w:szCs w:val="84"/>
        </w:rPr>
        <w:t>部门决算</w:t>
      </w: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sz w:val="56"/>
          <w:szCs w:val="56"/>
        </w:rPr>
      </w:pPr>
    </w:p>
    <w:p>
      <w:pPr>
        <w:pStyle w:val="18"/>
        <w:jc w:val="center"/>
        <w:rPr>
          <w:rFonts w:hint="eastAsia"/>
          <w:sz w:val="32"/>
          <w:szCs w:val="32"/>
        </w:rPr>
      </w:pPr>
    </w:p>
    <w:p>
      <w:pPr>
        <w:pStyle w:val="18"/>
        <w:jc w:val="both"/>
        <w:rPr>
          <w:sz w:val="32"/>
          <w:szCs w:val="32"/>
        </w:rPr>
      </w:pPr>
    </w:p>
    <w:p>
      <w:pPr>
        <w:pStyle w:val="18"/>
        <w:jc w:val="center"/>
        <w:rPr>
          <w:sz w:val="32"/>
          <w:szCs w:val="32"/>
        </w:rPr>
      </w:pPr>
    </w:p>
    <w:p>
      <w:pPr>
        <w:pStyle w:val="18"/>
        <w:spacing w:line="540" w:lineRule="exact"/>
        <w:jc w:val="center"/>
        <w:rPr>
          <w:sz w:val="56"/>
          <w:szCs w:val="56"/>
        </w:rPr>
      </w:pPr>
    </w:p>
    <w:p>
      <w:pPr>
        <w:pStyle w:val="18"/>
        <w:spacing w:line="500" w:lineRule="exact"/>
        <w:jc w:val="center"/>
        <w:rPr>
          <w:b/>
          <w:sz w:val="36"/>
          <w:szCs w:val="28"/>
        </w:rPr>
      </w:pPr>
    </w:p>
    <w:p>
      <w:pPr>
        <w:pStyle w:val="18"/>
        <w:spacing w:line="500" w:lineRule="exact"/>
        <w:jc w:val="center"/>
        <w:rPr>
          <w:b/>
          <w:sz w:val="36"/>
          <w:szCs w:val="28"/>
        </w:rPr>
      </w:pPr>
      <w:r>
        <w:rPr>
          <w:rFonts w:hint="eastAsia"/>
          <w:b/>
          <w:sz w:val="36"/>
          <w:szCs w:val="28"/>
        </w:rPr>
        <w:t>目录</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湖南省农业科技服务中心</w:t>
      </w:r>
      <w:r>
        <w:rPr>
          <w:rFonts w:hint="eastAsia" w:ascii="黑体" w:hAnsi="黑体" w:eastAsia="黑体" w:cs="黑体"/>
          <w:b w:val="0"/>
          <w:bCs/>
          <w:sz w:val="28"/>
          <w:szCs w:val="28"/>
        </w:rPr>
        <w:t>概况</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8"/>
        <w:spacing w:line="500" w:lineRule="exact"/>
        <w:ind w:firstLine="700" w:firstLineChars="250"/>
        <w:rPr>
          <w:rFonts w:hint="eastAsia" w:ascii="仿宋_GB2312" w:hAnsi="仿宋_GB2312" w:eastAsia="仿宋_GB2312" w:cs="仿宋_GB2312"/>
          <w:sz w:val="28"/>
          <w:szCs w:val="28"/>
        </w:rPr>
      </w:pPr>
      <w:r>
        <w:rPr>
          <w:rFonts w:cs="仿宋_GB2312" w:asciiTheme="minorEastAsia" w:hAnsiTheme="minorEastAsia" w:eastAsiaTheme="minorEastAsia"/>
          <w:sz w:val="28"/>
          <w:szCs w:val="28"/>
        </w:rPr>
        <w:t>一、收</w:t>
      </w:r>
      <w:r>
        <w:rPr>
          <w:rFonts w:hint="eastAsia" w:ascii="仿宋_GB2312" w:hAnsi="仿宋_GB2312" w:eastAsia="仿宋_GB2312" w:cs="仿宋_GB2312"/>
          <w:sz w:val="28"/>
          <w:szCs w:val="28"/>
        </w:rPr>
        <w:t>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8"/>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8"/>
        <w:spacing w:line="500" w:lineRule="exact"/>
        <w:ind w:firstLine="700" w:firstLineChars="250"/>
        <w:rPr>
          <w:rFonts w:hint="eastAsia" w:ascii="仿宋_GB2312" w:hAnsi="仿宋_GB2312" w:eastAsia="仿宋_GB2312" w:cs="仿宋_GB2312"/>
          <w:sz w:val="28"/>
          <w:szCs w:val="28"/>
        </w:rPr>
      </w:pPr>
      <w:r>
        <w:rPr>
          <w:rFonts w:cs="仿宋_GB2312" w:asciiTheme="minorEastAsia" w:hAnsiTheme="minorEastAsia" w:eastAsiaTheme="minorEastAsia"/>
          <w:sz w:val="28"/>
          <w:szCs w:val="28"/>
        </w:rPr>
        <w:t>一、</w:t>
      </w:r>
      <w:r>
        <w:rPr>
          <w:rFonts w:hint="eastAsia" w:ascii="仿宋_GB2312" w:hAnsi="仿宋_GB2312" w:eastAsia="仿宋_GB2312" w:cs="仿宋_GB2312"/>
          <w:sz w:val="28"/>
          <w:szCs w:val="28"/>
        </w:rPr>
        <w:t>收入支出决算总体情况说明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四、财政拨款收入支出决算总体情况说明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w:t>
      </w:r>
      <w:r>
        <w:rPr>
          <w:rFonts w:hint="eastAsia" w:ascii="仿宋_GB2312" w:hAnsi="仿宋_GB2312" w:eastAsia="仿宋_GB2312" w:cs="仿宋_GB2312"/>
          <w:color w:val="000000"/>
          <w:kern w:val="0"/>
          <w:sz w:val="28"/>
          <w:szCs w:val="28"/>
        </w:rPr>
        <w:t>财政拨款三公经费支出决算情况说明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八、政府性基金预算收入支出决算情况</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九、关于机关运行经费支出说明</w:t>
      </w:r>
    </w:p>
    <w:p>
      <w:pPr>
        <w:pStyle w:val="18"/>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十、一般性支出情况</w:t>
      </w:r>
      <w:r>
        <w:rPr>
          <w:rFonts w:hint="eastAsia" w:ascii="仿宋_GB2312" w:hAnsi="仿宋_GB2312" w:eastAsia="仿宋_GB2312" w:cs="仿宋_GB2312"/>
          <w:sz w:val="28"/>
          <w:szCs w:val="28"/>
          <w:lang w:eastAsia="zh-CN"/>
        </w:rPr>
        <w:t>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十一、关于政府采购支出说明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8"/>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eastAsia" w:ascii="仿宋_GB2312" w:hAnsi="仿宋_GB2312" w:eastAsia="仿宋_GB2312" w:cs="仿宋_GB2312"/>
          <w:sz w:val="28"/>
          <w:szCs w:val="28"/>
          <w:lang w:eastAsia="zh-CN"/>
        </w:rPr>
        <w:t>2023</w:t>
      </w:r>
      <w:r>
        <w:rPr>
          <w:rFonts w:hint="eastAsia" w:ascii="仿宋_GB2312" w:hAnsi="仿宋_GB2312" w:eastAsia="仿宋_GB2312" w:cs="仿宋_GB2312"/>
          <w:sz w:val="28"/>
          <w:szCs w:val="28"/>
        </w:rPr>
        <w:t>年度预算绩效情况的说明</w:t>
      </w:r>
    </w:p>
    <w:p>
      <w:pPr>
        <w:autoSpaceDE w:val="0"/>
        <w:autoSpaceDN w:val="0"/>
        <w:adjustRightInd w:val="0"/>
        <w:spacing w:line="500" w:lineRule="exact"/>
        <w:jc w:val="left"/>
        <w:rPr>
          <w:rFonts w:hint="eastAsia" w:ascii="黑体" w:hAnsi="黑体" w:eastAsia="黑体" w:cs="黑体"/>
          <w:b w:val="0"/>
          <w:bCs/>
          <w:color w:val="000000"/>
          <w:kern w:val="0"/>
          <w:sz w:val="28"/>
          <w:szCs w:val="28"/>
          <w:lang w:val="en-US" w:eastAsia="zh-CN" w:bidi="ar-SA"/>
        </w:rPr>
      </w:pPr>
      <w:r>
        <w:rPr>
          <w:rFonts w:hint="eastAsia" w:ascii="黑体" w:hAnsi="黑体" w:eastAsia="黑体" w:cs="黑体"/>
          <w:b w:val="0"/>
          <w:bCs/>
          <w:color w:val="000000"/>
          <w:kern w:val="0"/>
          <w:sz w:val="28"/>
          <w:szCs w:val="28"/>
          <w:lang w:val="en-US" w:eastAsia="zh-CN" w:bidi="ar-SA"/>
        </w:rPr>
        <w:t>第四部分 名词解释</w:t>
      </w:r>
    </w:p>
    <w:p>
      <w:pPr>
        <w:autoSpaceDE w:val="0"/>
        <w:autoSpaceDN w:val="0"/>
        <w:adjustRightInd w:val="0"/>
        <w:spacing w:line="500" w:lineRule="exact"/>
        <w:jc w:val="left"/>
        <w:rPr>
          <w:rFonts w:hint="eastAsia" w:ascii="黑体" w:hAnsi="黑体" w:eastAsia="黑体" w:cs="黑体"/>
          <w:b w:val="0"/>
          <w:bCs/>
          <w:color w:val="000000"/>
          <w:kern w:val="0"/>
          <w:sz w:val="28"/>
          <w:szCs w:val="28"/>
          <w:lang w:val="en-US" w:eastAsia="zh-CN" w:bidi="ar-SA"/>
        </w:rPr>
      </w:pPr>
      <w:r>
        <w:rPr>
          <w:rFonts w:hint="eastAsia" w:ascii="黑体" w:hAnsi="黑体" w:eastAsia="黑体" w:cs="黑体"/>
          <w:b w:val="0"/>
          <w:bCs/>
          <w:color w:val="000000"/>
          <w:kern w:val="0"/>
          <w:sz w:val="28"/>
          <w:szCs w:val="28"/>
          <w:lang w:val="en-US" w:eastAsia="zh-CN" w:bidi="ar-SA"/>
        </w:rPr>
        <w:t>第五部分 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8"/>
        <w:jc w:val="center"/>
        <w:rPr>
          <w:sz w:val="84"/>
          <w:szCs w:val="84"/>
        </w:rPr>
      </w:pPr>
      <w:r>
        <w:rPr>
          <w:rFonts w:hint="eastAsia"/>
          <w:sz w:val="84"/>
          <w:szCs w:val="84"/>
        </w:rPr>
        <w:t>第一部分</w:t>
      </w:r>
      <w:r>
        <w:rPr>
          <w:sz w:val="84"/>
          <w:szCs w:val="84"/>
        </w:rPr>
        <w:t xml:space="preserve"> </w:t>
      </w:r>
    </w:p>
    <w:p>
      <w:pPr>
        <w:pStyle w:val="18"/>
        <w:jc w:val="center"/>
        <w:rPr>
          <w:sz w:val="84"/>
          <w:szCs w:val="84"/>
        </w:rPr>
      </w:pPr>
    </w:p>
    <w:p>
      <w:pPr>
        <w:pStyle w:val="18"/>
        <w:jc w:val="center"/>
        <w:rPr>
          <w:rFonts w:hint="eastAsia"/>
          <w:sz w:val="84"/>
          <w:szCs w:val="84"/>
          <w:lang w:val="en-US" w:eastAsia="zh-CN"/>
        </w:rPr>
      </w:pPr>
      <w:r>
        <w:rPr>
          <w:rFonts w:hint="eastAsia"/>
          <w:sz w:val="84"/>
          <w:szCs w:val="84"/>
          <w:lang w:val="en-US" w:eastAsia="zh-CN"/>
        </w:rPr>
        <w:t>湖南省农业科技服务中心</w:t>
      </w:r>
    </w:p>
    <w:p>
      <w:pPr>
        <w:pStyle w:val="18"/>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9"/>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（一）贯彻国家和省有关农业科技方面的法律法规和政策；开展农业科技相关调查研究，提供对策建议，供省农业</w:t>
      </w:r>
      <w:r>
        <w:rPr>
          <w:rFonts w:hint="eastAsia" w:ascii="仿宋" w:hAnsi="仿宋" w:eastAsia="仿宋" w:cs="仿宋"/>
          <w:bCs/>
          <w:kern w:val="0"/>
          <w:sz w:val="32"/>
          <w:szCs w:val="32"/>
          <w:lang w:val="en-US" w:eastAsia="zh-CN"/>
        </w:rPr>
        <w:t>农村厅</w:t>
      </w:r>
      <w:r>
        <w:rPr>
          <w:rFonts w:hint="eastAsia" w:ascii="仿宋" w:hAnsi="仿宋" w:eastAsia="仿宋" w:cs="仿宋"/>
          <w:bCs/>
          <w:kern w:val="0"/>
          <w:sz w:val="32"/>
          <w:szCs w:val="32"/>
        </w:rPr>
        <w:t>决策参考；参与地方农业科技规划的编制。</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（二）协助省</w:t>
      </w:r>
      <w:r>
        <w:rPr>
          <w:rFonts w:hint="eastAsia" w:ascii="仿宋" w:hAnsi="仿宋" w:eastAsia="仿宋" w:cs="仿宋"/>
          <w:bCs/>
          <w:kern w:val="0"/>
          <w:sz w:val="32"/>
          <w:szCs w:val="32"/>
          <w:lang w:val="en-US" w:eastAsia="zh-CN"/>
        </w:rPr>
        <w:t>农业农村厅</w:t>
      </w:r>
      <w:r>
        <w:rPr>
          <w:rFonts w:hint="eastAsia" w:ascii="仿宋" w:hAnsi="仿宋" w:eastAsia="仿宋" w:cs="仿宋"/>
          <w:bCs/>
          <w:kern w:val="0"/>
          <w:sz w:val="32"/>
          <w:szCs w:val="32"/>
        </w:rPr>
        <w:t>相关业务处、室、站做好科技服务工作。</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（三）承担农业科技成果的转化、市场开发和农业科技培训、咨询服务工作。主要包括农业新品种、新产品、新技术的试验、示范和推广开发工作。</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（四）接受农业科技成果评价委托，提供农业科技成果评价服务。</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（五）完成省农业</w:t>
      </w:r>
      <w:r>
        <w:rPr>
          <w:rFonts w:hint="eastAsia" w:ascii="仿宋" w:hAnsi="仿宋" w:eastAsia="仿宋" w:cs="仿宋"/>
          <w:bCs/>
          <w:kern w:val="0"/>
          <w:sz w:val="32"/>
          <w:szCs w:val="32"/>
          <w:lang w:val="en-US" w:eastAsia="zh-CN"/>
        </w:rPr>
        <w:t>农村厅</w:t>
      </w:r>
      <w:r>
        <w:rPr>
          <w:rFonts w:hint="eastAsia" w:ascii="仿宋" w:hAnsi="仿宋" w:eastAsia="仿宋" w:cs="仿宋"/>
          <w:bCs/>
          <w:kern w:val="0"/>
          <w:sz w:val="32"/>
          <w:szCs w:val="32"/>
        </w:rPr>
        <w:t>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580" w:lineRule="exact"/>
        <w:ind w:firstLine="640"/>
        <w:rPr>
          <w:rFonts w:hint="eastAsia" w:ascii="仿宋" w:hAnsi="仿宋" w:eastAsia="仿宋" w:cs="仿宋"/>
          <w:bCs/>
          <w:kern w:val="0"/>
          <w:sz w:val="32"/>
          <w:szCs w:val="32"/>
        </w:rPr>
      </w:pPr>
      <w:r>
        <w:rPr>
          <w:rFonts w:hint="eastAsia" w:ascii="仿宋" w:hAnsi="仿宋" w:eastAsia="仿宋" w:cs="仿宋"/>
          <w:bCs/>
          <w:kern w:val="0"/>
          <w:sz w:val="32"/>
          <w:szCs w:val="32"/>
        </w:rPr>
        <w:t>（一）内设机构设置。</w:t>
      </w:r>
    </w:p>
    <w:p>
      <w:pPr>
        <w:spacing w:line="580" w:lineRule="exact"/>
        <w:ind w:firstLine="640"/>
        <w:rPr>
          <w:rFonts w:hint="eastAsia" w:ascii="仿宋" w:hAnsi="仿宋" w:eastAsia="仿宋" w:cs="仿宋"/>
          <w:bCs/>
          <w:kern w:val="0"/>
          <w:sz w:val="32"/>
          <w:szCs w:val="32"/>
          <w:lang w:eastAsia="zh-CN"/>
        </w:rPr>
      </w:pPr>
      <w:r>
        <w:rPr>
          <w:rFonts w:hint="eastAsia" w:ascii="仿宋" w:hAnsi="仿宋" w:eastAsia="仿宋" w:cs="仿宋"/>
          <w:bCs/>
          <w:kern w:val="0"/>
          <w:sz w:val="32"/>
          <w:szCs w:val="32"/>
        </w:rPr>
        <w:t>湖南省农业科技服务中心内设机构包括办公室</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lang w:val="en-US" w:eastAsia="zh-CN"/>
        </w:rPr>
        <w:t>财务科、</w:t>
      </w:r>
      <w:r>
        <w:rPr>
          <w:rFonts w:hint="eastAsia" w:ascii="仿宋" w:hAnsi="仿宋" w:eastAsia="仿宋" w:cs="仿宋"/>
          <w:bCs/>
          <w:kern w:val="0"/>
          <w:sz w:val="32"/>
          <w:szCs w:val="32"/>
        </w:rPr>
        <w:t>农业科技服务科</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rPr>
        <w:t>科技成果转化科及科技培训科</w:t>
      </w:r>
      <w:r>
        <w:rPr>
          <w:rFonts w:hint="eastAsia" w:ascii="仿宋" w:hAnsi="仿宋" w:eastAsia="仿宋" w:cs="仿宋"/>
          <w:bCs/>
          <w:kern w:val="0"/>
          <w:sz w:val="32"/>
          <w:szCs w:val="32"/>
          <w:lang w:eastAsia="zh-CN"/>
        </w:rPr>
        <w:t>。</w:t>
      </w:r>
    </w:p>
    <w:p>
      <w:pPr>
        <w:widowControl/>
        <w:spacing w:line="600" w:lineRule="exact"/>
        <w:ind w:firstLine="640" w:firstLineChars="200"/>
        <w:rPr>
          <w:rFonts w:hint="eastAsia" w:ascii="仿宋" w:hAnsi="仿宋" w:eastAsia="仿宋" w:cs="仿宋"/>
          <w:bCs/>
          <w:kern w:val="0"/>
          <w:sz w:val="32"/>
          <w:szCs w:val="32"/>
          <w:lang w:val="en-US" w:eastAsia="zh-CN"/>
        </w:rPr>
      </w:pPr>
      <w:r>
        <w:rPr>
          <w:rFonts w:hint="eastAsia" w:ascii="仿宋" w:hAnsi="仿宋" w:eastAsia="仿宋" w:cs="仿宋"/>
          <w:bCs/>
          <w:kern w:val="0"/>
          <w:sz w:val="32"/>
          <w:szCs w:val="32"/>
        </w:rPr>
        <w:t>（二）决算单位构成。湖南省农业科技服务中心</w:t>
      </w:r>
      <w:r>
        <w:rPr>
          <w:rFonts w:hint="eastAsia" w:ascii="仿宋" w:hAnsi="仿宋" w:eastAsia="仿宋" w:cs="仿宋"/>
          <w:bCs/>
          <w:kern w:val="0"/>
          <w:sz w:val="32"/>
          <w:szCs w:val="32"/>
          <w:lang w:eastAsia="zh-CN"/>
        </w:rPr>
        <w:t>2023</w:t>
      </w:r>
      <w:r>
        <w:rPr>
          <w:rFonts w:hint="eastAsia" w:ascii="仿宋" w:hAnsi="仿宋" w:eastAsia="仿宋" w:cs="仿宋"/>
          <w:bCs/>
          <w:kern w:val="0"/>
          <w:sz w:val="32"/>
          <w:szCs w:val="32"/>
        </w:rPr>
        <w:t>年部门决算汇总公开单位构成包括：湖南省农业科技服务中心</w:t>
      </w:r>
      <w:r>
        <w:rPr>
          <w:rFonts w:hint="eastAsia" w:ascii="仿宋" w:hAnsi="仿宋" w:eastAsia="仿宋" w:cs="仿宋"/>
          <w:bCs/>
          <w:kern w:val="0"/>
          <w:sz w:val="32"/>
          <w:szCs w:val="32"/>
          <w:lang w:val="en-US" w:eastAsia="zh-CN"/>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8"/>
        <w:jc w:val="center"/>
        <w:rPr>
          <w:rFonts w:hint="eastAsia"/>
          <w:sz w:val="84"/>
          <w:szCs w:val="84"/>
          <w:lang w:val="en-US" w:eastAsia="zh-CN"/>
        </w:rPr>
      </w:pPr>
      <w:r>
        <w:rPr>
          <w:rFonts w:hint="eastAsia"/>
          <w:sz w:val="84"/>
          <w:szCs w:val="84"/>
          <w:lang w:val="en-US" w:eastAsia="zh-CN"/>
        </w:rPr>
        <w:t>第二部分</w:t>
      </w:r>
    </w:p>
    <w:p>
      <w:pPr>
        <w:pStyle w:val="18"/>
        <w:jc w:val="center"/>
        <w:rPr>
          <w:rFonts w:hint="eastAsia"/>
          <w:sz w:val="84"/>
          <w:szCs w:val="84"/>
          <w:lang w:val="en-US" w:eastAsia="zh-CN"/>
        </w:rPr>
      </w:pPr>
    </w:p>
    <w:p>
      <w:pPr>
        <w:pStyle w:val="18"/>
        <w:jc w:val="center"/>
        <w:rPr>
          <w:rFonts w:hint="eastAsia"/>
          <w:sz w:val="84"/>
          <w:szCs w:val="84"/>
          <w:lang w:val="en-US" w:eastAsia="zh-CN"/>
        </w:rPr>
      </w:pPr>
      <w:r>
        <w:rPr>
          <w:rFonts w:hint="eastAsia"/>
          <w:sz w:val="84"/>
          <w:szCs w:val="84"/>
          <w:lang w:val="en-US" w:eastAsia="zh-CN"/>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center"/>
      </w:pPr>
      <w:bookmarkStart w:id="1" w:name="_GoBack"/>
      <w:bookmarkStart w:id="0" w:name="RANGE!A1:I34"/>
      <w:r>
        <w:drawing>
          <wp:inline distT="0" distB="0" distL="114300" distR="114300">
            <wp:extent cx="6964045" cy="6642100"/>
            <wp:effectExtent l="0" t="0" r="8255" b="635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4"/>
                    <a:stretch>
                      <a:fillRect/>
                    </a:stretch>
                  </pic:blipFill>
                  <pic:spPr>
                    <a:xfrm>
                      <a:off x="0" y="0"/>
                      <a:ext cx="6964045" cy="6642100"/>
                    </a:xfrm>
                    <a:prstGeom prst="rect">
                      <a:avLst/>
                    </a:prstGeom>
                    <a:noFill/>
                    <a:ln>
                      <a:noFill/>
                    </a:ln>
                  </pic:spPr>
                </pic:pic>
              </a:graphicData>
            </a:graphic>
          </wp:inline>
        </w:drawing>
      </w:r>
      <w:bookmarkEnd w:id="1"/>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772015" cy="3781425"/>
            <wp:effectExtent l="0" t="0" r="12065"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5"/>
                    <a:stretch>
                      <a:fillRect/>
                    </a:stretch>
                  </pic:blipFill>
                  <pic:spPr>
                    <a:xfrm>
                      <a:off x="0" y="0"/>
                      <a:ext cx="9772015" cy="3781425"/>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014460" cy="3703320"/>
            <wp:effectExtent l="0" t="0" r="762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6"/>
                    <a:stretch>
                      <a:fillRect/>
                    </a:stretch>
                  </pic:blipFill>
                  <pic:spPr>
                    <a:xfrm>
                      <a:off x="0" y="0"/>
                      <a:ext cx="9014460" cy="370332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both"/>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pStyle w:val="4"/>
        <w:ind w:left="0" w:leftChars="0" w:firstLine="0" w:firstLineChars="0"/>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r>
        <w:drawing>
          <wp:inline distT="0" distB="0" distL="114300" distR="114300">
            <wp:extent cx="9094470" cy="7092315"/>
            <wp:effectExtent l="0" t="0" r="381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9094470" cy="7092315"/>
                    </a:xfrm>
                    <a:prstGeom prst="rect">
                      <a:avLst/>
                    </a:prstGeom>
                    <a:noFill/>
                    <a:ln>
                      <a:noFill/>
                    </a:ln>
                  </pic:spPr>
                </pic:pic>
              </a:graphicData>
            </a:graphic>
          </wp:inline>
        </w:drawing>
      </w:r>
    </w:p>
    <w:p>
      <w:pPr>
        <w:pStyle w:val="4"/>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r>
        <w:drawing>
          <wp:inline distT="0" distB="0" distL="114300" distR="114300">
            <wp:extent cx="9161780" cy="5278120"/>
            <wp:effectExtent l="0" t="0" r="1270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9161780" cy="5278120"/>
                    </a:xfrm>
                    <a:prstGeom prst="rect">
                      <a:avLst/>
                    </a:prstGeom>
                    <a:noFill/>
                    <a:ln>
                      <a:noFill/>
                    </a:ln>
                  </pic:spPr>
                </pic:pic>
              </a:graphicData>
            </a:graphic>
          </wp:inline>
        </w:drawing>
      </w:r>
    </w:p>
    <w:p>
      <w:pPr>
        <w:pStyle w:val="4"/>
        <w:rPr>
          <w:rFonts w:hint="eastAsia" w:ascii="华文中宋" w:hAnsi="华文中宋" w:eastAsia="华文中宋" w:cs="宋体"/>
          <w:color w:val="000000"/>
          <w:kern w:val="0"/>
          <w:szCs w:val="32"/>
        </w:rPr>
      </w:pPr>
    </w:p>
    <w:p>
      <w:pPr>
        <w:widowControl/>
        <w:jc w:val="both"/>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777730" cy="6433820"/>
            <wp:effectExtent l="0" t="0" r="13970" b="508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9"/>
                    <a:stretch>
                      <a:fillRect/>
                    </a:stretch>
                  </pic:blipFill>
                  <pic:spPr>
                    <a:xfrm>
                      <a:off x="0" y="0"/>
                      <a:ext cx="9777730" cy="643382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p>
    <w:p>
      <w:pPr>
        <w:pStyle w:val="4"/>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8602980" cy="2552700"/>
            <wp:effectExtent l="0" t="0" r="7620" b="7620"/>
            <wp:docPr id="3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0"/>
                    <pic:cNvPicPr>
                      <a:picLocks noChangeAspect="1"/>
                    </pic:cNvPicPr>
                  </pic:nvPicPr>
                  <pic:blipFill>
                    <a:blip r:embed="rId10"/>
                    <a:stretch>
                      <a:fillRect/>
                    </a:stretch>
                  </pic:blipFill>
                  <pic:spPr>
                    <a:xfrm>
                      <a:off x="0" y="0"/>
                      <a:ext cx="8602980" cy="255270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both"/>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bookmarkEnd w:id="0"/>
    <w:p>
      <w:pPr>
        <w:widowControl/>
        <w:jc w:val="center"/>
      </w:pPr>
    </w:p>
    <w:p>
      <w:pPr>
        <w:widowControl/>
        <w:jc w:val="center"/>
      </w:pPr>
    </w:p>
    <w:p>
      <w:pPr>
        <w:widowControl/>
        <w:jc w:val="both"/>
      </w:pPr>
    </w:p>
    <w:p>
      <w:pPr>
        <w:widowControl/>
        <w:jc w:val="center"/>
      </w:pPr>
    </w:p>
    <w:p>
      <w:pPr>
        <w:widowControl/>
        <w:jc w:val="center"/>
      </w:pPr>
    </w:p>
    <w:p>
      <w:pPr>
        <w:widowControl/>
        <w:jc w:val="center"/>
      </w:pPr>
    </w:p>
    <w:p>
      <w:pPr>
        <w:widowControl/>
        <w:jc w:val="center"/>
      </w:pPr>
      <w:r>
        <w:drawing>
          <wp:inline distT="0" distB="0" distL="114300" distR="114300">
            <wp:extent cx="8488680" cy="3040380"/>
            <wp:effectExtent l="0" t="0" r="0" b="6985"/>
            <wp:docPr id="4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3"/>
                    <pic:cNvPicPr>
                      <a:picLocks noChangeAspect="1"/>
                    </pic:cNvPicPr>
                  </pic:nvPicPr>
                  <pic:blipFill>
                    <a:blip r:embed="rId11"/>
                    <a:stretch>
                      <a:fillRect/>
                    </a:stretch>
                  </pic:blipFill>
                  <pic:spPr>
                    <a:xfrm>
                      <a:off x="0" y="0"/>
                      <a:ext cx="8488680" cy="3040380"/>
                    </a:xfrm>
                    <a:prstGeom prst="rect">
                      <a:avLst/>
                    </a:prstGeom>
                    <a:noFill/>
                    <a:ln>
                      <a:noFill/>
                    </a:ln>
                  </pic:spPr>
                </pic:pic>
              </a:graphicData>
            </a:graphic>
          </wp:inline>
        </w:drawing>
      </w: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r>
        <w:drawing>
          <wp:inline distT="0" distB="0" distL="114300" distR="114300">
            <wp:extent cx="9715500" cy="2369820"/>
            <wp:effectExtent l="0" t="0" r="7620" b="0"/>
            <wp:docPr id="4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pic:cNvPicPr>
                      <a:picLocks noChangeAspect="1"/>
                    </pic:cNvPicPr>
                  </pic:nvPicPr>
                  <pic:blipFill>
                    <a:blip r:embed="rId12"/>
                    <a:stretch>
                      <a:fillRect/>
                    </a:stretch>
                  </pic:blipFill>
                  <pic:spPr>
                    <a:xfrm>
                      <a:off x="0" y="0"/>
                      <a:ext cx="9715500" cy="2369820"/>
                    </a:xfrm>
                    <a:prstGeom prst="rect">
                      <a:avLst/>
                    </a:prstGeom>
                    <a:noFill/>
                    <a:ln>
                      <a:noFill/>
                    </a:ln>
                  </pic:spPr>
                </pic:pic>
              </a:graphicData>
            </a:graphic>
          </wp:inline>
        </w:drawing>
      </w:r>
    </w:p>
    <w:p>
      <w:pPr>
        <w:widowControl/>
        <w:jc w:val="center"/>
      </w:pPr>
    </w:p>
    <w:p>
      <w:pPr>
        <w:widowControl/>
        <w:jc w:val="left"/>
        <w:rPr>
          <w:rFonts w:hint="default" w:eastAsiaTheme="minorEastAsia"/>
          <w:lang w:val="en-US" w:eastAsia="zh-CN"/>
        </w:rPr>
      </w:pPr>
      <w:r>
        <w:rPr>
          <w:rFonts w:hint="eastAsia"/>
          <w:lang w:val="en-US" w:eastAsia="zh-CN"/>
        </w:rPr>
        <w:t>注：本单位没有财政拨款“三公”经费预算支出，故本表无数据。</w:t>
      </w:r>
    </w:p>
    <w:p>
      <w:pPr>
        <w:widowControl/>
        <w:jc w:val="center"/>
      </w:pPr>
    </w:p>
    <w:p>
      <w:pPr>
        <w:widowControl/>
        <w:jc w:val="center"/>
      </w:pPr>
    </w:p>
    <w:p>
      <w:pPr>
        <w:widowControl/>
        <w:jc w:val="center"/>
      </w:pPr>
    </w:p>
    <w:p>
      <w:pPr>
        <w:widowControl/>
        <w:jc w:val="both"/>
        <w:rPr>
          <w:rFonts w:hint="eastAsia" w:ascii="Times New Roman" w:hAnsi="Times New Roman" w:eastAsia="方正小标宋_GBK" w:cs="Times New Roman"/>
          <w:color w:val="000000"/>
          <w:kern w:val="0"/>
          <w:sz w:val="36"/>
          <w:szCs w:val="36"/>
        </w:rPr>
      </w:pPr>
    </w:p>
    <w:p>
      <w:pPr>
        <w:pStyle w:val="18"/>
        <w:rPr>
          <w:sz w:val="72"/>
          <w:szCs w:val="72"/>
        </w:rPr>
        <w:sectPr>
          <w:pgSz w:w="16838" w:h="11906" w:orient="landscape"/>
          <w:pgMar w:top="720" w:right="720" w:bottom="720" w:left="720" w:header="851" w:footer="992" w:gutter="0"/>
          <w:cols w:space="425" w:num="1"/>
          <w:docGrid w:type="lines" w:linePitch="312" w:charSpace="0"/>
        </w:sectPr>
      </w:pPr>
    </w:p>
    <w:p>
      <w:pPr>
        <w:pStyle w:val="18"/>
        <w:rPr>
          <w:sz w:val="72"/>
          <w:szCs w:val="72"/>
        </w:rPr>
      </w:pPr>
    </w:p>
    <w:p>
      <w:pPr>
        <w:pStyle w:val="18"/>
        <w:rPr>
          <w:sz w:val="72"/>
          <w:szCs w:val="72"/>
        </w:rPr>
      </w:pPr>
    </w:p>
    <w:p>
      <w:pPr>
        <w:pStyle w:val="18"/>
        <w:rPr>
          <w:sz w:val="72"/>
          <w:szCs w:val="72"/>
        </w:rPr>
      </w:pPr>
    </w:p>
    <w:p>
      <w:pPr>
        <w:pStyle w:val="18"/>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r>
        <w:rPr>
          <w:rFonts w:hint="eastAsia"/>
          <w:sz w:val="72"/>
          <w:szCs w:val="72"/>
        </w:rPr>
        <w:t>第三部分</w:t>
      </w:r>
    </w:p>
    <w:p>
      <w:pPr>
        <w:pStyle w:val="18"/>
        <w:jc w:val="center"/>
        <w:rPr>
          <w:sz w:val="70"/>
          <w:szCs w:val="70"/>
        </w:rPr>
      </w:pPr>
    </w:p>
    <w:p>
      <w:pPr>
        <w:pStyle w:val="18"/>
        <w:jc w:val="center"/>
        <w:rPr>
          <w:sz w:val="70"/>
          <w:szCs w:val="70"/>
        </w:rPr>
      </w:pPr>
      <w:r>
        <w:rPr>
          <w:rFonts w:hint="eastAsia"/>
          <w:sz w:val="70"/>
          <w:szCs w:val="70"/>
          <w:lang w:eastAsia="zh-CN"/>
        </w:rPr>
        <w:t>2023</w:t>
      </w:r>
      <w:r>
        <w:rPr>
          <w:rFonts w:hint="eastAsia"/>
          <w:sz w:val="70"/>
          <w:szCs w:val="70"/>
        </w:rPr>
        <w:t>年度部门决算情况说明</w:t>
      </w:r>
    </w:p>
    <w:p>
      <w:pPr>
        <w:widowControl/>
        <w:jc w:val="left"/>
        <w:rPr>
          <w:rFonts w:asciiTheme="minorEastAsia" w:hAnsiTheme="minorEastAsia" w:eastAsiaTheme="minorEastAsia"/>
          <w:sz w:val="32"/>
          <w:szCs w:val="32"/>
        </w:rPr>
      </w:pPr>
      <w:r>
        <w:rPr>
          <w:sz w:val="70"/>
          <w:szCs w:val="70"/>
        </w:rPr>
        <w:br w:type="page"/>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eastAsia="zh-CN"/>
        </w:rPr>
        <w:t>2023年</w:t>
      </w:r>
      <w:r>
        <w:rPr>
          <w:rFonts w:hint="eastAsia" w:ascii="Times New Roman" w:hAnsi="Times New Roman" w:eastAsia="仿宋_GB2312"/>
          <w:sz w:val="32"/>
          <w:szCs w:val="32"/>
        </w:rPr>
        <w:t>度收、支总计</w:t>
      </w:r>
      <w:r>
        <w:rPr>
          <w:rFonts w:hint="eastAsia" w:ascii="Times New Roman" w:hAnsi="Times New Roman" w:eastAsia="仿宋_GB2312"/>
          <w:sz w:val="32"/>
          <w:szCs w:val="32"/>
          <w:lang w:val="en-US" w:eastAsia="zh-CN"/>
        </w:rPr>
        <w:t>1014.49</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增加422.2</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增加71.28%</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财政项目</w:t>
      </w:r>
      <w:r>
        <w:rPr>
          <w:rFonts w:hint="eastAsia" w:ascii="Times New Roman" w:hAnsi="Times New Roman" w:eastAsia="仿宋_GB2312"/>
          <w:sz w:val="32"/>
          <w:szCs w:val="32"/>
          <w:lang w:val="en-US" w:eastAsia="zh-CN"/>
        </w:rPr>
        <w:t>资金增加和单位自有资金增加。</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8"/>
        <w:ind w:firstLine="640" w:firstLineChars="200"/>
        <w:rPr>
          <w:rFonts w:asciiTheme="minorEastAsia" w:hAnsiTheme="minorEastAsia" w:eastAsiaTheme="minorEastAsia"/>
          <w:sz w:val="32"/>
          <w:szCs w:val="32"/>
        </w:rPr>
      </w:pPr>
      <w:r>
        <w:rPr>
          <w:rFonts w:hint="eastAsia" w:ascii="Times New Roman" w:hAnsi="Times New Roman" w:eastAsia="仿宋_GB2312"/>
          <w:sz w:val="32"/>
          <w:szCs w:val="32"/>
          <w:lang w:val="en-US" w:eastAsia="zh-CN"/>
        </w:rPr>
        <w:t>2023</w:t>
      </w:r>
      <w:r>
        <w:rPr>
          <w:rFonts w:hint="eastAsia" w:ascii="Times New Roman" w:hAnsi="Times New Roman" w:eastAsia="仿宋_GB2312"/>
          <w:sz w:val="32"/>
          <w:szCs w:val="32"/>
          <w:lang w:eastAsia="zh-CN"/>
        </w:rPr>
        <w:t>年收入合计</w:t>
      </w:r>
      <w:r>
        <w:rPr>
          <w:rFonts w:hint="eastAsia" w:ascii="Times New Roman" w:hAnsi="Times New Roman" w:eastAsia="仿宋_GB2312"/>
          <w:sz w:val="32"/>
          <w:szCs w:val="32"/>
          <w:lang w:val="en-US" w:eastAsia="zh-CN"/>
        </w:rPr>
        <w:t>847.85</w:t>
      </w:r>
      <w:r>
        <w:rPr>
          <w:rFonts w:hint="eastAsia" w:ascii="Times New Roman" w:hAnsi="Times New Roman" w:eastAsia="仿宋_GB2312"/>
          <w:sz w:val="32"/>
          <w:szCs w:val="32"/>
          <w:lang w:eastAsia="zh-CN"/>
        </w:rPr>
        <w:t>万元，其中：财政拨款收入</w:t>
      </w:r>
      <w:r>
        <w:rPr>
          <w:rFonts w:hint="eastAsia" w:ascii="Times New Roman" w:hAnsi="Times New Roman" w:eastAsia="仿宋_GB2312"/>
          <w:sz w:val="32"/>
          <w:szCs w:val="32"/>
          <w:lang w:val="en-US" w:eastAsia="zh-CN"/>
        </w:rPr>
        <w:t>694.62</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81.93</w:t>
      </w:r>
      <w:r>
        <w:rPr>
          <w:rFonts w:hint="eastAsia" w:ascii="Times New Roman" w:hAnsi="Times New Roman" w:eastAsia="仿宋_GB2312"/>
          <w:sz w:val="32"/>
          <w:szCs w:val="32"/>
          <w:lang w:eastAsia="zh-CN"/>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%；事业收入</w:t>
      </w:r>
      <w:r>
        <w:rPr>
          <w:rFonts w:hint="eastAsia" w:ascii="Times New Roman" w:hAnsi="Times New Roman" w:eastAsia="仿宋_GB2312"/>
          <w:sz w:val="32"/>
          <w:szCs w:val="32"/>
          <w:lang w:val="en-US" w:eastAsia="zh-CN"/>
        </w:rPr>
        <w:t>141.68</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16.71</w:t>
      </w:r>
      <w:r>
        <w:rPr>
          <w:rFonts w:hint="eastAsia" w:ascii="Times New Roman" w:hAnsi="Times New Roman" w:eastAsia="仿宋_GB2312"/>
          <w:sz w:val="32"/>
          <w:szCs w:val="32"/>
          <w:lang w:eastAsia="zh-CN"/>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%；其他收入</w:t>
      </w:r>
      <w:r>
        <w:rPr>
          <w:rFonts w:hint="eastAsia" w:ascii="Times New Roman" w:hAnsi="Times New Roman" w:eastAsia="仿宋_GB2312"/>
          <w:sz w:val="32"/>
          <w:szCs w:val="32"/>
          <w:lang w:val="en-US" w:eastAsia="zh-CN"/>
        </w:rPr>
        <w:t>11.55</w:t>
      </w:r>
      <w:r>
        <w:rPr>
          <w:rFonts w:hint="eastAsia" w:ascii="Times New Roman" w:hAnsi="Times New Roman" w:eastAsia="仿宋_GB2312"/>
          <w:sz w:val="32"/>
          <w:szCs w:val="32"/>
          <w:lang w:eastAsia="zh-CN"/>
        </w:rPr>
        <w:t>万元，占</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lang w:eastAsia="zh-CN"/>
        </w:rPr>
        <w:t>%。</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8"/>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2023年支出合计926.99万元，其中：基本支出509.71万元，占54.98%；项目支出417.28万元，占45.02%；上缴上级支出0万元，占0%；经营支出0万元，占0%；对附属单位补助支出0万元，占0%。</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8"/>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2023年度财政拨款收、支总计694.62万元，与上年相比，增加299.19万元,增加75.66%，主要是因为体系能力建设与补短板(市县)专项增加。</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8"/>
        <w:ind w:firstLine="640" w:firstLineChars="200"/>
        <w:rPr>
          <w:rFonts w:asciiTheme="minorEastAsia" w:hAnsiTheme="minorEastAsia" w:eastAsiaTheme="minorEastAsia"/>
          <w:b/>
          <w:sz w:val="32"/>
          <w:szCs w:val="32"/>
        </w:rPr>
      </w:pPr>
      <w:r>
        <w:rPr>
          <w:rFonts w:hint="eastAsia" w:ascii="楷体" w:hAnsi="楷体" w:eastAsia="楷体" w:cs="楷体"/>
          <w:b w:val="0"/>
          <w:bCs/>
          <w:sz w:val="32"/>
          <w:szCs w:val="32"/>
        </w:rPr>
        <w:t>（一）一般公共预算财政拨款支出决算总体情况</w:t>
      </w:r>
    </w:p>
    <w:p>
      <w:pPr>
        <w:pStyle w:val="18"/>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2023年度财政拨款支出694.62万元，占本年支出合计的74.93%，与上年相比，财政拨款支出增加299.19万元，增加75.66%，主要是因为体系能力建设与补短板(市县)专项增加。</w:t>
      </w:r>
    </w:p>
    <w:p>
      <w:pPr>
        <w:pStyle w:val="18"/>
        <w:ind w:firstLine="800" w:firstLineChars="250"/>
        <w:rPr>
          <w:rFonts w:asciiTheme="minorEastAsia" w:hAnsiTheme="minorEastAsia" w:eastAsiaTheme="minorEastAsia"/>
          <w:b/>
          <w:color w:val="000000" w:themeColor="text1"/>
          <w:sz w:val="32"/>
          <w:szCs w:val="32"/>
          <w:highlight w:val="none"/>
          <w14:textFill>
            <w14:solidFill>
              <w14:schemeClr w14:val="tx1"/>
            </w14:solidFill>
          </w14:textFill>
        </w:rPr>
      </w:pPr>
      <w:r>
        <w:rPr>
          <w:rFonts w:hint="eastAsia" w:ascii="楷体" w:hAnsi="楷体" w:eastAsia="楷体" w:cs="楷体"/>
          <w:b w:val="0"/>
          <w:bCs/>
          <w:sz w:val="32"/>
          <w:szCs w:val="32"/>
        </w:rPr>
        <w:t>（</w:t>
      </w:r>
      <w:r>
        <w:rPr>
          <w:rFonts w:hint="eastAsia" w:ascii="楷体" w:hAnsi="楷体" w:eastAsia="楷体" w:cs="楷体"/>
          <w:b w:val="0"/>
          <w:bCs/>
          <w:sz w:val="32"/>
          <w:szCs w:val="32"/>
          <w:lang w:eastAsia="zh-CN"/>
        </w:rPr>
        <w:t>二</w:t>
      </w:r>
      <w:r>
        <w:rPr>
          <w:rFonts w:hint="eastAsia" w:ascii="楷体" w:hAnsi="楷体" w:eastAsia="楷体" w:cs="楷体"/>
          <w:b w:val="0"/>
          <w:bCs/>
          <w:sz w:val="32"/>
          <w:szCs w:val="32"/>
        </w:rPr>
        <w:t>）一般公共预算财政拨款支出决算结构情况</w:t>
      </w:r>
    </w:p>
    <w:p>
      <w:pPr>
        <w:pStyle w:val="18"/>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2023年度财政拨款支出694.62万元，主要用于以下方面：社会保障和就业（类）支出54万元，占7.77%;农林水（类）支出640.62万元，占92.23%。</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2023年</w:t>
      </w:r>
      <w:r>
        <w:rPr>
          <w:rFonts w:hint="eastAsia" w:ascii="Times New Roman" w:hAnsi="Times New Roman" w:eastAsia="仿宋_GB2312"/>
          <w:sz w:val="32"/>
          <w:szCs w:val="32"/>
        </w:rPr>
        <w:t>度财政拨款支出年初预算数为</w:t>
      </w:r>
      <w:r>
        <w:rPr>
          <w:rFonts w:hint="eastAsia" w:ascii="Times New Roman" w:hAnsi="Times New Roman" w:eastAsia="仿宋_GB2312"/>
          <w:sz w:val="32"/>
          <w:szCs w:val="32"/>
          <w:lang w:val="en-US" w:eastAsia="zh-CN"/>
        </w:rPr>
        <w:t>408</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694.62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1、一般公共服务社会保障和就业（类）支出行政事业单位养老支出（款）机关事业单位基本养老保险缴费支出（项）。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一般公共服务</w:t>
      </w:r>
      <w:r>
        <w:rPr>
          <w:rFonts w:hint="eastAsia" w:ascii="Times New Roman" w:hAnsi="Times New Roman" w:eastAsia="仿宋_GB2312"/>
          <w:sz w:val="32"/>
          <w:szCs w:val="32"/>
          <w:lang w:val="en-US" w:eastAsia="zh-CN"/>
        </w:rPr>
        <w:t>农林水支出（类）农业农村（款）事业运行（项）。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354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354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一般公共服务</w:t>
      </w:r>
      <w:r>
        <w:rPr>
          <w:rFonts w:hint="eastAsia" w:ascii="Times New Roman" w:hAnsi="Times New Roman" w:eastAsia="仿宋_GB2312"/>
          <w:color w:val="auto"/>
          <w:sz w:val="32"/>
          <w:szCs w:val="32"/>
          <w:lang w:val="en-US" w:eastAsia="zh-CN"/>
        </w:rPr>
        <w:t>农林水支出（类）农业农村（款）其他农业农村支出（项）。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234</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决</w:t>
      </w:r>
      <w:r>
        <w:rPr>
          <w:rFonts w:hint="eastAsia" w:ascii="Times New Roman" w:hAnsi="Times New Roman" w:eastAsia="仿宋_GB2312"/>
          <w:color w:val="auto"/>
          <w:sz w:val="32"/>
          <w:szCs w:val="32"/>
        </w:rPr>
        <w:t>算数大于年初预算数的主要原因是：</w:t>
      </w:r>
      <w:r>
        <w:rPr>
          <w:rFonts w:hint="eastAsia" w:ascii="Times New Roman" w:hAnsi="Times New Roman" w:eastAsia="仿宋_GB2312"/>
          <w:color w:val="auto"/>
          <w:sz w:val="32"/>
          <w:szCs w:val="32"/>
          <w:lang w:val="en-US" w:eastAsia="zh-CN"/>
        </w:rPr>
        <w:t>年中追加体系能力建设与补短板(市县)专项。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一般公共服务</w:t>
      </w:r>
      <w:r>
        <w:rPr>
          <w:rFonts w:hint="eastAsia" w:ascii="Times New Roman" w:hAnsi="Times New Roman" w:eastAsia="仿宋_GB2312"/>
          <w:color w:val="auto"/>
          <w:sz w:val="32"/>
          <w:szCs w:val="32"/>
          <w:lang w:val="en-US" w:eastAsia="zh-CN"/>
        </w:rPr>
        <w:t>农林水支出（类）农业农村（款）行政运行（项）。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eastAsia="zh-CN"/>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lang w:eastAsia="zh-CN"/>
        </w:rPr>
        <w:t>万元，支出决算为</w:t>
      </w:r>
      <w:r>
        <w:rPr>
          <w:rFonts w:hint="eastAsia" w:ascii="Times New Roman" w:hAnsi="Times New Roman" w:eastAsia="仿宋_GB2312"/>
          <w:color w:val="auto"/>
          <w:sz w:val="32"/>
          <w:szCs w:val="32"/>
          <w:lang w:val="en-US" w:eastAsia="zh-CN"/>
        </w:rPr>
        <w:t>52.62</w:t>
      </w:r>
      <w:r>
        <w:rPr>
          <w:rFonts w:hint="eastAsia" w:ascii="Times New Roman" w:hAnsi="Times New Roman" w:eastAsia="仿宋_GB2312"/>
          <w:color w:val="auto"/>
          <w:sz w:val="32"/>
          <w:szCs w:val="32"/>
          <w:lang w:eastAsia="zh-CN"/>
        </w:rPr>
        <w:t>万元</w:t>
      </w:r>
      <w:r>
        <w:rPr>
          <w:rFonts w:hint="eastAsia" w:ascii="Times New Roman" w:hAnsi="Times New Roman" w:eastAsia="仿宋_GB2312"/>
          <w:color w:val="auto"/>
          <w:sz w:val="32"/>
          <w:szCs w:val="32"/>
          <w:lang w:val="en-US" w:eastAsia="zh-CN"/>
        </w:rPr>
        <w:t>。决</w:t>
      </w:r>
      <w:r>
        <w:rPr>
          <w:rFonts w:hint="eastAsia" w:ascii="Times New Roman" w:hAnsi="Times New Roman" w:eastAsia="仿宋_GB2312"/>
          <w:color w:val="auto"/>
          <w:sz w:val="32"/>
          <w:szCs w:val="32"/>
          <w:lang w:eastAsia="zh-CN"/>
        </w:rPr>
        <w:t>算数大于年初预算数的主要原因是：</w:t>
      </w:r>
      <w:r>
        <w:rPr>
          <w:rFonts w:hint="eastAsia" w:ascii="Times New Roman" w:hAnsi="Times New Roman" w:eastAsia="仿宋_GB2312"/>
          <w:color w:val="auto"/>
          <w:sz w:val="32"/>
          <w:szCs w:val="32"/>
          <w:lang w:val="en-US" w:eastAsia="zh-CN"/>
        </w:rPr>
        <w:t>年底追加事业单位绩效工资补助。</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2023年</w:t>
      </w:r>
      <w:r>
        <w:rPr>
          <w:rFonts w:hint="eastAsia" w:ascii="Times New Roman" w:hAnsi="Times New Roman" w:eastAsia="仿宋_GB2312"/>
          <w:sz w:val="32"/>
          <w:szCs w:val="32"/>
        </w:rPr>
        <w:t>度财政拨款基本支出</w:t>
      </w:r>
      <w:r>
        <w:rPr>
          <w:rFonts w:hint="eastAsia" w:ascii="Times New Roman" w:hAnsi="Times New Roman" w:eastAsia="仿宋_GB2312"/>
          <w:sz w:val="32"/>
          <w:szCs w:val="32"/>
          <w:lang w:val="en-US" w:eastAsia="zh-CN"/>
        </w:rPr>
        <w:t>319.62</w:t>
      </w:r>
      <w:r>
        <w:rPr>
          <w:rFonts w:hint="eastAsia" w:ascii="Times New Roman" w:hAnsi="Times New Roman" w:eastAsia="仿宋_GB2312"/>
          <w:sz w:val="32"/>
          <w:szCs w:val="32"/>
        </w:rPr>
        <w:t>万元，其中：</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319.62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%,主要包括基本工资、津贴补贴、伙食补助费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住房公积金等。</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FFFFFF" w:themeColor="background1"/>
          <w:sz w:val="32"/>
          <w:szCs w:val="32"/>
          <w:shd w:val="clear" w:color="auto" w:fill="auto"/>
          <w:lang w:val="en-US" w:eastAsia="zh-CN"/>
          <w14:textFill>
            <w14:solidFill>
              <w14:schemeClr w14:val="bg1"/>
            </w14:solidFill>
          </w14:textFill>
        </w:rPr>
      </w:pPr>
      <w:r>
        <w:rPr>
          <w:rFonts w:hint="eastAsia" w:ascii="Times New Roman" w:hAnsi="Times New Roman" w:eastAsia="仿宋_GB2312"/>
          <w:b/>
          <w:bCs/>
          <w:color w:val="auto"/>
          <w:sz w:val="32"/>
          <w:szCs w:val="32"/>
          <w:shd w:val="clear" w:color="auto" w:fill="auto"/>
        </w:rPr>
        <w:t>公用</w:t>
      </w:r>
      <w:r>
        <w:rPr>
          <w:rFonts w:hint="eastAsia" w:ascii="Times New Roman" w:hAnsi="Times New Roman" w:eastAsia="仿宋_GB2312"/>
          <w:b/>
          <w:bCs/>
          <w:color w:val="auto"/>
          <w:sz w:val="32"/>
          <w:szCs w:val="32"/>
          <w:highlight w:val="none"/>
          <w:shd w:val="clear" w:color="auto" w:fill="auto"/>
        </w:rPr>
        <w:t>经费</w:t>
      </w:r>
      <w:r>
        <w:rPr>
          <w:rFonts w:hint="eastAsia" w:ascii="Times New Roman" w:hAnsi="Times New Roman" w:eastAsia="仿宋_GB2312"/>
          <w:color w:val="auto"/>
          <w:sz w:val="32"/>
          <w:szCs w:val="32"/>
          <w:highlight w:val="none"/>
          <w:shd w:val="clear" w:color="auto" w:fill="auto"/>
          <w:lang w:val="en-US" w:eastAsia="zh-CN"/>
        </w:rPr>
        <w:t>0</w:t>
      </w:r>
      <w:r>
        <w:rPr>
          <w:rFonts w:hint="eastAsia" w:ascii="Times New Roman" w:hAnsi="Times New Roman" w:eastAsia="仿宋_GB2312"/>
          <w:color w:val="auto"/>
          <w:sz w:val="32"/>
          <w:szCs w:val="32"/>
          <w:highlight w:val="none"/>
          <w:shd w:val="clear" w:color="auto" w:fill="auto"/>
        </w:rPr>
        <w:t>万元，占基本支出的</w:t>
      </w:r>
      <w:r>
        <w:rPr>
          <w:rFonts w:hint="eastAsia" w:ascii="Times New Roman" w:hAnsi="Times New Roman" w:eastAsia="仿宋_GB2312"/>
          <w:color w:val="auto"/>
          <w:sz w:val="32"/>
          <w:szCs w:val="32"/>
          <w:highlight w:val="none"/>
          <w:shd w:val="clear" w:color="auto" w:fill="auto"/>
          <w:lang w:val="en-US" w:eastAsia="zh-CN"/>
        </w:rPr>
        <w:t>0</w:t>
      </w:r>
      <w:r>
        <w:rPr>
          <w:rFonts w:hint="eastAsia" w:ascii="Times New Roman" w:hAnsi="Times New Roman" w:eastAsia="仿宋_GB2312"/>
          <w:color w:val="auto"/>
          <w:sz w:val="32"/>
          <w:szCs w:val="32"/>
          <w:highlight w:val="none"/>
          <w:shd w:val="clear" w:color="auto" w:fill="auto"/>
        </w:rPr>
        <w:t>%。</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七、财政拨款三公经费支出决算情况说明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万元，与上年持平</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其中：</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万元，与上年持平。</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万元，与上年持平。</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万元，与上年持平。</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与上年持平。</w:t>
      </w:r>
    </w:p>
    <w:p>
      <w:pPr>
        <w:pStyle w:val="18"/>
        <w:ind w:firstLine="640" w:firstLineChars="200"/>
        <w:rPr>
          <w:rFonts w:asciiTheme="minorEastAsia" w:hAnsiTheme="minorEastAsia" w:eastAsiaTheme="minorEastAsia"/>
          <w:b/>
          <w:sz w:val="32"/>
          <w:szCs w:val="32"/>
          <w:highlight w:val="none"/>
        </w:rPr>
      </w:pPr>
      <w:r>
        <w:rPr>
          <w:rFonts w:hint="eastAsia" w:ascii="楷体" w:hAnsi="楷体" w:eastAsia="楷体" w:cs="楷体"/>
          <w:b/>
          <w:bCs w:val="0"/>
          <w:sz w:val="32"/>
          <w:szCs w:val="32"/>
          <w:highlight w:val="none"/>
        </w:rPr>
        <w:t>（二）“三公”经费财政拨款支出决算具体情况说明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2023年</w:t>
      </w:r>
      <w:r>
        <w:rPr>
          <w:rFonts w:hint="eastAsia" w:ascii="Times New Roman" w:hAnsi="Times New Roman" w:eastAsia="仿宋_GB2312"/>
          <w:sz w:val="32"/>
          <w:szCs w:val="32"/>
          <w:highlight w:val="none"/>
        </w:rPr>
        <w:t>度“三公”经费财政拨款支出决算中，公务接待费支出决算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万元,因公出国（境）费支出决算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万元,公务用车购置费及运行维护费支出决算</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万元。其中：</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1、因公出国（境）费支出决算为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sz w:val="32"/>
          <w:szCs w:val="32"/>
          <w:highlight w:val="none"/>
          <w:lang w:eastAsia="zh-CN"/>
        </w:rPr>
        <w:t>。</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2、公务接待费支出决算为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，全年共接待来访团组0个、来宾0人次。</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cs="黑体" w:asciiTheme="minorEastAsia" w:hAnsiTheme="minorEastAsia" w:eastAsiaTheme="minorEastAsia"/>
          <w:color w:val="000000"/>
          <w:kern w:val="0"/>
          <w:sz w:val="32"/>
          <w:szCs w:val="32"/>
          <w:highlight w:val="none"/>
          <w:lang w:eastAsia="zh-CN"/>
        </w:rPr>
      </w:pPr>
      <w:r>
        <w:rPr>
          <w:rFonts w:hint="eastAsia" w:ascii="Times New Roman" w:hAnsi="Times New Roman" w:eastAsia="仿宋_GB2312"/>
          <w:sz w:val="32"/>
          <w:szCs w:val="32"/>
          <w:highlight w:val="none"/>
        </w:rPr>
        <w:t>3、公务用车购置费及运行维护费支出决算为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其中：公务用车购置费0万元，单位本级更新公务用车0辆。公务用车运行维护费0万元，截止2023年12月31日，我单位开支财政拨款的公务用车保有量为0辆。</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本单位无政府性基金收支。</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九、关于机关运行经费支出说明</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highlight w:val="none"/>
          <w:lang w:val="en-US" w:eastAsia="zh-CN"/>
        </w:rPr>
        <w:t>本单位</w:t>
      </w:r>
      <w:r>
        <w:rPr>
          <w:rFonts w:hint="eastAsia" w:ascii="Times New Roman" w:hAnsi="Times New Roman" w:eastAsia="仿宋_GB2312"/>
          <w:sz w:val="32"/>
          <w:szCs w:val="32"/>
          <w:lang w:val="en-US" w:eastAsia="zh-CN"/>
        </w:rPr>
        <w:t>2023年度机关运行经费支出0万元。</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lang w:eastAsia="zh-CN"/>
        </w:rPr>
      </w:pPr>
      <w:r>
        <w:rPr>
          <w:rFonts w:hint="eastAsia" w:hAnsi="黑体" w:cs="黑体"/>
          <w:b w:val="0"/>
          <w:bCs/>
          <w:sz w:val="32"/>
          <w:szCs w:val="32"/>
          <w:lang w:eastAsia="zh-CN"/>
        </w:rPr>
        <w:t>十、</w:t>
      </w:r>
      <w:r>
        <w:rPr>
          <w:rFonts w:hint="eastAsia" w:ascii="黑体" w:hAnsi="黑体" w:eastAsia="黑体" w:cs="黑体"/>
          <w:b w:val="0"/>
          <w:bCs/>
          <w:sz w:val="32"/>
          <w:szCs w:val="32"/>
        </w:rPr>
        <w:t>一般性支出情况</w:t>
      </w:r>
      <w:r>
        <w:rPr>
          <w:rFonts w:hint="eastAsia" w:hAnsi="黑体" w:cs="黑体"/>
          <w:b w:val="0"/>
          <w:bCs/>
          <w:sz w:val="32"/>
          <w:szCs w:val="32"/>
          <w:lang w:eastAsia="zh-CN"/>
        </w:rPr>
        <w:t>说明</w:t>
      </w:r>
    </w:p>
    <w:p>
      <w:pPr>
        <w:pStyle w:val="18"/>
        <w:numPr>
          <w:ilvl w:val="0"/>
          <w:numId w:val="0"/>
        </w:numPr>
        <w:rPr>
          <w:rFonts w:hint="eastAsia" w:asciiTheme="minorEastAsia" w:hAnsiTheme="minorEastAsia" w:eastAsiaTheme="minorEastAsia"/>
          <w:sz w:val="32"/>
          <w:szCs w:val="32"/>
          <w:lang w:val="en-US" w:eastAsia="zh-CN"/>
        </w:rPr>
      </w:pPr>
      <w:r>
        <w:rPr>
          <w:rFonts w:hint="eastAsia" w:hAnsi="黑体"/>
          <w:b/>
          <w:sz w:val="32"/>
          <w:szCs w:val="32"/>
          <w:lang w:val="en-US" w:eastAsia="zh-CN"/>
        </w:rPr>
        <w:t xml:space="preserve">    </w:t>
      </w:r>
      <w:r>
        <w:rPr>
          <w:rFonts w:hint="eastAsia" w:ascii="Times New Roman" w:hAnsi="Times New Roman" w:eastAsia="仿宋_GB2312"/>
          <w:sz w:val="32"/>
          <w:szCs w:val="32"/>
          <w:lang w:val="en-US" w:eastAsia="zh-CN"/>
        </w:rPr>
        <w:t>2023</w:t>
      </w:r>
      <w:r>
        <w:rPr>
          <w:rFonts w:hint="eastAsia" w:ascii="Times New Roman" w:hAnsi="Times New Roman" w:eastAsia="仿宋_GB2312"/>
          <w:sz w:val="32"/>
          <w:szCs w:val="32"/>
          <w:highlight w:val="none"/>
          <w:lang w:val="en-US" w:eastAsia="zh-CN"/>
        </w:rPr>
        <w:t>年本单位开支</w:t>
      </w:r>
      <w:r>
        <w:rPr>
          <w:rFonts w:hint="eastAsia" w:ascii="Times New Roman" w:hAnsi="Times New Roman" w:eastAsia="仿宋_GB2312"/>
          <w:sz w:val="32"/>
          <w:szCs w:val="32"/>
          <w:lang w:val="en-US" w:eastAsia="zh-CN"/>
        </w:rPr>
        <w:t>会议费0万元；开支培训费0万元。</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8"/>
        <w:numPr>
          <w:ilvl w:val="0"/>
          <w:numId w:val="0"/>
        </w:num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highlight w:val="none"/>
          <w:lang w:val="en-US" w:eastAsia="zh-CN"/>
        </w:rPr>
        <w:t>本单位20</w:t>
      </w:r>
      <w:r>
        <w:rPr>
          <w:rFonts w:hint="eastAsia" w:ascii="Times New Roman" w:hAnsi="Times New Roman" w:eastAsia="仿宋_GB2312"/>
          <w:sz w:val="32"/>
          <w:szCs w:val="32"/>
          <w:lang w:val="en-US" w:eastAsia="zh-CN"/>
        </w:rPr>
        <w:t>23年度政府采购支出总额0万元，其中：政府采购货物支出0万元、政府采购工程支出0万元、政府采购服务支出0万元。授予中小企业合同金额0万元，其中：授予小微企业合同金额0万元。</w:t>
      </w:r>
    </w:p>
    <w:p>
      <w:pPr>
        <w:pStyle w:val="18"/>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18"/>
        <w:numPr>
          <w:ilvl w:val="0"/>
          <w:numId w:val="0"/>
        </w:numPr>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截至2023年12月31日，本单位共有车辆0辆，其中，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sz w:val="32"/>
          <w:szCs w:val="32"/>
          <w:lang w:val="en-US" w:eastAsia="zh-CN"/>
        </w:rPr>
        <w:t>0辆、</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lang w:val="en-US" w:eastAsia="zh-CN"/>
        </w:rPr>
        <w:t>机要通信用车0辆、应急保障用车0辆、执法执勤用车0辆、特种专业技术用车0辆、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sz w:val="32"/>
          <w:szCs w:val="32"/>
          <w:lang w:val="en-US" w:eastAsia="zh-CN"/>
        </w:rPr>
        <w:t>其他用车0辆；单位价值100万元以上</w:t>
      </w:r>
      <w:r>
        <w:rPr>
          <w:rFonts w:hint="eastAsia" w:ascii="Times New Roman" w:hAnsi="Times New Roman" w:eastAsia="仿宋_GB2312"/>
          <w:color w:val="auto"/>
          <w:sz w:val="32"/>
          <w:szCs w:val="32"/>
        </w:rPr>
        <w:t>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sz w:val="32"/>
          <w:szCs w:val="32"/>
          <w:lang w:val="en-US" w:eastAsia="zh-CN"/>
        </w:rPr>
        <w:t>0台</w:t>
      </w:r>
      <w:r>
        <w:rPr>
          <w:rFonts w:hint="eastAsia" w:ascii="Times New Roman" w:hAnsi="Times New Roman" w:eastAsia="仿宋_GB2312"/>
          <w:color w:val="auto"/>
          <w:sz w:val="32"/>
          <w:szCs w:val="32"/>
          <w:lang w:val="en-US" w:eastAsia="zh-CN"/>
        </w:rPr>
        <w:t>（套）。</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（一）绩效管理工作开展情况</w:t>
      </w:r>
    </w:p>
    <w:p>
      <w:pPr>
        <w:pStyle w:val="18"/>
        <w:numPr>
          <w:ilvl w:val="0"/>
          <w:numId w:val="0"/>
        </w:numPr>
        <w:ind w:firstLine="640" w:firstLineChars="200"/>
        <w:rPr>
          <w:rFonts w:hint="eastAsia" w:hAnsi="黑体"/>
          <w:b/>
          <w:color w:val="FF0000"/>
          <w:sz w:val="32"/>
          <w:szCs w:val="32"/>
        </w:rPr>
      </w:pPr>
      <w:r>
        <w:rPr>
          <w:rFonts w:hint="eastAsia" w:ascii="Times New Roman" w:hAnsi="Times New Roman" w:eastAsia="仿宋_GB2312"/>
          <w:sz w:val="32"/>
          <w:szCs w:val="32"/>
          <w:lang w:val="en-US" w:eastAsia="zh-CN"/>
        </w:rPr>
        <w:t>2023年在省农业农村厅的精心领导和机关各处室的关心支持下，科技中心按照年初计划开展工作，认真履行职责，较好地完成了年初确定的各项工作任务，加快了科技成果转化、促进了现代农业的发展。中心主要</w:t>
      </w:r>
      <w:r>
        <w:rPr>
          <w:rFonts w:hint="default" w:ascii="Times New Roman" w:hAnsi="Times New Roman" w:eastAsia="仿宋_GB2312"/>
          <w:sz w:val="32"/>
          <w:szCs w:val="32"/>
          <w:lang w:val="en-US" w:eastAsia="zh-CN"/>
        </w:rPr>
        <w:t>完成省农业农村厅交办的各项农业科技服务工作</w:t>
      </w:r>
      <w:r>
        <w:rPr>
          <w:rFonts w:hint="eastAsia" w:ascii="Times New Roman" w:hAnsi="Times New Roman" w:eastAsia="仿宋_GB2312"/>
          <w:sz w:val="32"/>
          <w:szCs w:val="32"/>
          <w:lang w:val="en-US" w:eastAsia="zh-CN"/>
        </w:rPr>
        <w:t>3项</w:t>
      </w:r>
      <w:r>
        <w:rPr>
          <w:rFonts w:hint="default" w:ascii="Times New Roman" w:hAnsi="Times New Roman" w:eastAsia="仿宋_GB2312"/>
          <w:sz w:val="32"/>
          <w:szCs w:val="32"/>
          <w:lang w:val="en-US" w:eastAsia="zh-CN"/>
        </w:rPr>
        <w:t>；深入基层办点</w:t>
      </w:r>
      <w:r>
        <w:rPr>
          <w:rFonts w:hint="eastAsia" w:ascii="Times New Roman" w:hAnsi="Times New Roman" w:eastAsia="仿宋_GB2312"/>
          <w:sz w:val="32"/>
          <w:szCs w:val="32"/>
          <w:lang w:val="en-US" w:eastAsia="zh-CN"/>
        </w:rPr>
        <w:t>8个</w:t>
      </w:r>
      <w:r>
        <w:rPr>
          <w:rFonts w:hint="default" w:ascii="Times New Roman" w:hAnsi="Times New Roman" w:eastAsia="仿宋_GB2312"/>
          <w:sz w:val="32"/>
          <w:szCs w:val="32"/>
          <w:lang w:val="en-US" w:eastAsia="zh-CN"/>
        </w:rPr>
        <w:t>，落实好农业科技示范工作；协助农业资源保护和利用处、发展规划处等机关处室推进乡村振兴、加快农业农村现代化工作</w:t>
      </w:r>
      <w:r>
        <w:rPr>
          <w:rFonts w:hint="eastAsia" w:ascii="Times New Roman" w:hAnsi="Times New Roman" w:eastAsia="仿宋_GB2312"/>
          <w:sz w:val="32"/>
          <w:szCs w:val="32"/>
          <w:lang w:val="en-US" w:eastAsia="zh-CN"/>
        </w:rPr>
        <w:t>4项</w:t>
      </w:r>
      <w:r>
        <w:rPr>
          <w:rFonts w:hint="default" w:ascii="Times New Roman" w:hAnsi="Times New Roman" w:eastAsia="仿宋_GB2312"/>
          <w:sz w:val="32"/>
          <w:szCs w:val="32"/>
          <w:lang w:val="en-US" w:eastAsia="zh-CN"/>
        </w:rPr>
        <w:t>；做好科技成果评价与鉴定工作</w:t>
      </w:r>
      <w:r>
        <w:rPr>
          <w:rFonts w:hint="eastAsia" w:ascii="Times New Roman" w:hAnsi="Times New Roman" w:eastAsia="仿宋_GB2312"/>
          <w:sz w:val="32"/>
          <w:szCs w:val="32"/>
          <w:lang w:val="en-US" w:eastAsia="zh-CN"/>
        </w:rPr>
        <w:t>17项</w:t>
      </w:r>
      <w:r>
        <w:rPr>
          <w:rFonts w:hint="default" w:ascii="Times New Roman" w:hAnsi="Times New Roman" w:eastAsia="仿宋_GB2312"/>
          <w:sz w:val="32"/>
          <w:szCs w:val="32"/>
          <w:lang w:val="en-US" w:eastAsia="zh-CN"/>
        </w:rPr>
        <w:t>，认真履行第三方评价职能。</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lang w:eastAsia="zh-CN"/>
        </w:rPr>
        <w:t>（二）</w:t>
      </w:r>
      <w:r>
        <w:rPr>
          <w:rFonts w:hint="eastAsia" w:ascii="楷体" w:hAnsi="楷体" w:eastAsia="楷体" w:cs="楷体"/>
          <w:b/>
          <w:bCs/>
          <w:color w:val="auto"/>
          <w:sz w:val="32"/>
          <w:szCs w:val="32"/>
          <w:lang w:val="en-US" w:eastAsia="zh-CN"/>
        </w:rPr>
        <w:t>单位</w:t>
      </w:r>
      <w:r>
        <w:rPr>
          <w:rFonts w:hint="eastAsia" w:ascii="楷体" w:hAnsi="楷体" w:eastAsia="楷体" w:cs="楷体"/>
          <w:b/>
          <w:bCs/>
          <w:color w:val="auto"/>
          <w:sz w:val="32"/>
          <w:szCs w:val="32"/>
        </w:rPr>
        <w:t>整体支出绩效情况</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1、运</w:t>
      </w:r>
      <w:r>
        <w:rPr>
          <w:rFonts w:hint="eastAsia" w:ascii="Times New Roman" w:hAnsi="Times New Roman" w:eastAsia="仿宋_GB2312"/>
          <w:color w:val="auto"/>
          <w:sz w:val="32"/>
          <w:szCs w:val="32"/>
        </w:rPr>
        <w:t>行成本</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年湖南省农业科技服务中心收入年初预算数为408万元，年中财政追加286.62万元，财政拨款收入共694.62万元，事业收入141.68万元，其他收入11.55万元，本年收入合计847.85万元。年初结转和结余0万元，使用非财政拨款结余166.64万元，整体收入总计1014.49万元。</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本年支出合计926.99万元，其中：基本支出509.71万元，占54.98%；项目支出417.28元，占45.02%。</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年末结转和结余资金87.5万元，其中：基本支出年末结转和结余资金0万元，项目支出年末结转和结余资金87.5万元。</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管理效率</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2023年，我单位在资金使管理上按照国家财经法规和本单位财务管理制度执行，资金拨付有完整的审批程序和手续，按照财经制度的有关要求，保证资金使用的合规性，资金使用无截留、挤占、挪用、虚列支出等情况。切实提高人力、财力、物力的使用效率；大力提倡勤俭节约，使有限的资金发挥了最大的效益，所有资金使用严格按审批程序办理、操作规范，会计核算结果真实、准确，各项支出严格按照各项制度执行，较好的保证了财务开支和资金使用的合法合规、安全有效，保障了中心良好运转。</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履职效能</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2023年，中心主要</w:t>
      </w:r>
      <w:r>
        <w:rPr>
          <w:rFonts w:hint="default" w:ascii="Times New Roman" w:hAnsi="Times New Roman" w:eastAsia="仿宋_GB2312"/>
          <w:color w:val="auto"/>
          <w:sz w:val="32"/>
          <w:szCs w:val="32"/>
          <w:lang w:val="en-US" w:eastAsia="zh-CN"/>
        </w:rPr>
        <w:t>完成省农业农村厅交办的各项农业科技服务工作</w:t>
      </w:r>
      <w:r>
        <w:rPr>
          <w:rFonts w:hint="eastAsia" w:ascii="Times New Roman" w:hAnsi="Times New Roman" w:eastAsia="仿宋_GB2312"/>
          <w:color w:val="auto"/>
          <w:sz w:val="32"/>
          <w:szCs w:val="32"/>
          <w:lang w:val="en-US" w:eastAsia="zh-CN"/>
        </w:rPr>
        <w:t>3项</w:t>
      </w:r>
      <w:r>
        <w:rPr>
          <w:rFonts w:hint="default" w:ascii="Times New Roman" w:hAnsi="Times New Roman" w:eastAsia="仿宋_GB2312"/>
          <w:color w:val="auto"/>
          <w:sz w:val="32"/>
          <w:szCs w:val="32"/>
          <w:lang w:val="en-US" w:eastAsia="zh-CN"/>
        </w:rPr>
        <w:t>；深入基层办点</w:t>
      </w:r>
      <w:r>
        <w:rPr>
          <w:rFonts w:hint="eastAsia" w:ascii="Times New Roman" w:hAnsi="Times New Roman" w:eastAsia="仿宋_GB2312"/>
          <w:color w:val="auto"/>
          <w:sz w:val="32"/>
          <w:szCs w:val="32"/>
          <w:lang w:val="en-US" w:eastAsia="zh-CN"/>
        </w:rPr>
        <w:t>8个</w:t>
      </w:r>
      <w:r>
        <w:rPr>
          <w:rFonts w:hint="default" w:ascii="Times New Roman" w:hAnsi="Times New Roman" w:eastAsia="仿宋_GB2312"/>
          <w:color w:val="auto"/>
          <w:sz w:val="32"/>
          <w:szCs w:val="32"/>
          <w:lang w:val="en-US" w:eastAsia="zh-CN"/>
        </w:rPr>
        <w:t>，落实好农业科技示范工作；协助农业资源保护和利用处、发展规划处等机关处室推进乡村振兴、加快农业农村现代化工作</w:t>
      </w:r>
      <w:r>
        <w:rPr>
          <w:rFonts w:hint="eastAsia" w:ascii="Times New Roman" w:hAnsi="Times New Roman" w:eastAsia="仿宋_GB2312"/>
          <w:color w:val="auto"/>
          <w:sz w:val="32"/>
          <w:szCs w:val="32"/>
          <w:lang w:val="en-US" w:eastAsia="zh-CN"/>
        </w:rPr>
        <w:t>4项</w:t>
      </w:r>
      <w:r>
        <w:rPr>
          <w:rFonts w:hint="default" w:ascii="Times New Roman" w:hAnsi="Times New Roman" w:eastAsia="仿宋_GB2312"/>
          <w:color w:val="auto"/>
          <w:sz w:val="32"/>
          <w:szCs w:val="32"/>
          <w:lang w:val="en-US" w:eastAsia="zh-CN"/>
        </w:rPr>
        <w:t>；做好科技成果评价与鉴定工作</w:t>
      </w:r>
      <w:r>
        <w:rPr>
          <w:rFonts w:hint="eastAsia" w:ascii="Times New Roman" w:hAnsi="Times New Roman" w:eastAsia="仿宋_GB2312"/>
          <w:color w:val="auto"/>
          <w:sz w:val="32"/>
          <w:szCs w:val="32"/>
          <w:lang w:val="en-US" w:eastAsia="zh-CN"/>
        </w:rPr>
        <w:t>17项</w:t>
      </w:r>
      <w:r>
        <w:rPr>
          <w:rFonts w:hint="default" w:ascii="Times New Roman" w:hAnsi="Times New Roman" w:eastAsia="仿宋_GB2312"/>
          <w:color w:val="auto"/>
          <w:sz w:val="32"/>
          <w:szCs w:val="32"/>
          <w:lang w:val="en-US" w:eastAsia="zh-CN"/>
        </w:rPr>
        <w:t>，认真履行第三方评价职能。</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社会效应</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中心设立的科技示范点或科技服务点增收节支百分率在10%以上，减少农药、化肥使用量20%，通过新技术示范推广脱贫致富人数1000余人。</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可持续发展能力</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中心在科技示范点和科技服务点示范推广经实践检验的新品种新技术，其先进性保持时间都可在5年以上。</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服务对象满意度</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在对我中心服务对象的社会调查中，</w:t>
      </w:r>
      <w:r>
        <w:rPr>
          <w:rFonts w:hint="default" w:ascii="Times New Roman" w:hAnsi="Times New Roman" w:eastAsia="仿宋_GB2312"/>
          <w:color w:val="auto"/>
          <w:sz w:val="32"/>
          <w:szCs w:val="32"/>
          <w:lang w:val="en-US" w:eastAsia="zh-CN"/>
        </w:rPr>
        <w:t>受益人口满意度</w:t>
      </w:r>
      <w:r>
        <w:rPr>
          <w:rFonts w:hint="eastAsia" w:ascii="Times New Roman" w:hAnsi="Times New Roman" w:eastAsia="仿宋_GB2312"/>
          <w:color w:val="auto"/>
          <w:sz w:val="32"/>
          <w:szCs w:val="32"/>
          <w:lang w:val="en-US" w:eastAsia="zh-CN"/>
        </w:rPr>
        <w:t>和</w:t>
      </w:r>
      <w:r>
        <w:rPr>
          <w:rFonts w:hint="default" w:ascii="Times New Roman" w:hAnsi="Times New Roman" w:eastAsia="仿宋_GB2312"/>
          <w:color w:val="auto"/>
          <w:sz w:val="32"/>
          <w:szCs w:val="32"/>
          <w:lang w:val="en-US" w:eastAsia="zh-CN"/>
        </w:rPr>
        <w:t>服务单位</w:t>
      </w:r>
      <w:r>
        <w:rPr>
          <w:rFonts w:hint="eastAsia" w:ascii="Times New Roman" w:hAnsi="Times New Roman" w:eastAsia="仿宋_GB2312"/>
          <w:color w:val="auto"/>
          <w:sz w:val="32"/>
          <w:szCs w:val="32"/>
          <w:lang w:val="en-US" w:eastAsia="zh-CN"/>
        </w:rPr>
        <w:t>满意度均在90%以上。</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b/>
          <w:bCs/>
          <w:color w:val="auto"/>
          <w:sz w:val="32"/>
          <w:szCs w:val="32"/>
          <w:lang w:val="en-US" w:eastAsia="zh-CN"/>
        </w:rPr>
      </w:pPr>
      <w:r>
        <w:rPr>
          <w:rFonts w:hint="eastAsia" w:ascii="Times New Roman" w:hAnsi="Times New Roman" w:eastAsia="仿宋_GB2312"/>
          <w:b/>
          <w:bCs/>
          <w:color w:val="auto"/>
          <w:sz w:val="32"/>
          <w:szCs w:val="32"/>
          <w:lang w:eastAsia="zh-CN"/>
        </w:rPr>
        <w:t>（三）存在的问题及原因分析</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一是科技中心是公益二类事业单位，年初预算资金较少，需要年中财政追加资金才能确保单位正常运转，</w:t>
      </w:r>
      <w:r>
        <w:rPr>
          <w:rFonts w:hint="eastAsia" w:ascii="Times New Roman" w:hAnsi="Times New Roman" w:eastAsia="仿宋_GB2312"/>
          <w:color w:val="auto"/>
          <w:sz w:val="32"/>
          <w:szCs w:val="32"/>
          <w:lang w:eastAsia="zh-CN"/>
        </w:rPr>
        <w:t>中心资金压力</w:t>
      </w:r>
      <w:r>
        <w:rPr>
          <w:rFonts w:hint="eastAsia" w:ascii="Times New Roman" w:hAnsi="Times New Roman" w:eastAsia="仿宋_GB2312"/>
          <w:color w:val="auto"/>
          <w:sz w:val="32"/>
          <w:szCs w:val="32"/>
          <w:lang w:val="en-US" w:eastAsia="zh-CN"/>
        </w:rPr>
        <w:t>较</w:t>
      </w:r>
      <w:r>
        <w:rPr>
          <w:rFonts w:hint="eastAsia" w:ascii="Times New Roman" w:hAnsi="Times New Roman" w:eastAsia="仿宋_GB2312"/>
          <w:color w:val="auto"/>
          <w:sz w:val="32"/>
          <w:szCs w:val="32"/>
          <w:lang w:eastAsia="zh-CN"/>
        </w:rPr>
        <w:t>大，</w:t>
      </w:r>
      <w:r>
        <w:rPr>
          <w:rFonts w:hint="eastAsia" w:ascii="Times New Roman" w:hAnsi="Times New Roman" w:eastAsia="仿宋_GB2312"/>
          <w:color w:val="auto"/>
          <w:sz w:val="32"/>
          <w:szCs w:val="32"/>
          <w:lang w:val="en-US" w:eastAsia="zh-CN"/>
        </w:rPr>
        <w:t>对中心的工作开展有影响。二是因工作经费不足等原因，科技中心职能没有充分发挥，</w:t>
      </w:r>
      <w:r>
        <w:rPr>
          <w:rFonts w:hint="default" w:ascii="Times New Roman" w:hAnsi="Times New Roman" w:eastAsia="仿宋_GB2312"/>
          <w:color w:val="auto"/>
          <w:sz w:val="32"/>
          <w:szCs w:val="32"/>
          <w:lang w:val="en-US" w:eastAsia="zh-CN"/>
        </w:rPr>
        <w:t>中试、示范和技术推广</w:t>
      </w:r>
      <w:r>
        <w:rPr>
          <w:rFonts w:hint="eastAsia" w:ascii="Times New Roman" w:hAnsi="Times New Roman" w:eastAsia="仿宋_GB2312"/>
          <w:color w:val="auto"/>
          <w:sz w:val="32"/>
          <w:szCs w:val="32"/>
          <w:lang w:val="en-US" w:eastAsia="zh-CN"/>
        </w:rPr>
        <w:t>方面</w:t>
      </w:r>
      <w:r>
        <w:rPr>
          <w:rFonts w:hint="default" w:ascii="Times New Roman" w:hAnsi="Times New Roman" w:eastAsia="仿宋_GB2312"/>
          <w:color w:val="auto"/>
          <w:sz w:val="32"/>
          <w:szCs w:val="32"/>
          <w:lang w:val="en-US" w:eastAsia="zh-CN"/>
        </w:rPr>
        <w:t>的职能</w:t>
      </w:r>
      <w:r>
        <w:rPr>
          <w:rFonts w:hint="eastAsia" w:ascii="Times New Roman" w:hAnsi="Times New Roman" w:eastAsia="仿宋_GB2312"/>
          <w:color w:val="auto"/>
          <w:sz w:val="32"/>
          <w:szCs w:val="32"/>
          <w:lang w:val="en-US" w:eastAsia="zh-CN"/>
        </w:rPr>
        <w:t>弱化。</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下一步改进措施：1、积极争取办点示范经费。</w:t>
      </w:r>
      <w:r>
        <w:rPr>
          <w:rFonts w:hint="default" w:ascii="Times New Roman" w:hAnsi="Times New Roman" w:eastAsia="仿宋_GB2312"/>
          <w:color w:val="auto"/>
          <w:sz w:val="32"/>
          <w:szCs w:val="32"/>
          <w:lang w:val="en-US" w:eastAsia="zh-CN"/>
        </w:rPr>
        <w:t>中试、示范和技术推广</w:t>
      </w:r>
      <w:r>
        <w:rPr>
          <w:rFonts w:hint="eastAsia" w:ascii="Times New Roman" w:hAnsi="Times New Roman" w:eastAsia="仿宋_GB2312"/>
          <w:color w:val="auto"/>
          <w:sz w:val="32"/>
          <w:szCs w:val="32"/>
          <w:lang w:val="en-US" w:eastAsia="zh-CN"/>
        </w:rPr>
        <w:t>方面的工作经费不足是</w:t>
      </w:r>
      <w:r>
        <w:rPr>
          <w:rFonts w:hint="default" w:ascii="Times New Roman" w:hAnsi="Times New Roman" w:eastAsia="仿宋_GB2312"/>
          <w:color w:val="auto"/>
          <w:sz w:val="32"/>
          <w:szCs w:val="32"/>
          <w:lang w:val="en-US" w:eastAsia="zh-CN"/>
        </w:rPr>
        <w:t>职能</w:t>
      </w:r>
      <w:r>
        <w:rPr>
          <w:rFonts w:hint="eastAsia" w:ascii="Times New Roman" w:hAnsi="Times New Roman" w:eastAsia="仿宋_GB2312"/>
          <w:color w:val="auto"/>
          <w:sz w:val="32"/>
          <w:szCs w:val="32"/>
          <w:lang w:val="en-US" w:eastAsia="zh-CN"/>
        </w:rPr>
        <w:t>弱化的主要原因。为此，要通过各种途径争取办点示范经费。一是积极参加政府购买服务项目，并争取中标，通过承担政府购买服务项目提供</w:t>
      </w:r>
      <w:r>
        <w:rPr>
          <w:rFonts w:hint="default" w:ascii="Times New Roman" w:hAnsi="Times New Roman" w:eastAsia="仿宋_GB2312"/>
          <w:color w:val="auto"/>
          <w:sz w:val="32"/>
          <w:szCs w:val="32"/>
          <w:lang w:val="en-US" w:eastAsia="zh-CN"/>
        </w:rPr>
        <w:t>中试、示范和技术推广</w:t>
      </w:r>
      <w:r>
        <w:rPr>
          <w:rFonts w:hint="eastAsia" w:ascii="Times New Roman" w:hAnsi="Times New Roman" w:eastAsia="仿宋_GB2312"/>
          <w:color w:val="auto"/>
          <w:sz w:val="32"/>
          <w:szCs w:val="32"/>
          <w:lang w:val="en-US" w:eastAsia="zh-CN"/>
        </w:rPr>
        <w:t>工作经费；二是经营好所办企业湖南省红满家现代农业开发有限责任公司（省粮油生产中心），利用下属企业的经营利润为</w:t>
      </w:r>
      <w:r>
        <w:rPr>
          <w:rFonts w:hint="default" w:ascii="Times New Roman" w:hAnsi="Times New Roman" w:eastAsia="仿宋_GB2312"/>
          <w:color w:val="auto"/>
          <w:sz w:val="32"/>
          <w:szCs w:val="32"/>
          <w:lang w:val="en-US" w:eastAsia="zh-CN"/>
        </w:rPr>
        <w:t>中试、示范和技术推广</w:t>
      </w:r>
      <w:r>
        <w:rPr>
          <w:rFonts w:hint="eastAsia" w:ascii="Times New Roman" w:hAnsi="Times New Roman" w:eastAsia="仿宋_GB2312"/>
          <w:color w:val="auto"/>
          <w:sz w:val="32"/>
          <w:szCs w:val="32"/>
          <w:lang w:val="en-US" w:eastAsia="zh-CN"/>
        </w:rPr>
        <w:t>提供工作经费；三是争取省财政厅和厅计划财务处的支持，增加这方面财政预算，或争取承担有关农业科技推广和科技服务项目。</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2、鼓励干部职工勤下基地。通过设立农业科技服务项目方式，采取分片包干、责任到人等方式，建立科技示范点，带动周边农民增产增收。通过办点示范，鼓励干部职工勤下基层提供科技服务，积极扶持</w:t>
      </w:r>
      <w:r>
        <w:rPr>
          <w:rFonts w:hint="eastAsia" w:ascii="Times New Roman" w:hAnsi="Times New Roman" w:eastAsia="仿宋_GB2312"/>
          <w:color w:val="auto"/>
          <w:sz w:val="32"/>
          <w:szCs w:val="32"/>
          <w:lang w:val="zh-CN" w:eastAsia="zh-CN"/>
        </w:rPr>
        <w:t>新型农业经营主体，</w:t>
      </w:r>
      <w:r>
        <w:rPr>
          <w:rFonts w:hint="eastAsia" w:ascii="Times New Roman" w:hAnsi="Times New Roman" w:eastAsia="仿宋_GB2312"/>
          <w:color w:val="auto"/>
          <w:sz w:val="32"/>
          <w:szCs w:val="32"/>
          <w:lang w:val="en-US" w:eastAsia="zh-CN"/>
        </w:rPr>
        <w:t>加快了科技成果转化、</w:t>
      </w:r>
      <w:r>
        <w:rPr>
          <w:rFonts w:hint="eastAsia" w:ascii="Times New Roman" w:hAnsi="Times New Roman" w:eastAsia="仿宋_GB2312"/>
          <w:color w:val="auto"/>
          <w:sz w:val="32"/>
          <w:szCs w:val="32"/>
          <w:lang w:val="zh-CN" w:eastAsia="zh-CN"/>
        </w:rPr>
        <w:t>加</w:t>
      </w:r>
      <w:r>
        <w:rPr>
          <w:rFonts w:hint="eastAsia" w:ascii="Times New Roman" w:hAnsi="Times New Roman" w:eastAsia="仿宋_GB2312"/>
          <w:color w:val="auto"/>
          <w:sz w:val="32"/>
          <w:szCs w:val="32"/>
          <w:lang w:val="en-US" w:eastAsia="zh-CN"/>
        </w:rPr>
        <w:t>速了新品种</w:t>
      </w:r>
      <w:r>
        <w:rPr>
          <w:rFonts w:hint="eastAsia" w:ascii="Times New Roman" w:hAnsi="Times New Roman" w:eastAsia="仿宋_GB2312"/>
          <w:color w:val="auto"/>
          <w:sz w:val="32"/>
          <w:szCs w:val="32"/>
          <w:lang w:val="zh-CN" w:eastAsia="zh-CN"/>
        </w:rPr>
        <w:t>新技术推广，</w:t>
      </w:r>
      <w:r>
        <w:rPr>
          <w:rFonts w:hint="eastAsia" w:ascii="Times New Roman" w:hAnsi="Times New Roman" w:eastAsia="仿宋_GB2312"/>
          <w:color w:val="auto"/>
          <w:sz w:val="32"/>
          <w:szCs w:val="32"/>
          <w:lang w:val="en-US" w:eastAsia="zh-CN"/>
        </w:rPr>
        <w:t>为巩固拓展脱贫攻坚重要成果，全面推进乡村振兴作出了重要贡献。对于在办点示范工作中做出突出贡献的干部职工要在保证工作经费，并在评优晋级等方面优先考虑。</w:t>
      </w:r>
    </w:p>
    <w:p>
      <w:pPr>
        <w:pStyle w:val="18"/>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3、加强与农业科研推广单位、新型经营主体的合作。一是加强与农业科研推广单位的合作，一方面组织农业专家、技术人员深入乡村、农户开展技术咨询、指导服务和示范培训等活动，另一方面充分利用的有关单位的科研成果，加速科技成果的转化与应用推广；二是加强与科技型企业、种养大户、家庭农场、合作社等新型农业经营主体的合作。一方面调动新型经营主体的积极性，调动自有资金参与科技成果转化，缓解</w:t>
      </w:r>
      <w:r>
        <w:rPr>
          <w:rFonts w:hint="default" w:ascii="Times New Roman" w:hAnsi="Times New Roman" w:eastAsia="仿宋_GB2312"/>
          <w:color w:val="auto"/>
          <w:sz w:val="32"/>
          <w:szCs w:val="32"/>
          <w:lang w:val="en-US" w:eastAsia="zh-CN"/>
        </w:rPr>
        <w:t>中试、示范和技术推广</w:t>
      </w:r>
      <w:r>
        <w:rPr>
          <w:rFonts w:hint="eastAsia" w:ascii="Times New Roman" w:hAnsi="Times New Roman" w:eastAsia="仿宋_GB2312"/>
          <w:color w:val="auto"/>
          <w:sz w:val="32"/>
          <w:szCs w:val="32"/>
          <w:lang w:val="en-US" w:eastAsia="zh-CN"/>
        </w:rPr>
        <w:t>项目资金压力，另一方面可通过扶持新型经营主体，以点带面，促进各地特色产业高质量发展。</w:t>
      </w:r>
    </w:p>
    <w:p>
      <w:pPr>
        <w:widowControl/>
        <w:spacing w:line="600" w:lineRule="exact"/>
        <w:ind w:firstLine="640" w:firstLineChars="200"/>
        <w:jc w:val="left"/>
        <w:rPr>
          <w:rFonts w:hint="eastAsia" w:ascii="宋体" w:hAnsi="宋体" w:eastAsia="宋体" w:cs="宋体"/>
          <w:color w:val="auto"/>
          <w:sz w:val="32"/>
          <w:szCs w:val="32"/>
        </w:rPr>
      </w:pPr>
    </w:p>
    <w:p>
      <w:pPr>
        <w:pStyle w:val="18"/>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宋体" w:hAnsi="宋体" w:eastAsia="宋体" w:cs="宋体"/>
          <w:b w:val="0"/>
          <w:bCs w:val="0"/>
          <w:color w:val="auto"/>
          <w:sz w:val="32"/>
          <w:szCs w:val="32"/>
          <w:lang w:val="en-US" w:eastAsia="zh-CN"/>
        </w:rPr>
      </w:pPr>
    </w:p>
    <w:p>
      <w:pPr>
        <w:pStyle w:val="18"/>
        <w:jc w:val="center"/>
        <w:rPr>
          <w:color w:val="auto"/>
          <w:sz w:val="72"/>
          <w:szCs w:val="72"/>
        </w:rPr>
      </w:pPr>
    </w:p>
    <w:p>
      <w:pPr>
        <w:pStyle w:val="18"/>
        <w:jc w:val="center"/>
        <w:rPr>
          <w:color w:val="auto"/>
          <w:sz w:val="72"/>
          <w:szCs w:val="72"/>
        </w:rPr>
      </w:pPr>
    </w:p>
    <w:p>
      <w:pPr>
        <w:pStyle w:val="18"/>
        <w:jc w:val="center"/>
        <w:rPr>
          <w:color w:val="auto"/>
          <w:sz w:val="72"/>
          <w:szCs w:val="72"/>
        </w:rPr>
      </w:pPr>
    </w:p>
    <w:p>
      <w:pPr>
        <w:pStyle w:val="18"/>
        <w:jc w:val="center"/>
        <w:rPr>
          <w:color w:val="auto"/>
          <w:sz w:val="72"/>
          <w:szCs w:val="72"/>
        </w:rPr>
      </w:pPr>
    </w:p>
    <w:p>
      <w:pPr>
        <w:pStyle w:val="18"/>
        <w:jc w:val="center"/>
        <w:rPr>
          <w:color w:val="auto"/>
          <w:sz w:val="72"/>
          <w:szCs w:val="72"/>
        </w:rPr>
      </w:pPr>
    </w:p>
    <w:p>
      <w:pPr>
        <w:pStyle w:val="18"/>
        <w:jc w:val="center"/>
        <w:rPr>
          <w:sz w:val="72"/>
          <w:szCs w:val="72"/>
        </w:rPr>
      </w:pPr>
    </w:p>
    <w:p>
      <w:pPr>
        <w:pStyle w:val="18"/>
        <w:jc w:val="center"/>
        <w:rPr>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rFonts w:hint="eastAsia"/>
          <w:sz w:val="72"/>
          <w:szCs w:val="72"/>
        </w:rPr>
      </w:pPr>
    </w:p>
    <w:p>
      <w:pPr>
        <w:pStyle w:val="18"/>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8"/>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p>
    <w:p>
      <w:pPr>
        <w:pStyle w:val="18"/>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8"/>
        <w:jc w:val="center"/>
        <w:rPr>
          <w:rFonts w:hint="eastAsia" w:ascii="方正小标宋_GBK" w:hAnsi="方正小标宋_GBK" w:eastAsia="方正小标宋_GBK" w:cs="方正小标宋_GBK"/>
          <w:sz w:val="70"/>
          <w:szCs w:val="70"/>
        </w:rPr>
      </w:pPr>
    </w:p>
    <w:p>
      <w:pPr>
        <w:pStyle w:val="18"/>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jc w:val="center"/>
        <w:rPr>
          <w:sz w:val="72"/>
          <w:szCs w:val="72"/>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18"/>
        <w:jc w:val="center"/>
        <w:rPr>
          <w:sz w:val="32"/>
          <w:szCs w:val="32"/>
        </w:rPr>
      </w:pPr>
    </w:p>
    <w:p>
      <w:pPr>
        <w:ind w:firstLine="640" w:firstLineChars="200"/>
        <w:jc w:val="center"/>
        <w:rPr>
          <w:rFonts w:hint="eastAsia" w:cs="黑体" w:asciiTheme="minorEastAsia" w:hAnsiTheme="minorEastAsia" w:eastAsiaTheme="minorEastAsia"/>
          <w:b/>
          <w:color w:val="000000"/>
          <w:kern w:val="0"/>
          <w:sz w:val="32"/>
          <w:szCs w:val="32"/>
          <w:lang w:eastAsia="zh-CN"/>
        </w:rPr>
      </w:pPr>
      <w:r>
        <w:rPr>
          <w:rFonts w:hint="eastAsia" w:cs="黑体" w:asciiTheme="minorEastAsia" w:hAnsiTheme="minorEastAsia"/>
          <w:b/>
          <w:color w:val="000000"/>
          <w:kern w:val="0"/>
          <w:sz w:val="32"/>
          <w:szCs w:val="32"/>
        </w:rPr>
        <w:t>202</w:t>
      </w:r>
      <w:r>
        <w:rPr>
          <w:rFonts w:hint="eastAsia" w:cs="黑体" w:asciiTheme="minorEastAsia" w:hAnsiTheme="minorEastAsia"/>
          <w:b/>
          <w:color w:val="000000"/>
          <w:kern w:val="0"/>
          <w:sz w:val="32"/>
          <w:szCs w:val="32"/>
          <w:lang w:val="en-US" w:eastAsia="zh-CN"/>
        </w:rPr>
        <w:t>3</w:t>
      </w:r>
      <w:r>
        <w:rPr>
          <w:rFonts w:hint="eastAsia" w:cs="黑体" w:asciiTheme="minorEastAsia" w:hAnsiTheme="minorEastAsia"/>
          <w:b/>
          <w:color w:val="000000"/>
          <w:kern w:val="0"/>
          <w:sz w:val="32"/>
          <w:szCs w:val="32"/>
        </w:rPr>
        <w:t>年度</w:t>
      </w:r>
      <w:r>
        <w:rPr>
          <w:rFonts w:hint="eastAsia" w:cs="黑体" w:asciiTheme="minorEastAsia" w:hAnsiTheme="minorEastAsia"/>
          <w:b/>
          <w:color w:val="000000"/>
          <w:kern w:val="0"/>
          <w:sz w:val="32"/>
          <w:szCs w:val="32"/>
          <w:lang w:eastAsia="zh-CN"/>
        </w:rPr>
        <w:t>湖南省</w:t>
      </w:r>
      <w:r>
        <w:rPr>
          <w:rFonts w:hint="eastAsia" w:cs="黑体" w:asciiTheme="minorEastAsia" w:hAnsiTheme="minorEastAsia"/>
          <w:b/>
          <w:color w:val="000000"/>
          <w:kern w:val="0"/>
          <w:sz w:val="32"/>
          <w:szCs w:val="32"/>
          <w:lang w:val="en-US" w:eastAsia="zh-CN"/>
        </w:rPr>
        <w:t>农业科技</w:t>
      </w:r>
      <w:r>
        <w:rPr>
          <w:rFonts w:hint="eastAsia" w:cs="黑体" w:asciiTheme="minorEastAsia" w:hAnsiTheme="minorEastAsia"/>
          <w:b/>
          <w:color w:val="000000"/>
          <w:kern w:val="0"/>
          <w:sz w:val="32"/>
          <w:szCs w:val="32"/>
          <w:lang w:eastAsia="zh-CN"/>
        </w:rPr>
        <w:t>服务中心</w:t>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单位</w:t>
      </w:r>
      <w:r>
        <w:rPr>
          <w:rFonts w:hint="eastAsia" w:cs="黑体" w:asciiTheme="minorEastAsia" w:hAnsiTheme="minorEastAsia"/>
          <w:b/>
          <w:color w:val="000000"/>
          <w:kern w:val="0"/>
          <w:sz w:val="32"/>
          <w:szCs w:val="32"/>
        </w:rPr>
        <w:t>整体支出绩效</w:t>
      </w:r>
      <w:r>
        <w:rPr>
          <w:rFonts w:hint="eastAsia" w:cs="黑体" w:asciiTheme="minorEastAsia" w:hAnsiTheme="minorEastAsia"/>
          <w:b/>
          <w:color w:val="000000"/>
          <w:kern w:val="0"/>
          <w:sz w:val="32"/>
          <w:szCs w:val="32"/>
          <w:lang w:val="en-US" w:eastAsia="zh-CN"/>
        </w:rPr>
        <w:t>自评</w:t>
      </w:r>
      <w:r>
        <w:rPr>
          <w:rFonts w:hint="eastAsia" w:cs="黑体" w:asciiTheme="minorEastAsia" w:hAnsiTheme="minorEastAsia"/>
          <w:b/>
          <w:color w:val="000000"/>
          <w:kern w:val="0"/>
          <w:sz w:val="32"/>
          <w:szCs w:val="32"/>
        </w:rPr>
        <w:t>报告</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根据《中共中央国务院关于全面实施预算绩效管理的意见》（中发〔2018〕34号）、财政部《财政支出绩效评价管理暂行办法》（财预〔2020〕10号）、《中共湖南省委办公厅 湖南省人民政府办公厅关于全面实施预算绩效管理的实施意见》（湘办发〔2019〕10号）和湖南省财政厅关于开展2023年度省本级部门决算批复和公开工作的函等文件精神要求,为加强预算绩效管理,提高资金使用效益,我中心对2023年度单位整体支出情况进行了绩效自评，现报告如下：</w:t>
      </w:r>
    </w:p>
    <w:p>
      <w:pPr>
        <w:pStyle w:val="2"/>
        <w:numPr>
          <w:ilvl w:val="0"/>
          <w:numId w:val="2"/>
        </w:numPr>
        <w:bidi w:val="0"/>
        <w:ind w:left="1350" w:leftChars="0" w:firstLineChars="0"/>
        <w:rPr>
          <w:rFonts w:hint="eastAsia" w:ascii="宋体" w:hAnsi="宋体" w:eastAsia="宋体" w:cs="宋体"/>
          <w:b/>
          <w:bCs w:val="0"/>
          <w:sz w:val="32"/>
          <w:szCs w:val="32"/>
        </w:rPr>
      </w:pPr>
      <w:r>
        <w:rPr>
          <w:rFonts w:hint="eastAsia" w:ascii="宋体" w:hAnsi="宋体" w:eastAsia="宋体" w:cs="宋体"/>
          <w:b/>
          <w:bCs w:val="0"/>
          <w:sz w:val="32"/>
          <w:szCs w:val="32"/>
        </w:rPr>
        <w:t>单位基本情况</w:t>
      </w:r>
    </w:p>
    <w:p>
      <w:pPr>
        <w:pStyle w:val="3"/>
        <w:numPr>
          <w:ilvl w:val="0"/>
          <w:numId w:val="3"/>
        </w:num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单位职责</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kern w:val="2"/>
          <w:sz w:val="32"/>
          <w:szCs w:val="32"/>
          <w:lang w:val="en-US" w:eastAsia="zh-CN" w:bidi="ar-SA"/>
        </w:rPr>
        <w:t>湖南省农业科技服务中心是湖南省农业农村厅下属正处级公益二类事业单位，主要职能是促进湖南现代农业的发展、提供农业技术支持、科技服务和科技培训、农业新技术开发、试验示范与推广应用、农业科技成果转化、农业科技项目实施及农业社会化服务。具体职责：</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1、贯彻国家和省有关农业科技方面的法律法规和政策；开展农业科技相关调查研究，提供对策建议，供省农业农村厅决策参考；参与地方农业科技规划的编制。</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2、协助省农业农业厅相关业务处、室、站做好科技服务工作。</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3、承担农业科技成果的转化、市场开发和农业科技培训、咨询服务工作。主要包括农业新品种、新产品、新技术的试验、示范和推广开发工作。</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4、接受农业科技成果评价委托，提供农业科技成果评价服务。</w:t>
      </w:r>
    </w:p>
    <w:p>
      <w:p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5、完成省农业农村厅交办的其他工作。</w:t>
      </w:r>
    </w:p>
    <w:p>
      <w:pPr>
        <w:pStyle w:val="3"/>
        <w:numPr>
          <w:ilvl w:val="0"/>
          <w:numId w:val="3"/>
        </w:num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机构设置及人员情况</w:t>
      </w:r>
    </w:p>
    <w:p>
      <w:pPr>
        <w:numPr>
          <w:ilvl w:val="0"/>
          <w:numId w:val="4"/>
        </w:numPr>
        <w:spacing w:line="580" w:lineRule="exact"/>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机构设置：</w:t>
      </w:r>
    </w:p>
    <w:p>
      <w:pPr>
        <w:numPr>
          <w:ilvl w:val="0"/>
          <w:numId w:val="0"/>
        </w:numPr>
        <w:spacing w:line="58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湖南省农业科技服务中心内设机构包括办公室、财务科、农业科技服务科、科技成果转化科及科技培训科（加挂科技成果评价科）共5个科室。</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2、人员编制：</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科技中心有事业编制16名，实际在职员工15人，退休人员14人。</w:t>
      </w:r>
    </w:p>
    <w:p>
      <w:pPr>
        <w:pStyle w:val="2"/>
        <w:numPr>
          <w:ilvl w:val="0"/>
          <w:numId w:val="2"/>
        </w:numPr>
        <w:bidi w:val="0"/>
        <w:ind w:left="1350" w:leftChars="0" w:firstLineChars="0"/>
        <w:rPr>
          <w:rFonts w:hint="eastAsia" w:ascii="宋体" w:hAnsi="宋体" w:eastAsia="宋体" w:cs="宋体"/>
          <w:b/>
          <w:bCs w:val="0"/>
          <w:sz w:val="32"/>
          <w:szCs w:val="32"/>
          <w:lang w:val="en-US" w:eastAsia="zh-CN"/>
        </w:rPr>
      </w:pPr>
      <w:r>
        <w:rPr>
          <w:rFonts w:hint="eastAsia" w:ascii="宋体" w:hAnsi="宋体" w:eastAsia="宋体" w:cs="宋体"/>
          <w:b/>
          <w:bCs w:val="0"/>
          <w:sz w:val="32"/>
          <w:szCs w:val="32"/>
          <w:lang w:val="en-US" w:eastAsia="zh-CN"/>
        </w:rPr>
        <w:t>单位整体收支情况</w:t>
      </w:r>
    </w:p>
    <w:p>
      <w:pP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highlight w:val="none"/>
          <w:lang w:val="en-US" w:eastAsia="zh-CN"/>
        </w:rPr>
        <w:t xml:space="preserve">  </w:t>
      </w:r>
      <w:r>
        <w:rPr>
          <w:rFonts w:hint="eastAsia" w:ascii="仿宋" w:hAnsi="仿宋" w:eastAsia="仿宋" w:cs="仿宋"/>
          <w:color w:val="000000" w:themeColor="text1"/>
          <w:sz w:val="32"/>
          <w:szCs w:val="32"/>
          <w:highlight w:val="none"/>
          <w:lang w:val="en-US" w:eastAsia="zh-CN"/>
          <w14:textFill>
            <w14:solidFill>
              <w14:schemeClr w14:val="tx1"/>
            </w14:solidFill>
          </w14:textFill>
        </w:rPr>
        <w:t xml:space="preserve"> </w:t>
      </w:r>
      <w:r>
        <w:rPr>
          <w:rFonts w:hint="eastAsia" w:ascii="仿宋" w:hAnsi="仿宋" w:eastAsia="仿宋" w:cs="仿宋"/>
          <w:b w:val="0"/>
          <w:bCs/>
          <w:color w:val="000000" w:themeColor="text1"/>
          <w:kern w:val="0"/>
          <w:sz w:val="32"/>
          <w:szCs w:val="32"/>
          <w14:textFill>
            <w14:solidFill>
              <w14:schemeClr w14:val="tx1"/>
            </w14:solidFill>
          </w14:textFill>
        </w:rPr>
        <w:t>202</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年湖南省农业科技服务中心收入年初预算数为408万元，年中财政追加286.62万元，财政拨款收入共694.62万元，事业收入141.68万元，其他收入11.55万元，本年收入合计847.85万元。年初结转和结余0万元，使用非财政拨款结余166.64万元，整体收入总计1014.49万元。</w:t>
      </w:r>
    </w:p>
    <w:p>
      <w:pPr>
        <w:ind w:firstLine="640" w:firstLineChars="200"/>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本年支出合计926.99万元，其中：基本支出509.71万元，占54.98%；项目支出417.28元，占45.02%。</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bidi="ar-SA"/>
          <w14:textFill>
            <w14:solidFill>
              <w14:schemeClr w14:val="tx1"/>
            </w14:solidFill>
          </w14:textFill>
        </w:rPr>
        <w:t>年末结转和结余资金87.5万元，其中：基本支出年末结转和结余资金0万元，项目支出年末结转和结余资金87.5万元。</w:t>
      </w:r>
    </w:p>
    <w:p>
      <w:pPr>
        <w:pStyle w:val="19"/>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kern w:val="2"/>
          <w:sz w:val="32"/>
          <w:szCs w:val="32"/>
          <w:lang w:val="en-US" w:eastAsia="zh-CN" w:bidi="ar-SA"/>
        </w:rPr>
      </w:pPr>
    </w:p>
    <w:p>
      <w:pPr>
        <w:pStyle w:val="2"/>
        <w:numPr>
          <w:ilvl w:val="0"/>
          <w:numId w:val="2"/>
        </w:numPr>
        <w:bidi w:val="0"/>
        <w:ind w:left="1350" w:leftChars="0" w:firstLineChars="0"/>
        <w:rPr>
          <w:rFonts w:hint="eastAsia" w:ascii="宋体" w:hAnsi="宋体" w:eastAsia="宋体" w:cs="宋体"/>
          <w:b/>
          <w:bCs w:val="0"/>
          <w:sz w:val="32"/>
          <w:szCs w:val="32"/>
        </w:rPr>
      </w:pPr>
      <w:r>
        <w:rPr>
          <w:rFonts w:hint="eastAsia" w:ascii="宋体" w:hAnsi="宋体" w:eastAsia="宋体" w:cs="宋体"/>
          <w:b/>
          <w:bCs w:val="0"/>
          <w:sz w:val="32"/>
          <w:szCs w:val="32"/>
        </w:rPr>
        <w:t>一般公共预算支出情况</w:t>
      </w:r>
    </w:p>
    <w:p>
      <w:pPr>
        <w:ind w:firstLine="640" w:firstLineChars="200"/>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2023年省农业科技服务中心一般公共预算收入694.62万元，其中部门预算收入为694.62万元，上年结转结余0万元。全年一般公共预算支出共计694.62万元，年末结转结余0万元。</w:t>
      </w:r>
    </w:p>
    <w:p>
      <w:pPr>
        <w:numPr>
          <w:ilvl w:val="0"/>
          <w:numId w:val="0"/>
        </w:numPr>
        <w:ind w:firstLine="640" w:firstLineChars="200"/>
        <w:rPr>
          <w:rFonts w:hint="eastAsia" w:ascii="宋体" w:hAnsi="宋体" w:eastAsia="宋体" w:cs="宋体"/>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1.基本支出情况</w:t>
      </w:r>
      <w:r>
        <w:rPr>
          <w:rFonts w:hint="eastAsia" w:ascii="宋体" w:hAnsi="宋体" w:eastAsia="宋体" w:cs="宋体"/>
          <w:color w:val="auto"/>
          <w:kern w:val="2"/>
          <w:sz w:val="32"/>
          <w:szCs w:val="32"/>
          <w:lang w:val="en-US" w:eastAsia="zh-CN" w:bidi="ar-SA"/>
        </w:rPr>
        <w:t>。</w:t>
      </w: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2023年度省农业科技服务中心一般公共预算支出中基本支出预算为319.62万元，上年结转结余0万元，全年一般公共预算支出中基本支出共计319.62万元，年末结转结余0万元。其中：人员经费319.62万元，占基本支出的100%,主要包括基本工资、津贴补贴、奖金、伙食补助费等。</w:t>
      </w:r>
    </w:p>
    <w:p>
      <w:pPr>
        <w:ind w:firstLine="640" w:firstLineChars="200"/>
        <w:rPr>
          <w:rFonts w:hint="eastAsia"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2.项目支出情况。</w:t>
      </w:r>
    </w:p>
    <w:p>
      <w:pPr>
        <w:ind w:firstLine="640" w:firstLineChars="200"/>
        <w:rPr>
          <w:rFonts w:hint="eastAsia" w:ascii="宋体" w:hAnsi="宋体" w:eastAsia="宋体" w:cs="宋体"/>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2023年度省农业科技服务中心一般公共预算支出中项目支出预算为375万元，上年结转结余0万元，全年一般公共预算项目支出375万元，年末结转结余0万元。其中：商品和服务支出375万元。</w:t>
      </w:r>
    </w:p>
    <w:p>
      <w:pPr>
        <w:ind w:firstLine="640" w:firstLineChars="200"/>
        <w:rPr>
          <w:rFonts w:hint="default"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3.省级专项资金项目支出情况。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lang w:eastAsia="zh-CN"/>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年</w:t>
      </w:r>
      <w:r>
        <w:rPr>
          <w:rFonts w:hint="eastAsia" w:ascii="仿宋" w:hAnsi="仿宋" w:eastAsia="仿宋" w:cs="仿宋"/>
          <w:color w:val="auto"/>
          <w:sz w:val="32"/>
          <w:szCs w:val="32"/>
          <w:shd w:val="clear" w:color="auto" w:fill="FFFFFF"/>
        </w:rPr>
        <w:t>我单位共安排省级专项</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lang w:val="en-US" w:eastAsia="zh-CN"/>
        </w:rPr>
        <w:t>1</w:t>
      </w:r>
      <w:r>
        <w:rPr>
          <w:rFonts w:hint="eastAsia" w:ascii="仿宋" w:hAnsi="仿宋" w:eastAsia="仿宋" w:cs="仿宋"/>
          <w:color w:val="auto"/>
          <w:sz w:val="32"/>
          <w:szCs w:val="32"/>
          <w:shd w:val="clear" w:color="auto" w:fill="FFFFFF"/>
          <w:lang w:eastAsia="zh-CN"/>
        </w:rPr>
        <w:t>）</w:t>
      </w:r>
      <w:r>
        <w:rPr>
          <w:rFonts w:hint="eastAsia" w:ascii="仿宋" w:hAnsi="仿宋" w:eastAsia="仿宋" w:cs="仿宋"/>
          <w:color w:val="auto"/>
          <w:sz w:val="32"/>
          <w:szCs w:val="32"/>
          <w:shd w:val="clear" w:color="auto" w:fill="FFFFFF"/>
        </w:rPr>
        <w:t>现代</w:t>
      </w:r>
      <w:r>
        <w:rPr>
          <w:rFonts w:hint="eastAsia" w:ascii="仿宋" w:hAnsi="仿宋" w:eastAsia="仿宋" w:cs="仿宋"/>
          <w:color w:val="000000"/>
          <w:sz w:val="32"/>
          <w:szCs w:val="32"/>
          <w:shd w:val="clear" w:color="auto" w:fill="FFFFFF"/>
        </w:rPr>
        <w:t>农业发展专项资金</w:t>
      </w:r>
      <w:r>
        <w:rPr>
          <w:rFonts w:hint="eastAsia" w:ascii="仿宋" w:hAnsi="仿宋" w:eastAsia="仿宋" w:cs="仿宋"/>
          <w:kern w:val="2"/>
          <w:sz w:val="32"/>
          <w:szCs w:val="32"/>
          <w:lang w:val="en-US" w:eastAsia="zh-CN" w:bidi="ar-SA"/>
        </w:rPr>
        <w:t>141万元，主要用于</w:t>
      </w:r>
      <w:r>
        <w:rPr>
          <w:rFonts w:hint="eastAsia" w:ascii="仿宋" w:hAnsi="仿宋" w:eastAsia="仿宋" w:cs="仿宋"/>
          <w:sz w:val="32"/>
          <w:szCs w:val="32"/>
          <w:lang w:val="en-US" w:eastAsia="zh-CN"/>
        </w:rPr>
        <w:t>设立8个农业科技服务示范点，带动周边1000余户农民增产增收。通过办点示范，鼓励干部职工勤下基层提供科技服务，积极扶持</w:t>
      </w:r>
      <w:r>
        <w:rPr>
          <w:rFonts w:hint="eastAsia" w:ascii="仿宋" w:hAnsi="仿宋" w:eastAsia="仿宋" w:cs="仿宋"/>
          <w:sz w:val="32"/>
          <w:szCs w:val="32"/>
          <w:lang w:val="zh-CN" w:eastAsia="zh-CN"/>
        </w:rPr>
        <w:t>新型农业经营主体，</w:t>
      </w:r>
      <w:r>
        <w:rPr>
          <w:rFonts w:hint="eastAsia" w:ascii="仿宋" w:hAnsi="仿宋" w:eastAsia="仿宋" w:cs="仿宋"/>
          <w:sz w:val="32"/>
          <w:szCs w:val="32"/>
          <w:lang w:val="en-US" w:eastAsia="zh-CN"/>
        </w:rPr>
        <w:t>加快了科技成果转化、</w:t>
      </w:r>
      <w:r>
        <w:rPr>
          <w:rFonts w:hint="eastAsia" w:ascii="仿宋" w:hAnsi="仿宋" w:eastAsia="仿宋" w:cs="仿宋"/>
          <w:sz w:val="32"/>
          <w:szCs w:val="32"/>
          <w:lang w:val="zh-CN" w:eastAsia="zh-CN"/>
        </w:rPr>
        <w:t>加</w:t>
      </w:r>
      <w:r>
        <w:rPr>
          <w:rFonts w:hint="eastAsia" w:ascii="仿宋" w:hAnsi="仿宋" w:eastAsia="仿宋" w:cs="仿宋"/>
          <w:sz w:val="32"/>
          <w:szCs w:val="32"/>
          <w:lang w:val="en-US" w:eastAsia="zh-CN"/>
        </w:rPr>
        <w:t>速了新品种</w:t>
      </w:r>
      <w:r>
        <w:rPr>
          <w:rFonts w:hint="eastAsia" w:ascii="仿宋" w:hAnsi="仿宋" w:eastAsia="仿宋" w:cs="仿宋"/>
          <w:sz w:val="32"/>
          <w:szCs w:val="32"/>
          <w:lang w:val="zh-CN" w:eastAsia="zh-CN"/>
        </w:rPr>
        <w:t>新技术推广，</w:t>
      </w:r>
      <w:r>
        <w:rPr>
          <w:rFonts w:hint="eastAsia" w:ascii="仿宋" w:hAnsi="仿宋" w:eastAsia="仿宋" w:cs="仿宋"/>
          <w:sz w:val="32"/>
          <w:szCs w:val="32"/>
          <w:lang w:val="en-US" w:eastAsia="zh-CN"/>
        </w:rPr>
        <w:t>为巩固脱贫攻坚重要成果，助力乡村振兴作出了重要贡献。（2）</w:t>
      </w:r>
      <w:r>
        <w:rPr>
          <w:rFonts w:hint="eastAsia" w:ascii="仿宋" w:hAnsi="仿宋" w:eastAsia="仿宋" w:cs="仿宋"/>
          <w:kern w:val="2"/>
          <w:sz w:val="32"/>
          <w:szCs w:val="32"/>
          <w:lang w:val="en-US" w:eastAsia="zh-CN" w:bidi="ar-SA"/>
        </w:rPr>
        <w:t>体系能力建设与补短板(市县)234万元，主要用于《湖南农业》杂志科技推广服务平台运行维护。</w:t>
      </w:r>
      <w:r>
        <w:rPr>
          <w:rFonts w:hint="eastAsia" w:ascii="仿宋" w:hAnsi="仿宋" w:eastAsia="仿宋" w:cs="仿宋"/>
          <w:sz w:val="32"/>
          <w:szCs w:val="32"/>
          <w:lang w:val="en-US" w:eastAsia="zh-CN"/>
        </w:rPr>
        <w:t xml:space="preserve">  </w:t>
      </w:r>
    </w:p>
    <w:p>
      <w:pPr>
        <w:pStyle w:val="19"/>
        <w:widowControl/>
        <w:numPr>
          <w:ilvl w:val="0"/>
          <w:numId w:val="2"/>
        </w:numPr>
        <w:spacing w:line="600" w:lineRule="exact"/>
        <w:ind w:left="1350" w:leftChars="0" w:firstLineChars="0"/>
        <w:jc w:val="left"/>
        <w:rPr>
          <w:rFonts w:hint="eastAsia" w:ascii="宋体" w:hAnsi="宋体" w:eastAsia="宋体" w:cs="宋体"/>
          <w:b/>
          <w:bCs/>
          <w:sz w:val="32"/>
          <w:szCs w:val="32"/>
        </w:rPr>
      </w:pPr>
      <w:r>
        <w:rPr>
          <w:rFonts w:hint="eastAsia" w:ascii="宋体" w:hAnsi="宋体" w:eastAsia="宋体" w:cs="宋体"/>
          <w:b/>
          <w:bCs/>
          <w:sz w:val="32"/>
          <w:szCs w:val="32"/>
        </w:rPr>
        <w:t>政府性基金预算支出情况</w:t>
      </w:r>
    </w:p>
    <w:p>
      <w:pPr>
        <w:pStyle w:val="19"/>
        <w:widowControl/>
        <w:numPr>
          <w:ilvl w:val="0"/>
          <w:numId w:val="0"/>
        </w:numPr>
        <w:spacing w:line="600" w:lineRule="exact"/>
        <w:ind w:left="640" w:leftChars="0"/>
        <w:jc w:val="left"/>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无。</w:t>
      </w:r>
    </w:p>
    <w:p>
      <w:pPr>
        <w:pStyle w:val="19"/>
        <w:widowControl/>
        <w:numPr>
          <w:ilvl w:val="0"/>
          <w:numId w:val="2"/>
        </w:numPr>
        <w:spacing w:line="600" w:lineRule="exact"/>
        <w:ind w:left="1350" w:leftChars="0" w:firstLineChars="0"/>
        <w:jc w:val="left"/>
        <w:rPr>
          <w:rFonts w:hint="eastAsia" w:ascii="宋体" w:hAnsi="宋体" w:eastAsia="宋体" w:cs="宋体"/>
          <w:b/>
          <w:bCs/>
          <w:sz w:val="32"/>
          <w:szCs w:val="32"/>
        </w:rPr>
      </w:pPr>
      <w:r>
        <w:rPr>
          <w:rFonts w:hint="eastAsia" w:ascii="宋体" w:hAnsi="宋体" w:eastAsia="宋体" w:cs="宋体"/>
          <w:b/>
          <w:bCs/>
          <w:sz w:val="32"/>
          <w:szCs w:val="32"/>
        </w:rPr>
        <w:t>国有资本经营预算支出情况</w:t>
      </w:r>
    </w:p>
    <w:p>
      <w:pPr>
        <w:pStyle w:val="19"/>
        <w:widowControl/>
        <w:numPr>
          <w:ilvl w:val="0"/>
          <w:numId w:val="0"/>
        </w:numPr>
        <w:spacing w:line="600" w:lineRule="exact"/>
        <w:ind w:left="640" w:leftChars="0"/>
        <w:jc w:val="left"/>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无。</w:t>
      </w:r>
    </w:p>
    <w:p>
      <w:pPr>
        <w:pStyle w:val="19"/>
        <w:widowControl/>
        <w:numPr>
          <w:ilvl w:val="0"/>
          <w:numId w:val="2"/>
        </w:numPr>
        <w:spacing w:line="600" w:lineRule="exact"/>
        <w:ind w:left="1350" w:leftChars="0" w:firstLineChars="0"/>
        <w:jc w:val="left"/>
        <w:rPr>
          <w:rFonts w:hint="eastAsia" w:ascii="宋体" w:hAnsi="宋体" w:eastAsia="宋体" w:cs="宋体"/>
          <w:b/>
          <w:bCs/>
          <w:sz w:val="32"/>
          <w:szCs w:val="32"/>
        </w:rPr>
      </w:pPr>
      <w:r>
        <w:rPr>
          <w:rFonts w:hint="eastAsia" w:ascii="宋体" w:hAnsi="宋体" w:eastAsia="宋体" w:cs="宋体"/>
          <w:b/>
          <w:bCs/>
          <w:sz w:val="32"/>
          <w:szCs w:val="32"/>
        </w:rPr>
        <w:t>社会保险基金预算支出情况</w:t>
      </w:r>
    </w:p>
    <w:p>
      <w:pPr>
        <w:pStyle w:val="19"/>
        <w:widowControl/>
        <w:numPr>
          <w:ilvl w:val="0"/>
          <w:numId w:val="0"/>
        </w:numPr>
        <w:spacing w:line="600" w:lineRule="exact"/>
        <w:ind w:left="640" w:leftChars="0"/>
        <w:jc w:val="left"/>
        <w:rPr>
          <w:rFonts w:hint="eastAsia" w:ascii="仿宋" w:hAnsi="仿宋" w:eastAsia="仿宋" w:cs="仿宋"/>
          <w:color w:val="000000"/>
          <w:kern w:val="2"/>
          <w:sz w:val="32"/>
          <w:szCs w:val="32"/>
          <w:lang w:val="en-US" w:eastAsia="zh-CN" w:bidi="ar-SA"/>
        </w:rPr>
      </w:pPr>
      <w:r>
        <w:rPr>
          <w:rFonts w:hint="eastAsia" w:ascii="仿宋" w:hAnsi="仿宋" w:eastAsia="仿宋" w:cs="仿宋"/>
          <w:color w:val="000000"/>
          <w:kern w:val="2"/>
          <w:sz w:val="32"/>
          <w:szCs w:val="32"/>
          <w:lang w:val="en-US" w:eastAsia="zh-CN" w:bidi="ar-SA"/>
        </w:rPr>
        <w:t>无。</w:t>
      </w:r>
    </w:p>
    <w:p>
      <w:pPr>
        <w:ind w:firstLine="640" w:firstLineChars="200"/>
        <w:rPr>
          <w:rFonts w:hint="eastAsia" w:ascii="仿宋" w:hAnsi="仿宋" w:eastAsia="仿宋" w:cs="仿宋"/>
          <w:lang w:val="en-US" w:eastAsia="zh-CN"/>
        </w:rPr>
      </w:pPr>
      <w:r>
        <w:rPr>
          <w:rFonts w:hint="eastAsia" w:ascii="仿宋" w:hAnsi="仿宋" w:eastAsia="仿宋" w:cs="仿宋"/>
          <w:sz w:val="32"/>
          <w:szCs w:val="32"/>
          <w:lang w:val="en-US" w:eastAsia="zh-CN"/>
        </w:rPr>
        <w:t xml:space="preserve"> </w:t>
      </w:r>
    </w:p>
    <w:p>
      <w:pPr>
        <w:widowControl/>
        <w:numPr>
          <w:ilvl w:val="0"/>
          <w:numId w:val="2"/>
        </w:numPr>
        <w:spacing w:line="600" w:lineRule="exact"/>
        <w:ind w:left="1350" w:leftChars="0" w:hanging="720" w:firstLineChars="0"/>
        <w:jc w:val="left"/>
        <w:rPr>
          <w:rFonts w:hint="eastAsia" w:ascii="宋体" w:hAnsi="宋体" w:eastAsia="宋体" w:cs="宋体"/>
          <w:b/>
          <w:bCs/>
          <w:sz w:val="32"/>
          <w:szCs w:val="32"/>
        </w:rPr>
      </w:pPr>
      <w:r>
        <w:rPr>
          <w:rFonts w:hint="eastAsia" w:ascii="宋体" w:hAnsi="宋体" w:eastAsia="宋体" w:cs="宋体"/>
          <w:b/>
          <w:bCs/>
          <w:sz w:val="32"/>
          <w:szCs w:val="32"/>
          <w:lang w:val="en-US" w:eastAsia="zh-CN"/>
        </w:rPr>
        <w:t>单位</w:t>
      </w:r>
      <w:r>
        <w:rPr>
          <w:rFonts w:hint="eastAsia" w:ascii="宋体" w:hAnsi="宋体" w:eastAsia="宋体" w:cs="宋体"/>
          <w:b/>
          <w:bCs/>
          <w:sz w:val="32"/>
          <w:szCs w:val="32"/>
        </w:rPr>
        <w:t>整体支出绩效情况</w:t>
      </w:r>
    </w:p>
    <w:p>
      <w:pPr>
        <w:spacing w:line="560" w:lineRule="atLeast"/>
        <w:ind w:firstLine="64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（一）单位绩效目标完成情况</w:t>
      </w:r>
    </w:p>
    <w:p>
      <w:pPr>
        <w:ind w:firstLine="640" w:firstLineChars="200"/>
        <w:rPr>
          <w:rFonts w:hint="default" w:ascii="宋体" w:hAnsi="宋体" w:eastAsia="宋体" w:cs="宋体"/>
          <w:kern w:val="2"/>
          <w:sz w:val="32"/>
          <w:szCs w:val="32"/>
          <w:lang w:val="en-US" w:eastAsia="zh-CN" w:bidi="ar-SA"/>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年在省</w:t>
      </w:r>
      <w:r>
        <w:rPr>
          <w:rFonts w:hint="eastAsia" w:ascii="仿宋" w:hAnsi="仿宋" w:eastAsia="仿宋" w:cs="仿宋"/>
          <w:sz w:val="32"/>
          <w:szCs w:val="32"/>
          <w:lang w:eastAsia="zh-CN"/>
        </w:rPr>
        <w:t>农业农村厅</w:t>
      </w:r>
      <w:r>
        <w:rPr>
          <w:rFonts w:hint="eastAsia" w:ascii="仿宋" w:hAnsi="仿宋" w:eastAsia="仿宋" w:cs="仿宋"/>
          <w:sz w:val="32"/>
          <w:szCs w:val="32"/>
        </w:rPr>
        <w:t>的精心领导和机关各处室的关心支持下，</w:t>
      </w:r>
      <w:r>
        <w:rPr>
          <w:rFonts w:hint="eastAsia" w:ascii="仿宋" w:hAnsi="仿宋" w:eastAsia="仿宋" w:cs="仿宋"/>
          <w:sz w:val="32"/>
          <w:szCs w:val="32"/>
          <w:lang w:val="en-US" w:eastAsia="zh-CN"/>
        </w:rPr>
        <w:t>科技</w:t>
      </w:r>
      <w:r>
        <w:rPr>
          <w:rFonts w:hint="eastAsia" w:ascii="仿宋" w:hAnsi="仿宋" w:eastAsia="仿宋" w:cs="仿宋"/>
          <w:sz w:val="32"/>
          <w:szCs w:val="32"/>
        </w:rPr>
        <w:t>中心按照年初计划开展工作，</w:t>
      </w:r>
      <w:r>
        <w:rPr>
          <w:rFonts w:hint="eastAsia" w:ascii="仿宋" w:hAnsi="仿宋" w:eastAsia="仿宋" w:cs="仿宋"/>
          <w:sz w:val="32"/>
          <w:szCs w:val="32"/>
          <w:lang w:val="en-US" w:eastAsia="zh-CN"/>
        </w:rPr>
        <w:t>认真履行职责，较好地完成了年初确定的各项工作任务，加快了科技成果转化、促进了现代农业的发展</w:t>
      </w:r>
      <w:r>
        <w:rPr>
          <w:rFonts w:hint="eastAsia" w:ascii="仿宋" w:hAnsi="仿宋" w:eastAsia="仿宋" w:cs="仿宋"/>
          <w:sz w:val="32"/>
          <w:szCs w:val="32"/>
        </w:rPr>
        <w:t>。</w:t>
      </w:r>
      <w:r>
        <w:rPr>
          <w:rFonts w:hint="eastAsia" w:ascii="仿宋" w:hAnsi="仿宋" w:eastAsia="仿宋" w:cs="仿宋"/>
          <w:kern w:val="2"/>
          <w:sz w:val="32"/>
          <w:szCs w:val="32"/>
          <w:lang w:val="en-US" w:eastAsia="zh-CN" w:bidi="ar-SA"/>
        </w:rPr>
        <w:t>中心主要完成省农业农村厅交办的各项农业科技服务工作3项；深入基层办点8个，落实好农业科技示范工作；协助农业资源保护和利用处、发展规划处等机关处室推进乡村振兴、加快农业农村现代化工作4项；做好科技成果评价与鉴定工作17项，认真履行第三方评价职能。</w:t>
      </w:r>
      <w:r>
        <w:rPr>
          <w:rFonts w:hint="eastAsia" w:ascii="仿宋" w:hAnsi="仿宋" w:eastAsia="仿宋" w:cs="仿宋"/>
          <w:sz w:val="32"/>
          <w:szCs w:val="32"/>
          <w:lang w:val="en-US" w:eastAsia="zh-CN"/>
        </w:rPr>
        <w:t>根据《</w:t>
      </w:r>
      <w:r>
        <w:rPr>
          <w:rFonts w:hint="eastAsia" w:ascii="仿宋" w:hAnsi="仿宋" w:eastAsia="仿宋" w:cs="仿宋"/>
          <w:sz w:val="32"/>
          <w:szCs w:val="32"/>
        </w:rPr>
        <w:t>部门整体支出绩效评价基础数据表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自评分98分（详见附件2）。单位整体支出绩效为“优”。</w:t>
      </w:r>
    </w:p>
    <w:p>
      <w:pPr>
        <w:numPr>
          <w:ilvl w:val="0"/>
          <w:numId w:val="0"/>
        </w:numPr>
        <w:ind w:left="640" w:leftChars="0"/>
        <w:rPr>
          <w:rFonts w:hint="eastAsia" w:ascii="宋体" w:hAnsi="宋体" w:eastAsia="宋体" w:cs="宋体"/>
          <w:b/>
          <w:bCs/>
          <w:sz w:val="32"/>
          <w:szCs w:val="32"/>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二</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单位</w:t>
      </w:r>
      <w:r>
        <w:rPr>
          <w:rFonts w:hint="eastAsia" w:ascii="宋体" w:hAnsi="宋体" w:eastAsia="宋体" w:cs="宋体"/>
          <w:b/>
          <w:bCs/>
          <w:sz w:val="32"/>
          <w:szCs w:val="32"/>
        </w:rPr>
        <w:t>整体及核心业务实施效果。</w:t>
      </w:r>
    </w:p>
    <w:p>
      <w:pPr>
        <w:numPr>
          <w:ilvl w:val="0"/>
          <w:numId w:val="0"/>
        </w:numPr>
        <w:ind w:left="640" w:leftChars="0"/>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1、改进工作作风，聚焦农业科技服务职责</w:t>
      </w:r>
    </w:p>
    <w:p>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办好农业科技服务示范点，加快农业科技成果转化。今年设立了邵阳市郊、苏仙、汝城、长沙县、湘潭县、浏阳、城步县等8个农业科技服务点，重点在我省脱贫地区示范推广特色农作物新品种新技术，示范推广面积1000余亩。通过办点示范，采取分片包干、责任到人等方式，鼓励干部职工勤下基层提供科技服务。二是发挥第三方机构作用，加强农业科技成果评价。2023年评价鉴定2项重要科技成果；组织、参与了对省农科院主持的“镉低积累水稻品种选育与应用”、“优质高产低镉水稻关键核心技术研究及重大品种培育”等项目创建的20多个示范点的测产验收和现场评议工作；组织邀请专家对隆回县羊古坳镇雷峰村超级杂交水稻高产攻关科研基地百亩示范片进行了现场测产。三是做好政府购买服务项目，转变农业科技服务方式。</w:t>
      </w:r>
    </w:p>
    <w:p>
      <w:pPr>
        <w:ind w:firstLine="640" w:firstLineChars="200"/>
        <w:rPr>
          <w:rFonts w:hint="default" w:ascii="宋体" w:hAnsi="宋体" w:eastAsia="宋体" w:cs="宋体"/>
          <w:kern w:val="2"/>
          <w:sz w:val="32"/>
          <w:szCs w:val="32"/>
          <w:lang w:val="en-US" w:eastAsia="zh-CN" w:bidi="ar-SA"/>
        </w:rPr>
      </w:pPr>
      <w:r>
        <w:rPr>
          <w:rFonts w:hint="eastAsia" w:ascii="宋体" w:hAnsi="宋体" w:eastAsia="宋体" w:cs="宋体"/>
          <w:b/>
          <w:bCs/>
          <w:kern w:val="2"/>
          <w:sz w:val="32"/>
          <w:szCs w:val="32"/>
          <w:lang w:val="en-US" w:eastAsia="zh-CN" w:bidi="ar-SA"/>
        </w:rPr>
        <w:t>2、发扬协作精神，对接相关处室开展工作</w:t>
      </w:r>
    </w:p>
    <w:p>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协助农业资源保护和利用处受污染耕地安全利用工作。5月底，中心2人赴桃源、新晃、临武、桂阳、茶陵、渌口、浏阳等7个县的有疑问点位，进行暗访核实；6月12-16日中心2人又对慈利、永定、花垣、凤凰4个县严管区种植结构调整进行实地抽点核查；9月4-7日，又分别对衡阳、珠晖、湘潭、雨湖4县（区）的严格管控区进行了实地抽点核查，并按时提交了核查报告；12月上旬，中心4人参与“2023年受污染耕地安全利用工作年度考核”工作。二是协助发展规划处推进农业农村现代化等工作。对国家级农业现代化示范区开展常态化监测评估工作，完成了“2022年度农业现代化示范区监测评估报告”，并积极开展2023年常态化监测评估工作；在2022年调研的基础上，完成了《分区分类推进农业现代化研究报告》；协助开展</w:t>
      </w:r>
      <w:r>
        <w:rPr>
          <w:rFonts w:hint="eastAsia" w:ascii="仿宋" w:hAnsi="仿宋" w:eastAsia="仿宋" w:cs="仿宋"/>
          <w:kern w:val="2"/>
          <w:sz w:val="32"/>
          <w:szCs w:val="32"/>
          <w:lang w:val="en-US" w:eastAsia="zh-Hans" w:bidi="ar-SA"/>
        </w:rPr>
        <w:t>专题调研</w:t>
      </w:r>
      <w:r>
        <w:rPr>
          <w:rFonts w:hint="eastAsia" w:ascii="仿宋" w:hAnsi="仿宋" w:eastAsia="仿宋" w:cs="仿宋"/>
          <w:kern w:val="2"/>
          <w:sz w:val="32"/>
          <w:szCs w:val="32"/>
          <w:lang w:val="en-US" w:eastAsia="zh-CN" w:bidi="ar-SA"/>
        </w:rPr>
        <w:t>工作，并提交了“湖南省脱贫地区农业产业可持续发展研究报告”。三是协助厅种植业管理处抓粮食生产工作。一方面协助厅种植业管理处组织专家团队服务粮食生产；另一方面，今年3月中旬至5月上旬，按照省农业农村厅安排，中心抽调7名干部到各县市区，每人驻点45天进行早稻集中育秧调研督导工作。</w:t>
      </w:r>
    </w:p>
    <w:p>
      <w:pPr>
        <w:ind w:firstLine="640" w:firstLineChars="200"/>
        <w:rPr>
          <w:rFonts w:hint="default"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3、提高责任意识，加强下属国有企业监管</w:t>
      </w:r>
    </w:p>
    <w:p>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继续加强对所办企业湖南省红满家现代农业开发有限责任公司（省粮油生产中心）的监管。9月，厅党组会议决定，将省茶叶果品总公司、省乡镇企业供销总公司、省地方工业总公司等3个厅属企业，并入该企业。我中心的科技服务队伍不断壮大，任务不断加重，同时职责更强。二是继续落实了厅长办公会议精神，进一步推进湖南农业杂志社转隶工作。</w:t>
      </w:r>
    </w:p>
    <w:p>
      <w:pPr>
        <w:ind w:firstLine="640" w:firstLineChars="200"/>
        <w:rPr>
          <w:rFonts w:hint="default" w:ascii="宋体" w:hAnsi="宋体" w:eastAsia="宋体" w:cs="宋体"/>
          <w:kern w:val="2"/>
          <w:sz w:val="32"/>
          <w:szCs w:val="32"/>
          <w:lang w:val="en-US" w:eastAsia="zh-CN" w:bidi="ar-SA"/>
        </w:rPr>
      </w:pPr>
      <w:r>
        <w:rPr>
          <w:rFonts w:hint="eastAsia" w:ascii="宋体" w:hAnsi="宋体" w:eastAsia="宋体" w:cs="宋体"/>
          <w:b/>
          <w:bCs/>
          <w:kern w:val="2"/>
          <w:sz w:val="32"/>
          <w:szCs w:val="32"/>
          <w:lang w:val="en-US" w:eastAsia="zh-CN" w:bidi="ar-SA"/>
        </w:rPr>
        <w:t xml:space="preserve">4、强化责任担当，积极完成上级交办任务 </w:t>
      </w:r>
      <w:r>
        <w:rPr>
          <w:rFonts w:hint="eastAsia" w:ascii="宋体" w:hAnsi="宋体" w:eastAsia="宋体" w:cs="宋体"/>
          <w:kern w:val="2"/>
          <w:sz w:val="32"/>
          <w:szCs w:val="32"/>
          <w:lang w:val="en-US" w:eastAsia="zh-CN" w:bidi="ar-SA"/>
        </w:rPr>
        <w:t xml:space="preserve"> </w:t>
      </w:r>
    </w:p>
    <w:p>
      <w:pPr>
        <w:ind w:firstLine="640" w:firstLineChars="200"/>
        <w:rPr>
          <w:rFonts w:hint="eastAsia" w:ascii="仿宋" w:hAnsi="仿宋" w:eastAsia="仿宋" w:cs="仿宋"/>
          <w:sz w:val="30"/>
          <w:szCs w:val="30"/>
          <w:lang w:val="en-US" w:eastAsia="zh-CN"/>
        </w:rPr>
      </w:pPr>
      <w:r>
        <w:rPr>
          <w:rFonts w:hint="eastAsia" w:ascii="仿宋" w:hAnsi="仿宋" w:eastAsia="仿宋" w:cs="仿宋"/>
          <w:kern w:val="2"/>
          <w:sz w:val="32"/>
          <w:szCs w:val="32"/>
          <w:lang w:val="en-US" w:eastAsia="zh-CN" w:bidi="ar-SA"/>
        </w:rPr>
        <w:t>根据厅领导及上级单位的有关指示精神，认真完成各项督查、督导和考核任务。元月12-15日，彭铁玖参与了国家森防办督导组、应急厅、林业厅等单位联合开展的森林防火督导工作；3-4月杨乾参加了省财政厅、省审计厅及省农业农村厅联合开展的全省惠农补贴资金检查；中心7人参与了5月份早稻生产面积的核查和8月份中稻和晚稻生产面积的核查工作等。</w:t>
      </w:r>
    </w:p>
    <w:p>
      <w:pPr>
        <w:widowControl/>
        <w:numPr>
          <w:ilvl w:val="0"/>
          <w:numId w:val="0"/>
        </w:numPr>
        <w:spacing w:line="600" w:lineRule="exact"/>
        <w:ind w:left="640"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八、存在的问题及原因分析</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一是科技中心是</w:t>
      </w:r>
      <w:r>
        <w:rPr>
          <w:rFonts w:hint="eastAsia" w:ascii="仿宋" w:hAnsi="仿宋" w:eastAsia="仿宋" w:cs="仿宋"/>
          <w:kern w:val="2"/>
          <w:sz w:val="32"/>
          <w:szCs w:val="32"/>
          <w:lang w:val="en-US" w:eastAsia="zh-CN" w:bidi="ar-SA"/>
        </w:rPr>
        <w:t>公益二类事业单位，</w:t>
      </w:r>
      <w:r>
        <w:rPr>
          <w:rFonts w:hint="eastAsia" w:ascii="仿宋" w:hAnsi="仿宋" w:eastAsia="仿宋" w:cs="仿宋"/>
          <w:sz w:val="32"/>
          <w:szCs w:val="32"/>
          <w:lang w:val="en-US" w:eastAsia="zh-CN"/>
        </w:rPr>
        <w:t>年初预算资金较少，需要</w:t>
      </w:r>
      <w:r>
        <w:rPr>
          <w:rFonts w:hint="eastAsia" w:ascii="仿宋" w:hAnsi="仿宋" w:eastAsia="仿宋" w:cs="仿宋"/>
          <w:kern w:val="2"/>
          <w:sz w:val="32"/>
          <w:szCs w:val="32"/>
          <w:lang w:val="en-US" w:eastAsia="zh-CN" w:bidi="ar-SA"/>
        </w:rPr>
        <w:t>年中财政追加资金才能确保单位正常运转，</w:t>
      </w:r>
      <w:r>
        <w:rPr>
          <w:rFonts w:hint="eastAsia" w:ascii="仿宋" w:hAnsi="仿宋" w:eastAsia="仿宋" w:cs="仿宋"/>
          <w:sz w:val="32"/>
          <w:szCs w:val="32"/>
          <w:lang w:eastAsia="zh-CN"/>
        </w:rPr>
        <w:t>中心资金压力</w:t>
      </w:r>
      <w:r>
        <w:rPr>
          <w:rFonts w:hint="eastAsia" w:ascii="仿宋" w:hAnsi="仿宋" w:eastAsia="仿宋" w:cs="仿宋"/>
          <w:sz w:val="32"/>
          <w:szCs w:val="32"/>
          <w:lang w:val="en-US" w:eastAsia="zh-CN"/>
        </w:rPr>
        <w:t>较</w:t>
      </w:r>
      <w:r>
        <w:rPr>
          <w:rFonts w:hint="eastAsia" w:ascii="仿宋" w:hAnsi="仿宋" w:eastAsia="仿宋" w:cs="仿宋"/>
          <w:sz w:val="32"/>
          <w:szCs w:val="32"/>
          <w:lang w:eastAsia="zh-CN"/>
        </w:rPr>
        <w:t>大，</w:t>
      </w:r>
      <w:r>
        <w:rPr>
          <w:rFonts w:hint="eastAsia" w:ascii="仿宋" w:hAnsi="仿宋" w:eastAsia="仿宋" w:cs="仿宋"/>
          <w:sz w:val="32"/>
          <w:szCs w:val="32"/>
          <w:lang w:val="en-US" w:eastAsia="zh-CN"/>
        </w:rPr>
        <w:t>对中心的工作开展有影响</w:t>
      </w:r>
      <w:r>
        <w:rPr>
          <w:rFonts w:hint="eastAsia" w:ascii="仿宋" w:hAnsi="仿宋" w:eastAsia="仿宋" w:cs="仿宋"/>
          <w:kern w:val="2"/>
          <w:sz w:val="32"/>
          <w:szCs w:val="32"/>
          <w:lang w:val="en-US" w:eastAsia="zh-CN" w:bidi="ar-SA"/>
        </w:rPr>
        <w:t>。二是因工作经费不足等原因，科技中心职能没有充分发挥，中试、示范和技术推广方面的职能弱化。</w:t>
      </w:r>
    </w:p>
    <w:p>
      <w:pPr>
        <w:widowControl/>
        <w:numPr>
          <w:ilvl w:val="0"/>
          <w:numId w:val="0"/>
        </w:numPr>
        <w:spacing w:line="600" w:lineRule="exact"/>
        <w:ind w:left="640"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九、下一步改进措施</w:t>
      </w:r>
    </w:p>
    <w:p>
      <w:pPr>
        <w:widowControl/>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积极争取办点示范经费。中试、示范和技术推广方面的工作经费不足是职能弱化的主要原因。为此，要通过各种途径争取办点示范经费。一是积极参加政府购买服务项目，并争取中标，通过承担政府购买服务项目提供中试、示范和技术推广工作经费；二是经营好所办企业湖南省粮油生产技术服务中心，利用下属企业的经营利润为中试、示范和技术推广提供工作经费；三是争取省财政厅和厅计划财务处的支持，增加这方面财政预算，或争取承担有关农业科技推广和科技服务项目。</w:t>
      </w:r>
    </w:p>
    <w:p>
      <w:pPr>
        <w:widowControl/>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2、鼓励干部职工勤下基地。通过设立农业科技服务项目方式，采取分片包干、责任到人等方式，建立科技示范点，带动周边农民增产增收。通过办点示范，鼓励干部职工勤下基层提供科技服务，积极扶持</w:t>
      </w:r>
      <w:r>
        <w:rPr>
          <w:rFonts w:hint="eastAsia" w:ascii="仿宋" w:hAnsi="仿宋" w:eastAsia="仿宋" w:cs="仿宋"/>
          <w:sz w:val="32"/>
          <w:szCs w:val="32"/>
          <w:lang w:val="zh-CN" w:eastAsia="zh-CN"/>
        </w:rPr>
        <w:t>新型农业经营主体，</w:t>
      </w:r>
      <w:r>
        <w:rPr>
          <w:rFonts w:hint="eastAsia" w:ascii="仿宋" w:hAnsi="仿宋" w:eastAsia="仿宋" w:cs="仿宋"/>
          <w:sz w:val="32"/>
          <w:szCs w:val="32"/>
          <w:lang w:val="en-US" w:eastAsia="zh-CN"/>
        </w:rPr>
        <w:t>加快了科技成果转化、</w:t>
      </w:r>
      <w:r>
        <w:rPr>
          <w:rFonts w:hint="eastAsia" w:ascii="仿宋" w:hAnsi="仿宋" w:eastAsia="仿宋" w:cs="仿宋"/>
          <w:sz w:val="32"/>
          <w:szCs w:val="32"/>
          <w:lang w:val="zh-CN" w:eastAsia="zh-CN"/>
        </w:rPr>
        <w:t>加</w:t>
      </w:r>
      <w:r>
        <w:rPr>
          <w:rFonts w:hint="eastAsia" w:ascii="仿宋" w:hAnsi="仿宋" w:eastAsia="仿宋" w:cs="仿宋"/>
          <w:sz w:val="32"/>
          <w:szCs w:val="32"/>
          <w:lang w:val="en-US" w:eastAsia="zh-CN"/>
        </w:rPr>
        <w:t>速了新品种</w:t>
      </w:r>
      <w:r>
        <w:rPr>
          <w:rFonts w:hint="eastAsia" w:ascii="仿宋" w:hAnsi="仿宋" w:eastAsia="仿宋" w:cs="仿宋"/>
          <w:sz w:val="32"/>
          <w:szCs w:val="32"/>
          <w:lang w:val="zh-CN" w:eastAsia="zh-CN"/>
        </w:rPr>
        <w:t>新技术推广，</w:t>
      </w:r>
      <w:r>
        <w:rPr>
          <w:rFonts w:hint="eastAsia" w:ascii="仿宋" w:hAnsi="仿宋" w:eastAsia="仿宋" w:cs="仿宋"/>
          <w:sz w:val="32"/>
          <w:szCs w:val="32"/>
          <w:lang w:val="en-US" w:eastAsia="zh-CN"/>
        </w:rPr>
        <w:t>为巩固拓展脱贫攻坚重要成果，全面推进乡村振兴作出了重要贡献。对于在办点示范工作中做出突出贡献的干部职工要在保证工作经费，并在评优晋级等方面优先考虑。</w:t>
      </w:r>
    </w:p>
    <w:p>
      <w:pPr>
        <w:widowControl/>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加强与农业科研推广单位、新型经营主体的合作。一是加强与农业科研推广单位的合作，一方面组织农业专家、技术人员深入乡村、农户开展技术咨询、指导服务和示范培训等活动，另一方面充分利用的有关单位的科研成果，加速科技成果的转化与应用推广；二是加强与科技型企业、种养大户、家庭农场、合作社等新型农业经营主体的合作。一方面调动新型经营主体的积极性，调动自有资金参与科技成果转化，缓解中试、示范和技术推广项目资金压力，另一方面可通过扶持新型经营主体，以点带面，促进各地特色产业高质量发展。</w:t>
      </w:r>
    </w:p>
    <w:p>
      <w:pPr>
        <w:widowControl/>
        <w:spacing w:line="600" w:lineRule="exact"/>
        <w:jc w:val="left"/>
        <w:rPr>
          <w:rFonts w:hint="eastAsia" w:ascii="仿宋" w:hAnsi="仿宋" w:eastAsia="仿宋" w:cs="仿宋"/>
          <w:sz w:val="32"/>
          <w:szCs w:val="32"/>
        </w:rPr>
      </w:pPr>
    </w:p>
    <w:p>
      <w:pPr>
        <w:widowControl/>
        <w:numPr>
          <w:ilvl w:val="0"/>
          <w:numId w:val="0"/>
        </w:numPr>
        <w:spacing w:line="600" w:lineRule="exact"/>
        <w:ind w:left="640"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十、绩效自评结果拟应用和公开情况</w:t>
      </w:r>
    </w:p>
    <w:p>
      <w:pPr>
        <w:widowControl/>
        <w:spacing w:line="60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1、绩效评价工作考核通报。科技中心将绩效自评工作开展情况报省农业农村厅。</w:t>
      </w:r>
    </w:p>
    <w:p>
      <w:pPr>
        <w:widowControl/>
        <w:spacing w:line="600" w:lineRule="exact"/>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2、绩效评价结果公开公示。除涉密信息外，科技中心于及时将绩效评价报告在门户网站全面公开，接受社会监督。</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color w:val="000000"/>
          <w:sz w:val="32"/>
          <w:szCs w:val="32"/>
          <w:lang w:val="en-US" w:eastAsia="zh-CN"/>
        </w:rPr>
        <w:t>3、绩效评价结果应用。科技中心对评价中发现的问题，及时进行督促整改。各内设机构要加强预算管理意识，严格按照预算编制的相关制度和要求，结合年度收支计划，科学编制预算，遵循预算管理办法。</w:t>
      </w:r>
    </w:p>
    <w:p>
      <w:pPr>
        <w:widowControl/>
        <w:spacing w:line="600" w:lineRule="exact"/>
        <w:jc w:val="left"/>
        <w:rPr>
          <w:rFonts w:hint="eastAsia" w:ascii="仿宋" w:hAnsi="仿宋" w:eastAsia="仿宋" w:cs="仿宋"/>
          <w:sz w:val="32"/>
          <w:szCs w:val="32"/>
        </w:rPr>
      </w:pPr>
    </w:p>
    <w:p>
      <w:pPr>
        <w:widowControl/>
        <w:spacing w:line="600" w:lineRule="exact"/>
        <w:jc w:val="left"/>
        <w:rPr>
          <w:rFonts w:hint="eastAsia" w:ascii="仿宋" w:hAnsi="仿宋" w:eastAsia="仿宋" w:cs="仿宋"/>
          <w:sz w:val="32"/>
          <w:szCs w:val="32"/>
        </w:rPr>
      </w:pP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报告附件：</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1、部门整体支出绩效评价基础数据表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2、部门整体支出绩效自评表</w:t>
      </w:r>
    </w:p>
    <w:p>
      <w:pPr>
        <w:spacing w:beforeLines="0" w:after="120" w:afterLines="50" w:line="600" w:lineRule="exact"/>
        <w:jc w:val="both"/>
        <w:rPr>
          <w:rFonts w:hint="default" w:ascii="Times New Roman" w:hAnsi="Times New Roman" w:eastAsia="方正小标宋_GBK"/>
          <w:sz w:val="36"/>
          <w:szCs w:val="36"/>
        </w:rPr>
      </w:pPr>
    </w:p>
    <w:p>
      <w:pPr>
        <w:spacing w:beforeLines="0" w:after="120" w:afterLines="50" w:line="600" w:lineRule="exact"/>
        <w:jc w:val="center"/>
        <w:rPr>
          <w:rFonts w:hint="eastAsia" w:ascii="Times New Roman" w:hAnsi="Times New Roman" w:eastAsia="方正小标宋_GBK"/>
          <w:sz w:val="36"/>
          <w:szCs w:val="36"/>
        </w:rPr>
      </w:pPr>
      <w:r>
        <w:rPr>
          <w:rFonts w:hint="default" w:ascii="Times New Roman" w:hAnsi="Times New Roman" w:eastAsia="方正小标宋_GBK"/>
          <w:sz w:val="36"/>
          <w:szCs w:val="36"/>
        </w:rPr>
        <w:t>202</w:t>
      </w:r>
      <w:r>
        <w:rPr>
          <w:rFonts w:hint="eastAsia" w:ascii="Times New Roman" w:hAnsi="Times New Roman" w:eastAsia="方正小标宋_GBK"/>
          <w:sz w:val="36"/>
          <w:szCs w:val="36"/>
        </w:rPr>
        <w:t>3年度部门整体支出绩效评价基础数据表</w:t>
      </w:r>
    </w:p>
    <w:p>
      <w:pPr>
        <w:spacing w:beforeLines="0" w:after="120" w:afterLines="50" w:line="600" w:lineRule="exact"/>
        <w:jc w:val="right"/>
        <w:rPr>
          <w:rFonts w:hint="default" w:ascii="Times New Roman" w:hAnsi="Times New Roman" w:eastAsia="方正小标宋_GBK"/>
          <w:sz w:val="24"/>
          <w:szCs w:val="24"/>
          <w:lang w:val="en-US" w:eastAsia="zh-CN"/>
        </w:rPr>
      </w:pPr>
      <w:r>
        <w:rPr>
          <w:rFonts w:hint="eastAsia" w:ascii="Times New Roman" w:hAnsi="Times New Roman" w:eastAsia="方正小标宋_GBK"/>
          <w:sz w:val="24"/>
          <w:szCs w:val="24"/>
          <w:lang w:val="en-US" w:eastAsia="zh-CN"/>
        </w:rPr>
        <w:t>单位：万元</w:t>
      </w:r>
    </w:p>
    <w:tbl>
      <w:tblPr>
        <w:tblStyle w:val="14"/>
        <w:tblW w:w="967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eastAsia" w:ascii="Times New Roman" w:hAnsi="Times New Roman" w:eastAsia="仿宋_GB2312"/>
                <w:b/>
                <w:sz w:val="20"/>
                <w:szCs w:val="20"/>
              </w:rPr>
              <w:t>编制数</w:t>
            </w:r>
          </w:p>
        </w:tc>
        <w:tc>
          <w:tcPr>
            <w:tcW w:w="22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default" w:ascii="Times New Roman" w:hAnsi="Times New Roman" w:eastAsia="仿宋_GB2312"/>
                <w:b/>
                <w:sz w:val="20"/>
                <w:szCs w:val="20"/>
              </w:rPr>
              <w:t>202</w:t>
            </w:r>
            <w:r>
              <w:rPr>
                <w:rFonts w:hint="eastAsia" w:ascii="Times New Roman" w:hAnsi="Times New Roman" w:eastAsia="仿宋_GB2312"/>
                <w:b/>
                <w:sz w:val="20"/>
                <w:szCs w:val="20"/>
              </w:rPr>
              <w:t>3年实际在职人数</w:t>
            </w: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eastAsia" w:ascii="Times New Roman" w:hAnsi="Times New Roman" w:eastAsia="仿宋_GB2312"/>
                <w:b/>
                <w:sz w:val="20"/>
                <w:szCs w:val="20"/>
              </w:rPr>
              <w:t>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p>
        </w:tc>
        <w:tc>
          <w:tcPr>
            <w:tcW w:w="2038"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16</w:t>
            </w:r>
          </w:p>
        </w:tc>
        <w:tc>
          <w:tcPr>
            <w:tcW w:w="2240"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15　</w:t>
            </w: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default" w:ascii="Times New Roman" w:hAnsi="Times New Roman" w:eastAsia="仿宋_GB2312"/>
                <w:b/>
                <w:sz w:val="20"/>
                <w:szCs w:val="20"/>
              </w:rPr>
              <w:t>202</w:t>
            </w:r>
            <w:r>
              <w:rPr>
                <w:rFonts w:hint="eastAsia" w:ascii="Times New Roman" w:hAnsi="Times New Roman" w:eastAsia="仿宋_GB2312"/>
                <w:b/>
                <w:sz w:val="20"/>
                <w:szCs w:val="20"/>
              </w:rPr>
              <w:t>2年决算数</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default" w:ascii="Times New Roman" w:hAnsi="Times New Roman" w:eastAsia="仿宋_GB2312"/>
                <w:b/>
                <w:sz w:val="20"/>
                <w:szCs w:val="20"/>
              </w:rPr>
              <w:t>202</w:t>
            </w:r>
            <w:r>
              <w:rPr>
                <w:rFonts w:hint="eastAsia" w:ascii="Times New Roman" w:hAnsi="Times New Roman" w:eastAsia="仿宋_GB2312"/>
                <w:b/>
                <w:sz w:val="20"/>
                <w:szCs w:val="20"/>
              </w:rPr>
              <w:t>3年预算数</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b/>
                <w:sz w:val="20"/>
                <w:szCs w:val="20"/>
              </w:rPr>
            </w:pPr>
            <w:r>
              <w:rPr>
                <w:rFonts w:hint="default" w:ascii="Times New Roman" w:hAnsi="Times New Roman" w:eastAsia="仿宋_GB2312"/>
                <w:b/>
                <w:sz w:val="20"/>
                <w:szCs w:val="20"/>
              </w:rPr>
              <w:t>202</w:t>
            </w:r>
            <w:r>
              <w:rPr>
                <w:rFonts w:hint="eastAsia" w:ascii="Times New Roman" w:hAnsi="Times New Roman" w:eastAsia="仿宋_GB2312"/>
                <w:b/>
                <w:sz w:val="20"/>
                <w:szCs w:val="20"/>
              </w:rPr>
              <w:t>3年决算数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eastAsia" w:ascii="Times New Roman" w:hAnsi="Times New Roman" w:eastAsia="仿宋_GB2312"/>
                <w:sz w:val="20"/>
                <w:szCs w:val="20"/>
              </w:rPr>
            </w:pPr>
            <w:r>
              <w:rPr>
                <w:rFonts w:hint="eastAsia" w:ascii="Times New Roman" w:hAnsi="Times New Roman" w:eastAsia="仿宋_GB2312"/>
                <w:sz w:val="20"/>
                <w:szCs w:val="20"/>
              </w:rPr>
              <w:t>三公经费: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0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eastAsia" w:ascii="Times New Roman" w:hAnsi="Times New Roman" w:eastAsia="仿宋_GB2312"/>
                <w:sz w:val="20"/>
                <w:szCs w:val="20"/>
              </w:rPr>
            </w:pPr>
            <w:r>
              <w:rPr>
                <w:rFonts w:hint="eastAsia" w:ascii="Times New Roman" w:hAnsi="Times New Roman" w:eastAsia="仿宋_GB2312"/>
                <w:sz w:val="20"/>
                <w:szCs w:val="20"/>
              </w:rPr>
              <w:t>　0</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1</w:t>
            </w:r>
            <w:r>
              <w:rPr>
                <w:rFonts w:hint="eastAsia" w:ascii="Times New Roman" w:hAnsi="Times New Roman" w:eastAsia="仿宋_GB2312"/>
                <w:sz w:val="20"/>
                <w:szCs w:val="20"/>
              </w:rPr>
              <w:t>、公务用车购置和维护经费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w:t>
            </w:r>
            <w:r>
              <w:rPr>
                <w:rFonts w:hint="eastAsia" w:ascii="Times New Roman" w:hAnsi="Times New Roman" w:eastAsia="仿宋_GB2312"/>
                <w:sz w:val="20"/>
                <w:szCs w:val="20"/>
              </w:rPr>
              <w:t>其中：公车购置</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w:t>
            </w:r>
            <w:r>
              <w:rPr>
                <w:rFonts w:hint="eastAsia" w:ascii="Times New Roman" w:hAnsi="Times New Roman" w:eastAsia="仿宋_GB2312"/>
                <w:sz w:val="20"/>
                <w:szCs w:val="20"/>
              </w:rPr>
              <w:t>公车运行维护</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2</w:t>
            </w:r>
            <w:r>
              <w:rPr>
                <w:rFonts w:hint="eastAsia" w:ascii="Times New Roman" w:hAnsi="Times New Roman" w:eastAsia="仿宋_GB2312"/>
                <w:sz w:val="20"/>
                <w:szCs w:val="20"/>
              </w:rPr>
              <w:t>、出国经费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3</w:t>
            </w:r>
            <w:r>
              <w:rPr>
                <w:rFonts w:hint="eastAsia" w:ascii="Times New Roman" w:hAnsi="Times New Roman" w:eastAsia="仿宋_GB2312"/>
                <w:sz w:val="20"/>
                <w:szCs w:val="20"/>
              </w:rPr>
              <w:t>、公务接待</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项目支出：</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120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341</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417.28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1</w:t>
            </w:r>
            <w:r>
              <w:rPr>
                <w:rFonts w:hint="eastAsia" w:ascii="Times New Roman" w:hAnsi="Times New Roman" w:eastAsia="仿宋_GB2312"/>
                <w:sz w:val="20"/>
                <w:szCs w:val="20"/>
              </w:rPr>
              <w:t>、业务工作经费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lang w:val="en-US" w:eastAsia="zh-CN"/>
              </w:rPr>
            </w:pPr>
            <w:r>
              <w:rPr>
                <w:rFonts w:hint="eastAsia" w:ascii="Times New Roman" w:hAnsi="Times New Roman" w:eastAsia="仿宋_GB2312"/>
                <w:sz w:val="20"/>
                <w:szCs w:val="20"/>
                <w:lang w:val="en-US" w:eastAsia="zh-CN"/>
              </w:rPr>
              <w:t>200</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2</w:t>
            </w:r>
            <w:r>
              <w:rPr>
                <w:rFonts w:hint="eastAsia" w:ascii="Times New Roman" w:hAnsi="Times New Roman" w:eastAsia="仿宋_GB2312"/>
                <w:sz w:val="20"/>
                <w:szCs w:val="20"/>
              </w:rPr>
              <w:t>、运行维护经费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3.其他事业发展资金</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42.28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4、省级专项资金（每个专项一行）</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eastAsia="仿宋_GB2312" w:cs="Calibri"/>
                <w:sz w:val="20"/>
                <w:szCs w:val="20"/>
              </w:rPr>
              <w:t>①</w:t>
            </w:r>
            <w:r>
              <w:rPr>
                <w:rFonts w:hint="eastAsia" w:ascii="Times New Roman" w:hAnsi="Times New Roman" w:eastAsia="仿宋_GB2312"/>
                <w:sz w:val="20"/>
                <w:szCs w:val="20"/>
              </w:rPr>
              <w:t>.农业生产发展</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120</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eastAsia="仿宋_GB2312" w:cs="Calibri"/>
                <w:sz w:val="20"/>
                <w:szCs w:val="20"/>
              </w:rPr>
              <w:t>②</w:t>
            </w:r>
            <w:r>
              <w:rPr>
                <w:rFonts w:hint="eastAsia" w:ascii="Times New Roman" w:hAnsi="Times New Roman" w:eastAsia="仿宋_GB2312"/>
                <w:sz w:val="20"/>
                <w:szCs w:val="20"/>
              </w:rPr>
              <w:t>.现代农业发展专项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141</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eastAsia="仿宋_GB2312" w:cs="Calibri"/>
                <w:sz w:val="20"/>
                <w:szCs w:val="20"/>
              </w:rPr>
              <w:t>③</w:t>
            </w:r>
            <w:r>
              <w:rPr>
                <w:rFonts w:hint="eastAsia" w:ascii="Times New Roman" w:hAnsi="Times New Roman" w:eastAsia="仿宋_GB2312"/>
                <w:sz w:val="20"/>
                <w:szCs w:val="20"/>
              </w:rPr>
              <w:t>体系能力建设与补短板(市县)</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公用经费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w:t>
            </w:r>
            <w:r>
              <w:rPr>
                <w:rFonts w:hint="eastAsia" w:ascii="Times New Roman" w:hAnsi="Times New Roman" w:eastAsia="仿宋_GB2312"/>
                <w:sz w:val="20"/>
                <w:szCs w:val="20"/>
              </w:rPr>
              <w:t>其中：办公经费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auto"/>
                <w:sz w:val="20"/>
                <w:szCs w:val="20"/>
              </w:rPr>
            </w:pPr>
            <w:r>
              <w:rPr>
                <w:rFonts w:hint="eastAsia" w:ascii="Times New Roman" w:hAnsi="Times New Roman" w:eastAsia="仿宋_GB2312"/>
                <w:color w:val="auto"/>
                <w:sz w:val="20"/>
                <w:szCs w:val="20"/>
              </w:rPr>
              <w:t>0.27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w:t>
            </w:r>
            <w:r>
              <w:rPr>
                <w:rFonts w:hint="eastAsia" w:ascii="Times New Roman" w:hAnsi="Times New Roman" w:eastAsia="仿宋_GB2312"/>
                <w:sz w:val="20"/>
                <w:szCs w:val="20"/>
              </w:rPr>
              <w:t>水费、电费、差旅费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auto"/>
                <w:sz w:val="20"/>
                <w:szCs w:val="20"/>
              </w:rPr>
            </w:pPr>
            <w:r>
              <w:rPr>
                <w:rFonts w:hint="eastAsia" w:ascii="Times New Roman" w:hAnsi="Times New Roman" w:eastAsia="仿宋_GB2312"/>
                <w:color w:val="auto"/>
                <w:sz w:val="20"/>
                <w:szCs w:val="20"/>
              </w:rPr>
              <w:t>　2.15</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auto"/>
                <w:sz w:val="20"/>
                <w:szCs w:val="20"/>
              </w:rPr>
              <w:t>12.57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default" w:ascii="Times New Roman" w:hAnsi="Times New Roman" w:eastAsia="仿宋_GB2312"/>
                <w:sz w:val="20"/>
                <w:szCs w:val="20"/>
              </w:rPr>
              <w:t xml:space="preserve">          </w:t>
            </w:r>
            <w:r>
              <w:rPr>
                <w:rFonts w:hint="eastAsia" w:ascii="Times New Roman" w:hAnsi="Times New Roman" w:eastAsia="仿宋_GB2312"/>
                <w:sz w:val="20"/>
                <w:szCs w:val="20"/>
              </w:rPr>
              <w:t>会议费、培训费</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color w:val="FF0000"/>
                <w:sz w:val="20"/>
                <w:szCs w:val="20"/>
              </w:rPr>
            </w:pPr>
            <w:r>
              <w:rPr>
                <w:rFonts w:hint="eastAsia" w:ascii="Times New Roman" w:hAnsi="Times New Roman" w:eastAsia="仿宋_GB2312"/>
                <w:color w:val="FF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政府采购金额</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default"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default"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2041" w:type="dxa"/>
            <w:gridSpan w:val="2"/>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楼堂馆所控制情况</w:t>
            </w:r>
            <w:r>
              <w:rPr>
                <w:rFonts w:hint="default" w:ascii="Times New Roman" w:hAnsi="Times New Roman" w:eastAsia="仿宋_GB2312"/>
                <w:sz w:val="20"/>
                <w:szCs w:val="20"/>
              </w:rPr>
              <w:br w:type="textWrapping"/>
            </w:r>
            <w:r>
              <w:rPr>
                <w:rFonts w:hint="eastAsia" w:ascii="Times New Roman" w:hAnsi="Times New Roman" w:eastAsia="仿宋_GB2312"/>
                <w:sz w:val="20"/>
                <w:szCs w:val="20"/>
              </w:rPr>
              <w:t>（2023年完工项目）</w:t>
            </w:r>
          </w:p>
        </w:tc>
        <w:tc>
          <w:tcPr>
            <w:tcW w:w="118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批复规模</w:t>
            </w:r>
            <w:r>
              <w:rPr>
                <w:rFonts w:hint="default" w:ascii="Times New Roman" w:hAnsi="Times New Roman" w:eastAsia="仿宋_GB2312"/>
                <w:sz w:val="20"/>
                <w:szCs w:val="20"/>
              </w:rPr>
              <w:br w:type="textWrapping"/>
            </w:r>
            <w:r>
              <w:rPr>
                <w:rFonts w:hint="eastAsia" w:ascii="Times New Roman" w:hAnsi="Times New Roman" w:eastAsia="仿宋_GB2312"/>
                <w:sz w:val="20"/>
                <w:szCs w:val="20"/>
              </w:rPr>
              <w:t>（</w:t>
            </w:r>
            <w:r>
              <w:rPr>
                <w:rFonts w:hint="eastAsia" w:ascii="Times New Roman" w:hAnsi="Times New Roman"/>
                <w:sz w:val="20"/>
                <w:szCs w:val="20"/>
              </w:rPr>
              <w:t>㎡</w:t>
            </w:r>
            <w:r>
              <w:rPr>
                <w:rFonts w:hint="eastAsia" w:ascii="Times New Roman" w:hAnsi="Times New Roman" w:eastAsia="仿宋_GB2312"/>
                <w:sz w:val="20"/>
                <w:szCs w:val="20"/>
              </w:rPr>
              <w:t>）</w:t>
            </w:r>
          </w:p>
        </w:tc>
        <w:tc>
          <w:tcPr>
            <w:tcW w:w="84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实际规模（</w:t>
            </w:r>
            <w:r>
              <w:rPr>
                <w:rFonts w:hint="eastAsia" w:ascii="Times New Roman" w:hAnsi="Times New Roman"/>
                <w:sz w:val="20"/>
                <w:szCs w:val="20"/>
              </w:rPr>
              <w:t>㎡</w:t>
            </w:r>
            <w:r>
              <w:rPr>
                <w:rFonts w:hint="eastAsia" w:ascii="Times New Roman" w:hAnsi="Times New Roman" w:eastAsia="仿宋_GB2312"/>
                <w:sz w:val="20"/>
                <w:szCs w:val="20"/>
              </w:rPr>
              <w:t>）</w:t>
            </w:r>
          </w:p>
        </w:tc>
        <w:tc>
          <w:tcPr>
            <w:tcW w:w="112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规模控制率</w:t>
            </w:r>
          </w:p>
        </w:tc>
        <w:tc>
          <w:tcPr>
            <w:tcW w:w="1111"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预算投资（万元）</w:t>
            </w:r>
          </w:p>
        </w:tc>
        <w:tc>
          <w:tcPr>
            <w:tcW w:w="1081"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实际投资（万元）</w:t>
            </w:r>
          </w:p>
        </w:tc>
        <w:tc>
          <w:tcPr>
            <w:tcW w:w="960"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投资概算控制率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p>
        </w:tc>
        <w:tc>
          <w:tcPr>
            <w:tcW w:w="118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84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1129"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1111"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1081"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w:t>
            </w:r>
          </w:p>
        </w:tc>
        <w:tc>
          <w:tcPr>
            <w:tcW w:w="960" w:type="dxa"/>
            <w:tcBorders>
              <w:top w:val="nil"/>
              <w:left w:val="nil"/>
              <w:bottom w:val="single" w:color="auto" w:sz="4" w:space="0"/>
              <w:right w:val="single" w:color="auto" w:sz="4" w:space="0"/>
              <w:tl2br w:val="nil"/>
              <w:tr2bl w:val="nil"/>
            </w:tcBorders>
            <w:noWrap w:val="0"/>
            <w:vAlign w:val="center"/>
          </w:tcPr>
          <w:p>
            <w:pPr>
              <w:widowControl/>
              <w:spacing w:beforeLines="0" w:afterLines="0" w:line="360" w:lineRule="exact"/>
              <w:jc w:val="left"/>
              <w:rPr>
                <w:rFonts w:hint="default" w:ascii="Times New Roman" w:hAnsi="Times New Roman" w:eastAsia="仿宋_GB2312"/>
                <w:sz w:val="20"/>
                <w:szCs w:val="20"/>
              </w:rPr>
            </w:pPr>
            <w:r>
              <w:rPr>
                <w:rFonts w:hint="eastAsia" w:ascii="Times New Roman" w:hAnsi="Times New Roman" w:eastAsia="仿宋_GB2312"/>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l2br w:val="nil"/>
              <w:tr2bl w:val="nil"/>
            </w:tcBorders>
            <w:noWrap w:val="0"/>
            <w:vAlign w:val="center"/>
          </w:tcPr>
          <w:p>
            <w:pPr>
              <w:widowControl/>
              <w:spacing w:beforeLines="0" w:afterLines="0" w:line="360" w:lineRule="exact"/>
              <w:jc w:val="center"/>
              <w:rPr>
                <w:rFonts w:hint="default" w:ascii="Times New Roman" w:hAnsi="Times New Roman" w:eastAsia="仿宋_GB2312"/>
                <w:sz w:val="20"/>
                <w:szCs w:val="20"/>
              </w:rPr>
            </w:pPr>
            <w:r>
              <w:rPr>
                <w:rFonts w:hint="eastAsia" w:ascii="Times New Roman" w:hAnsi="Times New Roman" w:eastAsia="仿宋_GB2312"/>
                <w:sz w:val="20"/>
                <w:szCs w:val="20"/>
              </w:rPr>
              <w:t>　</w:t>
            </w:r>
          </w:p>
        </w:tc>
      </w:tr>
    </w:tbl>
    <w:p>
      <w:pPr>
        <w:widowControl/>
        <w:spacing w:beforeLines="0" w:line="400" w:lineRule="exact"/>
        <w:jc w:val="left"/>
        <w:rPr>
          <w:rFonts w:hint="default" w:ascii="Times New Roman" w:hAnsi="Times New Roman" w:eastAsia="仿宋_GB2312"/>
          <w:sz w:val="22"/>
          <w:szCs w:val="24"/>
        </w:rPr>
      </w:pPr>
      <w:r>
        <w:rPr>
          <w:rFonts w:hint="eastAsia" w:ascii="Times New Roman" w:hAnsi="Times New Roman" w:eastAsia="仿宋_GB2312"/>
          <w:sz w:val="22"/>
          <w:szCs w:val="24"/>
        </w:rPr>
        <w:t>说明：“项目支出”需要填报基本支出以外的所有项目支出情况，“公用经费”填报基本支出中的一般商品和服务支出。</w:t>
      </w:r>
    </w:p>
    <w:p>
      <w:pPr>
        <w:widowControl/>
        <w:spacing w:beforeLines="0" w:line="400" w:lineRule="exact"/>
        <w:jc w:val="left"/>
        <w:rPr>
          <w:rFonts w:hint="default" w:ascii="Times New Roman" w:hAnsi="Times New Roman" w:eastAsia="仿宋_GB2312"/>
          <w:sz w:val="22"/>
          <w:szCs w:val="24"/>
        </w:rPr>
      </w:pPr>
    </w:p>
    <w:p>
      <w:pPr>
        <w:spacing w:beforeLines="0" w:afterLines="0"/>
        <w:rPr>
          <w:rFonts w:hint="eastAsia" w:ascii="Times New Roman" w:hAnsi="Times New Roman" w:eastAsia="仿宋_GB2312"/>
          <w:sz w:val="22"/>
          <w:szCs w:val="24"/>
        </w:rPr>
      </w:pPr>
      <w:r>
        <w:rPr>
          <w:rFonts w:hint="eastAsia" w:ascii="Times New Roman" w:hAnsi="Times New Roman" w:eastAsia="仿宋_GB2312"/>
          <w:sz w:val="22"/>
          <w:szCs w:val="24"/>
        </w:rPr>
        <w:t>填表人：邓佳</w:t>
      </w:r>
      <w:r>
        <w:rPr>
          <w:rFonts w:hint="default" w:ascii="Times New Roman" w:hAnsi="Times New Roman" w:eastAsia="仿宋_GB2312"/>
          <w:sz w:val="22"/>
          <w:szCs w:val="24"/>
        </w:rPr>
        <w:t xml:space="preserve">   </w:t>
      </w:r>
      <w:r>
        <w:rPr>
          <w:rFonts w:hint="eastAsia" w:ascii="Times New Roman" w:hAnsi="Times New Roman" w:eastAsia="仿宋_GB2312"/>
          <w:sz w:val="22"/>
          <w:szCs w:val="24"/>
        </w:rPr>
        <w:t>填报日期：2024.8.28</w:t>
      </w:r>
      <w:r>
        <w:rPr>
          <w:rFonts w:hint="default" w:ascii="Times New Roman" w:hAnsi="Times New Roman" w:eastAsia="仿宋_GB2312"/>
          <w:sz w:val="22"/>
          <w:szCs w:val="24"/>
        </w:rPr>
        <w:t xml:space="preserve">  </w:t>
      </w:r>
      <w:r>
        <w:rPr>
          <w:rFonts w:hint="eastAsia" w:ascii="Times New Roman" w:hAnsi="Times New Roman" w:eastAsia="仿宋_GB2312"/>
          <w:sz w:val="22"/>
          <w:szCs w:val="24"/>
        </w:rPr>
        <w:t xml:space="preserve"> 联系电话：13787115975</w:t>
      </w:r>
      <w:r>
        <w:rPr>
          <w:rFonts w:hint="default" w:ascii="Times New Roman" w:hAnsi="Times New Roman" w:eastAsia="仿宋_GB2312"/>
          <w:sz w:val="22"/>
          <w:szCs w:val="24"/>
        </w:rPr>
        <w:t xml:space="preserve">  </w:t>
      </w:r>
      <w:r>
        <w:rPr>
          <w:rFonts w:hint="eastAsia" w:ascii="Times New Roman" w:hAnsi="Times New Roman" w:eastAsia="仿宋_GB2312"/>
          <w:sz w:val="22"/>
          <w:szCs w:val="24"/>
        </w:rPr>
        <w:t xml:space="preserve"> 单位负责人签字：李娓</w:t>
      </w:r>
    </w:p>
    <w:p>
      <w:pPr>
        <w:spacing w:beforeLines="0" w:afterLines="0"/>
        <w:rPr>
          <w:rFonts w:hint="eastAsia" w:ascii="Times New Roman" w:hAnsi="Times New Roman" w:eastAsia="仿宋_GB2312"/>
          <w:sz w:val="22"/>
          <w:szCs w:val="24"/>
        </w:rPr>
      </w:pPr>
    </w:p>
    <w:p>
      <w:pPr>
        <w:widowControl/>
        <w:spacing w:after="120" w:afterLines="50"/>
        <w:jc w:val="center"/>
        <w:rPr>
          <w:rFonts w:hint="default" w:ascii="Times New Roman" w:hAnsi="Times New Roman" w:eastAsia="方正小标宋_GBK" w:cs="Times New Roman"/>
          <w:color w:val="000000"/>
          <w:sz w:val="36"/>
          <w:szCs w:val="36"/>
        </w:rPr>
      </w:pPr>
    </w:p>
    <w:p>
      <w:pPr>
        <w:widowControl/>
        <w:spacing w:after="120" w:afterLines="50"/>
        <w:jc w:val="center"/>
        <w:rPr>
          <w:rFonts w:hint="default" w:ascii="Times New Roman" w:hAnsi="Times New Roman" w:eastAsia="方正小标宋_GBK" w:cs="Times New Roman"/>
          <w:color w:val="000000"/>
          <w:sz w:val="36"/>
          <w:szCs w:val="36"/>
        </w:rPr>
      </w:pPr>
    </w:p>
    <w:p>
      <w:pPr>
        <w:widowControl/>
        <w:spacing w:after="120" w:afterLines="50"/>
        <w:jc w:val="center"/>
        <w:rPr>
          <w:rFonts w:hint="default" w:ascii="Times New Roman" w:hAnsi="Times New Roman" w:eastAsia="方正小标宋_GBK" w:cs="Times New Roman"/>
          <w:color w:val="000000"/>
          <w:sz w:val="36"/>
          <w:szCs w:val="36"/>
        </w:rPr>
      </w:pPr>
    </w:p>
    <w:p>
      <w:pPr>
        <w:widowControl/>
        <w:spacing w:after="120" w:afterLines="50"/>
        <w:jc w:val="center"/>
        <w:rPr>
          <w:rFonts w:hint="eastAsia" w:ascii="Times New Roman" w:hAnsi="Times New Roman" w:eastAsia="方正小标宋_GBK" w:cs="Times New Roman"/>
          <w:color w:val="000000"/>
          <w:sz w:val="36"/>
          <w:szCs w:val="36"/>
          <w:lang w:val="en-US" w:eastAsia="zh-CN"/>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r>
        <w:rPr>
          <w:rFonts w:hint="eastAsia" w:ascii="Times New Roman" w:hAnsi="Times New Roman" w:eastAsia="方正小标宋_GBK" w:cs="Times New Roman"/>
          <w:color w:val="000000"/>
          <w:sz w:val="36"/>
          <w:szCs w:val="36"/>
          <w:lang w:val="en-US" w:eastAsia="zh-CN"/>
        </w:rPr>
        <w:t xml:space="preserve"> </w:t>
      </w:r>
    </w:p>
    <w:p>
      <w:pPr>
        <w:widowControl/>
        <w:spacing w:after="120" w:afterLines="50"/>
        <w:jc w:val="right"/>
        <w:rPr>
          <w:rFonts w:hint="default" w:ascii="Times New Roman" w:hAnsi="Times New Roman" w:eastAsia="方正小标宋_GBK" w:cs="Times New Roman"/>
          <w:color w:val="000000"/>
          <w:sz w:val="24"/>
          <w:szCs w:val="24"/>
          <w:lang w:val="en-US" w:eastAsia="zh-CN"/>
        </w:rPr>
      </w:pPr>
      <w:r>
        <w:rPr>
          <w:rFonts w:hint="eastAsia" w:ascii="Times New Roman" w:hAnsi="Times New Roman" w:eastAsia="方正小标宋_GBK" w:cs="Times New Roman"/>
          <w:color w:val="000000"/>
          <w:sz w:val="24"/>
          <w:szCs w:val="24"/>
          <w:lang w:val="en-US" w:eastAsia="zh-CN"/>
        </w:rPr>
        <w:t>单位：万元</w:t>
      </w:r>
    </w:p>
    <w:tbl>
      <w:tblPr>
        <w:tblStyle w:val="14"/>
        <w:tblW w:w="10079" w:type="dxa"/>
        <w:jc w:val="center"/>
        <w:tblInd w:w="0" w:type="dxa"/>
        <w:tblLayout w:type="fixed"/>
        <w:tblCellMar>
          <w:top w:w="0" w:type="dxa"/>
          <w:left w:w="108" w:type="dxa"/>
          <w:bottom w:w="0" w:type="dxa"/>
          <w:right w:w="108" w:type="dxa"/>
        </w:tblCellMar>
      </w:tblPr>
      <w:tblGrid>
        <w:gridCol w:w="1080"/>
        <w:gridCol w:w="641"/>
        <w:gridCol w:w="780"/>
        <w:gridCol w:w="2085"/>
        <w:gridCol w:w="1253"/>
        <w:gridCol w:w="1312"/>
        <w:gridCol w:w="713"/>
        <w:gridCol w:w="769"/>
        <w:gridCol w:w="1446"/>
      </w:tblGrid>
      <w:tr>
        <w:tblPrEx>
          <w:tblLayout w:type="fixed"/>
          <w:tblCellMar>
            <w:top w:w="0" w:type="dxa"/>
            <w:left w:w="108" w:type="dxa"/>
            <w:bottom w:w="0" w:type="dxa"/>
            <w:right w:w="108" w:type="dxa"/>
          </w:tblCellMar>
        </w:tblPrEx>
        <w:trPr>
          <w:jc w:val="center"/>
        </w:trPr>
        <w:tc>
          <w:tcPr>
            <w:tcW w:w="250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57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湖南省农业科技服务中心</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eastAsia" w:ascii="Times New Roman" w:hAnsi="Times New Roman" w:eastAsia="仿宋_GB2312" w:cs="Times New Roman"/>
                <w:color w:val="000000"/>
                <w:sz w:val="20"/>
                <w:szCs w:val="20"/>
                <w:lang w:eastAsia="zh-CN"/>
              </w:rPr>
            </w:pPr>
            <w:r>
              <w:rPr>
                <w:rFonts w:hint="default" w:ascii="Times New Roman" w:hAnsi="Times New Roman" w:eastAsia="仿宋_GB2312" w:cs="Times New Roman"/>
                <w:color w:val="000000"/>
                <w:sz w:val="20"/>
                <w:szCs w:val="20"/>
              </w:rPr>
              <w:t>算申请</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（万元）</w:t>
            </w:r>
          </w:p>
        </w:tc>
        <w:tc>
          <w:tcPr>
            <w:tcW w:w="1421"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208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25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31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7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421"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208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608</w:t>
            </w:r>
          </w:p>
        </w:tc>
        <w:tc>
          <w:tcPr>
            <w:tcW w:w="125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847.85</w:t>
            </w:r>
          </w:p>
        </w:tc>
        <w:tc>
          <w:tcPr>
            <w:tcW w:w="1312"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926.99</w:t>
            </w:r>
          </w:p>
        </w:tc>
        <w:tc>
          <w:tcPr>
            <w:tcW w:w="7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769"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100%</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10</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240"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694.62</w:t>
            </w:r>
          </w:p>
        </w:tc>
        <w:tc>
          <w:tcPr>
            <w:tcW w:w="4240"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509.71</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240"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417.28</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240"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153.23</w:t>
            </w:r>
          </w:p>
        </w:tc>
        <w:tc>
          <w:tcPr>
            <w:tcW w:w="4240"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75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24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75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ind w:firstLine="400" w:firstLineChars="200"/>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完成省农业农村厅交办的各项农业科技服务工作</w:t>
            </w:r>
            <w:r>
              <w:rPr>
                <w:rFonts w:hint="eastAsia" w:ascii="Times New Roman" w:hAnsi="Times New Roman" w:eastAsia="仿宋_GB2312" w:cs="Times New Roman"/>
                <w:color w:val="000000"/>
                <w:sz w:val="20"/>
                <w:szCs w:val="20"/>
                <w:lang w:val="en-US" w:eastAsia="zh-CN"/>
              </w:rPr>
              <w:t>4项</w:t>
            </w:r>
            <w:r>
              <w:rPr>
                <w:rFonts w:hint="default" w:ascii="Times New Roman" w:hAnsi="Times New Roman" w:eastAsia="仿宋_GB2312" w:cs="Times New Roman"/>
                <w:color w:val="000000"/>
                <w:sz w:val="20"/>
                <w:szCs w:val="20"/>
              </w:rPr>
              <w:t>；深入基层办点</w:t>
            </w:r>
            <w:r>
              <w:rPr>
                <w:rFonts w:hint="eastAsia" w:ascii="Times New Roman" w:hAnsi="Times New Roman" w:eastAsia="仿宋_GB2312" w:cs="Times New Roman"/>
                <w:color w:val="000000"/>
                <w:sz w:val="20"/>
                <w:szCs w:val="20"/>
                <w:lang w:val="en-US" w:eastAsia="zh-CN"/>
              </w:rPr>
              <w:t>5个以上</w:t>
            </w:r>
            <w:r>
              <w:rPr>
                <w:rFonts w:hint="default" w:ascii="Times New Roman" w:hAnsi="Times New Roman" w:eastAsia="仿宋_GB2312" w:cs="Times New Roman"/>
                <w:color w:val="000000"/>
                <w:sz w:val="20"/>
                <w:szCs w:val="20"/>
              </w:rPr>
              <w:t>，落实好农业科技示范工作；协助农业资源保护和利用处、发展规划处等机关处室推进乡村振兴、加快农业农村现代化工作</w:t>
            </w:r>
            <w:r>
              <w:rPr>
                <w:rFonts w:hint="eastAsia" w:ascii="Times New Roman" w:hAnsi="Times New Roman" w:eastAsia="仿宋_GB2312" w:cs="Times New Roman"/>
                <w:color w:val="000000"/>
                <w:sz w:val="20"/>
                <w:szCs w:val="20"/>
                <w:lang w:val="en-US" w:eastAsia="zh-CN"/>
              </w:rPr>
              <w:t>4项</w:t>
            </w:r>
            <w:r>
              <w:rPr>
                <w:rFonts w:hint="default" w:ascii="Times New Roman" w:hAnsi="Times New Roman" w:eastAsia="仿宋_GB2312" w:cs="Times New Roman"/>
                <w:color w:val="000000"/>
                <w:sz w:val="20"/>
                <w:szCs w:val="20"/>
              </w:rPr>
              <w:t>；做好科技成果评价与鉴定工作</w:t>
            </w:r>
            <w:r>
              <w:rPr>
                <w:rFonts w:hint="eastAsia" w:ascii="Times New Roman" w:hAnsi="Times New Roman" w:eastAsia="仿宋_GB2312" w:cs="Times New Roman"/>
                <w:color w:val="000000"/>
                <w:sz w:val="20"/>
                <w:szCs w:val="20"/>
                <w:lang w:val="en-US" w:eastAsia="zh-CN"/>
              </w:rPr>
              <w:t>4项以上</w:t>
            </w:r>
            <w:r>
              <w:rPr>
                <w:rFonts w:hint="default" w:ascii="Times New Roman" w:hAnsi="Times New Roman" w:eastAsia="仿宋_GB2312" w:cs="Times New Roman"/>
                <w:color w:val="000000"/>
                <w:sz w:val="20"/>
                <w:szCs w:val="20"/>
              </w:rPr>
              <w:t>，认真履行第三方评价职能。　　</w:t>
            </w:r>
          </w:p>
        </w:tc>
        <w:tc>
          <w:tcPr>
            <w:tcW w:w="424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完成省农业农村厅交办的各项农业科技服务工作</w:t>
            </w:r>
            <w:r>
              <w:rPr>
                <w:rFonts w:hint="eastAsia" w:ascii="Times New Roman" w:hAnsi="Times New Roman" w:eastAsia="仿宋_GB2312" w:cs="Times New Roman"/>
                <w:color w:val="000000"/>
                <w:sz w:val="20"/>
                <w:szCs w:val="20"/>
                <w:lang w:val="en-US" w:eastAsia="zh-CN"/>
              </w:rPr>
              <w:t>3项</w:t>
            </w:r>
            <w:r>
              <w:rPr>
                <w:rFonts w:hint="default" w:ascii="Times New Roman" w:hAnsi="Times New Roman" w:eastAsia="仿宋_GB2312" w:cs="Times New Roman"/>
                <w:color w:val="000000"/>
                <w:sz w:val="20"/>
                <w:szCs w:val="20"/>
              </w:rPr>
              <w:t>；深入基层办点</w:t>
            </w:r>
            <w:r>
              <w:rPr>
                <w:rFonts w:hint="eastAsia" w:ascii="Times New Roman" w:hAnsi="Times New Roman" w:eastAsia="仿宋_GB2312" w:cs="Times New Roman"/>
                <w:color w:val="000000"/>
                <w:sz w:val="20"/>
                <w:szCs w:val="20"/>
                <w:lang w:val="en-US" w:eastAsia="zh-CN"/>
              </w:rPr>
              <w:t>8个</w:t>
            </w:r>
            <w:r>
              <w:rPr>
                <w:rFonts w:hint="default" w:ascii="Times New Roman" w:hAnsi="Times New Roman" w:eastAsia="仿宋_GB2312" w:cs="Times New Roman"/>
                <w:color w:val="000000"/>
                <w:sz w:val="20"/>
                <w:szCs w:val="20"/>
              </w:rPr>
              <w:t>，落实好农业科技示范工作；协助农业资源保护和利用处、发展规划处等机关处室推进乡村振兴、加快农业农村现代化工作</w:t>
            </w:r>
            <w:r>
              <w:rPr>
                <w:rFonts w:hint="eastAsia" w:ascii="Times New Roman" w:hAnsi="Times New Roman" w:eastAsia="仿宋_GB2312" w:cs="Times New Roman"/>
                <w:color w:val="000000"/>
                <w:sz w:val="20"/>
                <w:szCs w:val="20"/>
                <w:lang w:val="en-US" w:eastAsia="zh-CN"/>
              </w:rPr>
              <w:t>4项</w:t>
            </w:r>
            <w:r>
              <w:rPr>
                <w:rFonts w:hint="default" w:ascii="Times New Roman" w:hAnsi="Times New Roman" w:eastAsia="仿宋_GB2312" w:cs="Times New Roman"/>
                <w:color w:val="000000"/>
                <w:sz w:val="20"/>
                <w:szCs w:val="20"/>
              </w:rPr>
              <w:t>；做好科技成果评价与鉴定工作</w:t>
            </w:r>
            <w:r>
              <w:rPr>
                <w:rFonts w:hint="eastAsia" w:ascii="Times New Roman" w:hAnsi="Times New Roman" w:eastAsia="仿宋_GB2312" w:cs="Times New Roman"/>
                <w:color w:val="000000"/>
                <w:sz w:val="20"/>
                <w:szCs w:val="20"/>
                <w:lang w:val="en-US" w:eastAsia="zh-CN"/>
              </w:rPr>
              <w:t>17项</w:t>
            </w:r>
            <w:r>
              <w:rPr>
                <w:rFonts w:hint="default" w:ascii="Times New Roman" w:hAnsi="Times New Roman" w:eastAsia="仿宋_GB2312" w:cs="Times New Roman"/>
                <w:color w:val="000000"/>
                <w:sz w:val="20"/>
                <w:szCs w:val="20"/>
              </w:rPr>
              <w:t>，认真履行第三方评价职能。　</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64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7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312"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7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自评</w:t>
            </w:r>
            <w:r>
              <w:rPr>
                <w:rFonts w:hint="default" w:ascii="Times New Roman" w:hAnsi="Times New Roman" w:eastAsia="仿宋_GB2312" w:cs="Times New Roman"/>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7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完成省农业农村厅交办的各项农业科技服务工作（项）</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上级交办任务减少</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落实好农业科技示范工作（项）</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5</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8</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配合农业资源保护和利用处、发展规划处等机关处室搞好工作（项）</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5</w:t>
            </w:r>
            <w:r>
              <w:rPr>
                <w:rFonts w:hint="default" w:ascii="Times New Roman" w:hAnsi="Times New Roman" w:eastAsia="仿宋_GB2312" w:cs="Times New Roman"/>
                <w:color w:val="000000"/>
                <w:sz w:val="20"/>
                <w:szCs w:val="20"/>
              </w:rPr>
              <w:t>　</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科技成果评价与鉴定（项）</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17</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任务完成质量情况</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良好</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良好</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实施开始时间</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2023-01-01</w:t>
            </w:r>
            <w:r>
              <w:rPr>
                <w:rFonts w:hint="default" w:ascii="Times New Roman" w:hAnsi="Times New Roman" w:eastAsia="仿宋_GB2312" w:cs="Times New Roman"/>
                <w:color w:val="000000"/>
                <w:sz w:val="20"/>
                <w:szCs w:val="20"/>
              </w:rPr>
              <w:t>　</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2023-12-31</w:t>
            </w:r>
            <w:r>
              <w:rPr>
                <w:rFonts w:hint="default" w:ascii="Times New Roman" w:hAnsi="Times New Roman" w:eastAsia="仿宋_GB2312" w:cs="Times New Roman"/>
                <w:color w:val="000000"/>
                <w:sz w:val="20"/>
                <w:szCs w:val="20"/>
              </w:rPr>
              <w:t>　</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实施结束时间</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2023-01-01</w:t>
            </w:r>
            <w:r>
              <w:rPr>
                <w:rFonts w:hint="default" w:ascii="Times New Roman" w:hAnsi="Times New Roman" w:eastAsia="仿宋_GB2312" w:cs="Times New Roman"/>
                <w:color w:val="000000"/>
                <w:sz w:val="20"/>
                <w:szCs w:val="20"/>
              </w:rPr>
              <w:t>　</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2023-12-31</w:t>
            </w:r>
            <w:r>
              <w:rPr>
                <w:rFonts w:hint="default" w:ascii="Times New Roman" w:hAnsi="Times New Roman" w:eastAsia="仿宋_GB2312" w:cs="Times New Roman"/>
                <w:color w:val="000000"/>
                <w:sz w:val="20"/>
                <w:szCs w:val="20"/>
              </w:rPr>
              <w:t>　</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成本指标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经济成本指标</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90%-100%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95%</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社会成本指标</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无负面影响　</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无负面影响　</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生态环境成本指标</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无负面影响　　</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无负面影响　</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restart"/>
            <w:tcBorders>
              <w:top w:val="nil"/>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7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w:t>
            </w:r>
            <w:r>
              <w:rPr>
                <w:rFonts w:hint="eastAsia" w:ascii="Times New Roman" w:hAnsi="Times New Roman" w:eastAsia="仿宋_GB2312" w:cs="Times New Roman"/>
                <w:color w:val="000000"/>
                <w:sz w:val="20"/>
                <w:szCs w:val="20"/>
                <w:lang w:val="en-US" w:eastAsia="zh-CN"/>
              </w:rPr>
              <w:t>济</w:t>
            </w: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科技示范点或科技服务点增收节支百分率（%）</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科技示范点或科技服务点平均亩增加收入（元）</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100-400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100-300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通过新技术示范推广脱贫致富人数（人）</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1000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780"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生态效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科技示范点或科技服务点减少农药、化肥使用量（%）</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641" w:type="dxa"/>
            <w:vMerge w:val="continue"/>
            <w:tcBorders>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7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208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示范推广的新品种新技术先进性保持时间</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5年</w:t>
            </w:r>
          </w:p>
        </w:tc>
        <w:tc>
          <w:tcPr>
            <w:tcW w:w="13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5年</w:t>
            </w:r>
          </w:p>
        </w:tc>
        <w:tc>
          <w:tcPr>
            <w:tcW w:w="71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641"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7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受益人口满意度（%）</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10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641"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780" w:type="dxa"/>
            <w:vMerge w:val="continue"/>
            <w:tcBorders>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208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服务单位满意度（%）</w:t>
            </w:r>
          </w:p>
        </w:tc>
        <w:tc>
          <w:tcPr>
            <w:tcW w:w="125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90</w:t>
            </w:r>
          </w:p>
        </w:tc>
        <w:tc>
          <w:tcPr>
            <w:tcW w:w="1312"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90</w:t>
            </w:r>
          </w:p>
        </w:tc>
        <w:tc>
          <w:tcPr>
            <w:tcW w:w="7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270" w:hRule="atLeast"/>
          <w:jc w:val="center"/>
        </w:trPr>
        <w:tc>
          <w:tcPr>
            <w:tcW w:w="7151"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769"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98</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pPr>
        <w:rPr>
          <w:rFonts w:hint="eastAsia" w:ascii="Times New Roman" w:hAnsi="Times New Roman" w:eastAsia="仿宋_GB2312" w:cs="Times New Roman"/>
          <w:sz w:val="22"/>
          <w:szCs w:val="22"/>
          <w:lang w:val="en-US" w:eastAsia="zh-CN"/>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val="en-US" w:eastAsia="zh-CN"/>
        </w:rPr>
        <w:t>邓佳</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2024.8.28</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 xml:space="preserve">13787115975  </w:t>
      </w:r>
    </w:p>
    <w:p>
      <w:r>
        <w:rPr>
          <w:rFonts w:hint="default" w:ascii="Times New Roman" w:hAnsi="Times New Roman" w:eastAsia="仿宋_GB2312" w:cs="Times New Roman"/>
          <w:sz w:val="22"/>
          <w:szCs w:val="22"/>
        </w:rPr>
        <w:t>单位负责人签字：</w:t>
      </w:r>
      <w:r>
        <w:rPr>
          <w:rFonts w:hint="eastAsia" w:ascii="Times New Roman" w:hAnsi="Times New Roman" w:eastAsia="仿宋_GB2312" w:cs="Times New Roman"/>
          <w:sz w:val="22"/>
          <w:szCs w:val="22"/>
          <w:lang w:val="en-US" w:eastAsia="zh-CN"/>
        </w:rPr>
        <w:t>李娓</w:t>
      </w:r>
    </w:p>
    <w:p>
      <w:pPr>
        <w:widowControl/>
        <w:spacing w:line="600" w:lineRule="exact"/>
        <w:ind w:firstLine="640" w:firstLineChars="200"/>
        <w:jc w:val="left"/>
        <w:rPr>
          <w:rFonts w:hint="eastAsia" w:ascii="宋体" w:hAnsi="宋体" w:eastAsia="宋体" w:cs="宋体"/>
          <w:sz w:val="32"/>
          <w:szCs w:val="32"/>
        </w:rPr>
      </w:pPr>
    </w:p>
    <w:p/>
    <w:p>
      <w:pPr>
        <w:pStyle w:val="18"/>
        <w:jc w:val="center"/>
        <w:rPr>
          <w:rFonts w:hint="eastAsia"/>
          <w:sz w:val="72"/>
          <w:szCs w:val="72"/>
        </w:rPr>
      </w:pPr>
    </w:p>
    <w:sectPr>
      <w:pgSz w:w="11906" w:h="16838"/>
      <w:pgMar w:top="720" w:right="1060" w:bottom="720" w:left="106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206AD"/>
    <w:multiLevelType w:val="multilevel"/>
    <w:tmpl w:val="318206A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2FF2B82"/>
    <w:multiLevelType w:val="singleLevel"/>
    <w:tmpl w:val="62FF2B82"/>
    <w:lvl w:ilvl="0" w:tentative="0">
      <w:start w:val="1"/>
      <w:numFmt w:val="decimal"/>
      <w:suff w:val="nothing"/>
      <w:lvlText w:val="%1、"/>
      <w:lvlJc w:val="left"/>
    </w:lvl>
  </w:abstractNum>
  <w:abstractNum w:abstractNumId="3">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172A27"/>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1DB8"/>
    <w:rsid w:val="008A3E8D"/>
    <w:rsid w:val="009237C4"/>
    <w:rsid w:val="00944C48"/>
    <w:rsid w:val="00950252"/>
    <w:rsid w:val="009638D3"/>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9432B"/>
    <w:rsid w:val="00FB462F"/>
    <w:rsid w:val="00FE16FA"/>
    <w:rsid w:val="00FE328A"/>
    <w:rsid w:val="00FE6269"/>
    <w:rsid w:val="00FF5CD6"/>
    <w:rsid w:val="014A4B87"/>
    <w:rsid w:val="01893741"/>
    <w:rsid w:val="023F622A"/>
    <w:rsid w:val="02481F0A"/>
    <w:rsid w:val="025C6DE0"/>
    <w:rsid w:val="02DE4320"/>
    <w:rsid w:val="02F45CD8"/>
    <w:rsid w:val="03216F3C"/>
    <w:rsid w:val="036538CD"/>
    <w:rsid w:val="03BA4B12"/>
    <w:rsid w:val="03F02741"/>
    <w:rsid w:val="045032A9"/>
    <w:rsid w:val="047021A9"/>
    <w:rsid w:val="048E1851"/>
    <w:rsid w:val="04CB765C"/>
    <w:rsid w:val="04F33787"/>
    <w:rsid w:val="05042CAF"/>
    <w:rsid w:val="0639341C"/>
    <w:rsid w:val="06A23CB0"/>
    <w:rsid w:val="06A72A7B"/>
    <w:rsid w:val="06D04773"/>
    <w:rsid w:val="075A0C47"/>
    <w:rsid w:val="07874365"/>
    <w:rsid w:val="07FC0BA5"/>
    <w:rsid w:val="09303623"/>
    <w:rsid w:val="09463FB2"/>
    <w:rsid w:val="098A25DA"/>
    <w:rsid w:val="098C56E5"/>
    <w:rsid w:val="099955DF"/>
    <w:rsid w:val="099C05E5"/>
    <w:rsid w:val="09ED2B26"/>
    <w:rsid w:val="0AF7652B"/>
    <w:rsid w:val="0B036F14"/>
    <w:rsid w:val="0B2356CB"/>
    <w:rsid w:val="0B3D73D0"/>
    <w:rsid w:val="0B926037"/>
    <w:rsid w:val="0BB21CA6"/>
    <w:rsid w:val="0C0014B2"/>
    <w:rsid w:val="0C8470A6"/>
    <w:rsid w:val="0D1C66B9"/>
    <w:rsid w:val="0D3F4B61"/>
    <w:rsid w:val="0E0759FD"/>
    <w:rsid w:val="0E6F20D1"/>
    <w:rsid w:val="0EB64804"/>
    <w:rsid w:val="0EF60148"/>
    <w:rsid w:val="0EF80318"/>
    <w:rsid w:val="0F3B0205"/>
    <w:rsid w:val="0FC11B4D"/>
    <w:rsid w:val="0FE271A0"/>
    <w:rsid w:val="10446FE5"/>
    <w:rsid w:val="10606175"/>
    <w:rsid w:val="10C0399F"/>
    <w:rsid w:val="10C57F43"/>
    <w:rsid w:val="10F1501F"/>
    <w:rsid w:val="110E3A9D"/>
    <w:rsid w:val="111D1A3D"/>
    <w:rsid w:val="112C733D"/>
    <w:rsid w:val="11960376"/>
    <w:rsid w:val="11CB597E"/>
    <w:rsid w:val="12710013"/>
    <w:rsid w:val="12796F68"/>
    <w:rsid w:val="12A435F6"/>
    <w:rsid w:val="12B91B6C"/>
    <w:rsid w:val="12C27912"/>
    <w:rsid w:val="12D029EC"/>
    <w:rsid w:val="12E666D9"/>
    <w:rsid w:val="13382A05"/>
    <w:rsid w:val="13404973"/>
    <w:rsid w:val="13F015BE"/>
    <w:rsid w:val="13F7195B"/>
    <w:rsid w:val="14135DB9"/>
    <w:rsid w:val="141C3E63"/>
    <w:rsid w:val="14317BE2"/>
    <w:rsid w:val="14491A02"/>
    <w:rsid w:val="14E90AAD"/>
    <w:rsid w:val="14F926F4"/>
    <w:rsid w:val="151E333C"/>
    <w:rsid w:val="15384E76"/>
    <w:rsid w:val="15557395"/>
    <w:rsid w:val="15D62695"/>
    <w:rsid w:val="15EC7C07"/>
    <w:rsid w:val="165503B3"/>
    <w:rsid w:val="167E4576"/>
    <w:rsid w:val="16872902"/>
    <w:rsid w:val="16E06EAF"/>
    <w:rsid w:val="173C249D"/>
    <w:rsid w:val="17F224E9"/>
    <w:rsid w:val="181D5A76"/>
    <w:rsid w:val="182D1EEC"/>
    <w:rsid w:val="18C31C84"/>
    <w:rsid w:val="18D56FD4"/>
    <w:rsid w:val="193F749C"/>
    <w:rsid w:val="19863C5B"/>
    <w:rsid w:val="1A971395"/>
    <w:rsid w:val="1AB40989"/>
    <w:rsid w:val="1B074662"/>
    <w:rsid w:val="1B083691"/>
    <w:rsid w:val="1B527002"/>
    <w:rsid w:val="1C915908"/>
    <w:rsid w:val="1CF61DC8"/>
    <w:rsid w:val="1D1502E7"/>
    <w:rsid w:val="1D666103"/>
    <w:rsid w:val="1DE2702B"/>
    <w:rsid w:val="1E107046"/>
    <w:rsid w:val="1E977585"/>
    <w:rsid w:val="1EB214A0"/>
    <w:rsid w:val="1EB63404"/>
    <w:rsid w:val="1F0611D4"/>
    <w:rsid w:val="1F1958E8"/>
    <w:rsid w:val="1F417171"/>
    <w:rsid w:val="1F4A5FBE"/>
    <w:rsid w:val="20807876"/>
    <w:rsid w:val="20E26137"/>
    <w:rsid w:val="214B7F74"/>
    <w:rsid w:val="21500FC3"/>
    <w:rsid w:val="218349B4"/>
    <w:rsid w:val="21B2656D"/>
    <w:rsid w:val="21ED538F"/>
    <w:rsid w:val="21F42BC1"/>
    <w:rsid w:val="22037FD7"/>
    <w:rsid w:val="2240427D"/>
    <w:rsid w:val="22C2251A"/>
    <w:rsid w:val="22DA2BA1"/>
    <w:rsid w:val="23207BEB"/>
    <w:rsid w:val="23496643"/>
    <w:rsid w:val="24095BF3"/>
    <w:rsid w:val="24E34311"/>
    <w:rsid w:val="24ED4671"/>
    <w:rsid w:val="2528371C"/>
    <w:rsid w:val="257264FC"/>
    <w:rsid w:val="257411BF"/>
    <w:rsid w:val="25A31185"/>
    <w:rsid w:val="26134C45"/>
    <w:rsid w:val="26393298"/>
    <w:rsid w:val="263A0727"/>
    <w:rsid w:val="273344B2"/>
    <w:rsid w:val="27547DC5"/>
    <w:rsid w:val="278453C1"/>
    <w:rsid w:val="27887D0C"/>
    <w:rsid w:val="27C8457A"/>
    <w:rsid w:val="28035FB0"/>
    <w:rsid w:val="28B74A4E"/>
    <w:rsid w:val="28E84B02"/>
    <w:rsid w:val="28FE7CBD"/>
    <w:rsid w:val="292C2319"/>
    <w:rsid w:val="298825C9"/>
    <w:rsid w:val="2A464F08"/>
    <w:rsid w:val="2A5F29FA"/>
    <w:rsid w:val="2ADF518D"/>
    <w:rsid w:val="2B3B716B"/>
    <w:rsid w:val="2BEB5C06"/>
    <w:rsid w:val="2C495D69"/>
    <w:rsid w:val="2C804090"/>
    <w:rsid w:val="2D0D4B37"/>
    <w:rsid w:val="2D146660"/>
    <w:rsid w:val="2DB36779"/>
    <w:rsid w:val="2EA6182F"/>
    <w:rsid w:val="2EFA5AAA"/>
    <w:rsid w:val="2FA15055"/>
    <w:rsid w:val="2FA245EC"/>
    <w:rsid w:val="2FEA689F"/>
    <w:rsid w:val="300E040E"/>
    <w:rsid w:val="305314A0"/>
    <w:rsid w:val="30793D93"/>
    <w:rsid w:val="309243ED"/>
    <w:rsid w:val="309A0494"/>
    <w:rsid w:val="30A77050"/>
    <w:rsid w:val="310A6F22"/>
    <w:rsid w:val="31262623"/>
    <w:rsid w:val="3225048A"/>
    <w:rsid w:val="322E65BD"/>
    <w:rsid w:val="324B2992"/>
    <w:rsid w:val="32894C60"/>
    <w:rsid w:val="329F4483"/>
    <w:rsid w:val="32BD0DAD"/>
    <w:rsid w:val="32FA7222"/>
    <w:rsid w:val="33643977"/>
    <w:rsid w:val="33956C1F"/>
    <w:rsid w:val="33CE1F19"/>
    <w:rsid w:val="341B3FDD"/>
    <w:rsid w:val="344A0F81"/>
    <w:rsid w:val="35312AA1"/>
    <w:rsid w:val="3598775C"/>
    <w:rsid w:val="35CA5CBB"/>
    <w:rsid w:val="36401C22"/>
    <w:rsid w:val="364C7549"/>
    <w:rsid w:val="36BA59A4"/>
    <w:rsid w:val="371E016D"/>
    <w:rsid w:val="372A7A97"/>
    <w:rsid w:val="373B15AC"/>
    <w:rsid w:val="3797398A"/>
    <w:rsid w:val="379A346B"/>
    <w:rsid w:val="37B03010"/>
    <w:rsid w:val="37F91C46"/>
    <w:rsid w:val="384A6C3F"/>
    <w:rsid w:val="391001D0"/>
    <w:rsid w:val="39311BAD"/>
    <w:rsid w:val="395F2BBE"/>
    <w:rsid w:val="39DA2245"/>
    <w:rsid w:val="3AA10B91"/>
    <w:rsid w:val="3AB20970"/>
    <w:rsid w:val="3AC24284"/>
    <w:rsid w:val="3AE67ECA"/>
    <w:rsid w:val="3AFA0CE0"/>
    <w:rsid w:val="3BDD273C"/>
    <w:rsid w:val="3CC80A7A"/>
    <w:rsid w:val="3CFF4E93"/>
    <w:rsid w:val="3DB077C1"/>
    <w:rsid w:val="3DC70D32"/>
    <w:rsid w:val="3DD6592F"/>
    <w:rsid w:val="3E0616BE"/>
    <w:rsid w:val="3E33613D"/>
    <w:rsid w:val="3E4F11AD"/>
    <w:rsid w:val="3F1C67FD"/>
    <w:rsid w:val="3F680052"/>
    <w:rsid w:val="402F34C3"/>
    <w:rsid w:val="403A64B2"/>
    <w:rsid w:val="40B77863"/>
    <w:rsid w:val="40FA4CB6"/>
    <w:rsid w:val="41840B99"/>
    <w:rsid w:val="41A028C1"/>
    <w:rsid w:val="41A31AFC"/>
    <w:rsid w:val="41BC2DF7"/>
    <w:rsid w:val="41FE0AB1"/>
    <w:rsid w:val="42057FAC"/>
    <w:rsid w:val="42291584"/>
    <w:rsid w:val="42743E83"/>
    <w:rsid w:val="4304609F"/>
    <w:rsid w:val="434E0E84"/>
    <w:rsid w:val="439031E9"/>
    <w:rsid w:val="439A14F5"/>
    <w:rsid w:val="43B123FA"/>
    <w:rsid w:val="43B64C10"/>
    <w:rsid w:val="43E75D65"/>
    <w:rsid w:val="4450710E"/>
    <w:rsid w:val="445139CE"/>
    <w:rsid w:val="44654E01"/>
    <w:rsid w:val="449957F7"/>
    <w:rsid w:val="44C361D1"/>
    <w:rsid w:val="44E032D7"/>
    <w:rsid w:val="451345D8"/>
    <w:rsid w:val="453774EC"/>
    <w:rsid w:val="46EA0502"/>
    <w:rsid w:val="47370CD6"/>
    <w:rsid w:val="47C562E2"/>
    <w:rsid w:val="482968D7"/>
    <w:rsid w:val="482F7C10"/>
    <w:rsid w:val="488F2F06"/>
    <w:rsid w:val="48B22B53"/>
    <w:rsid w:val="49271743"/>
    <w:rsid w:val="49423022"/>
    <w:rsid w:val="497609C6"/>
    <w:rsid w:val="49F83582"/>
    <w:rsid w:val="4A835C80"/>
    <w:rsid w:val="4A922AA0"/>
    <w:rsid w:val="4ADF20EB"/>
    <w:rsid w:val="4B3D2633"/>
    <w:rsid w:val="4BA411F2"/>
    <w:rsid w:val="4BAE2EDD"/>
    <w:rsid w:val="4BD300B6"/>
    <w:rsid w:val="4C9F7C6D"/>
    <w:rsid w:val="4D0E31B2"/>
    <w:rsid w:val="4D312395"/>
    <w:rsid w:val="4E155D55"/>
    <w:rsid w:val="4E712730"/>
    <w:rsid w:val="4F304463"/>
    <w:rsid w:val="4F943916"/>
    <w:rsid w:val="4F9D66D8"/>
    <w:rsid w:val="4FC054C0"/>
    <w:rsid w:val="50770014"/>
    <w:rsid w:val="50D17AA6"/>
    <w:rsid w:val="50D66E2A"/>
    <w:rsid w:val="51185F64"/>
    <w:rsid w:val="512E4EF8"/>
    <w:rsid w:val="515626A1"/>
    <w:rsid w:val="51823496"/>
    <w:rsid w:val="523C588C"/>
    <w:rsid w:val="526927F5"/>
    <w:rsid w:val="527B7800"/>
    <w:rsid w:val="532625D0"/>
    <w:rsid w:val="533E323F"/>
    <w:rsid w:val="53C51418"/>
    <w:rsid w:val="543547EF"/>
    <w:rsid w:val="54547399"/>
    <w:rsid w:val="546117BD"/>
    <w:rsid w:val="548B440F"/>
    <w:rsid w:val="54913EC8"/>
    <w:rsid w:val="54C00FA4"/>
    <w:rsid w:val="54CE50EC"/>
    <w:rsid w:val="54D558E9"/>
    <w:rsid w:val="557A7413"/>
    <w:rsid w:val="55AA2C3A"/>
    <w:rsid w:val="55AE22F1"/>
    <w:rsid w:val="55C86FEC"/>
    <w:rsid w:val="56133AB9"/>
    <w:rsid w:val="563C7629"/>
    <w:rsid w:val="5657638D"/>
    <w:rsid w:val="566A4E8F"/>
    <w:rsid w:val="56717EE0"/>
    <w:rsid w:val="56E41CF0"/>
    <w:rsid w:val="571A28F7"/>
    <w:rsid w:val="57816951"/>
    <w:rsid w:val="57C31417"/>
    <w:rsid w:val="57F55CA9"/>
    <w:rsid w:val="581D7FE3"/>
    <w:rsid w:val="58533472"/>
    <w:rsid w:val="587154F4"/>
    <w:rsid w:val="588673C8"/>
    <w:rsid w:val="588C4742"/>
    <w:rsid w:val="59011144"/>
    <w:rsid w:val="5903222A"/>
    <w:rsid w:val="590C1FA9"/>
    <w:rsid w:val="5911454D"/>
    <w:rsid w:val="5932281B"/>
    <w:rsid w:val="597E4984"/>
    <w:rsid w:val="59DE115B"/>
    <w:rsid w:val="5A011D41"/>
    <w:rsid w:val="5A236459"/>
    <w:rsid w:val="5A2D647B"/>
    <w:rsid w:val="5AD51C96"/>
    <w:rsid w:val="5B011CD5"/>
    <w:rsid w:val="5B3A2569"/>
    <w:rsid w:val="5B4812AC"/>
    <w:rsid w:val="5BA741CE"/>
    <w:rsid w:val="5BF23896"/>
    <w:rsid w:val="5C1709D2"/>
    <w:rsid w:val="5C534E4A"/>
    <w:rsid w:val="5C613BF3"/>
    <w:rsid w:val="5D361EE6"/>
    <w:rsid w:val="5D57357D"/>
    <w:rsid w:val="5E5D161C"/>
    <w:rsid w:val="5E624DB0"/>
    <w:rsid w:val="5E6530E2"/>
    <w:rsid w:val="5F047C1E"/>
    <w:rsid w:val="5F522FA7"/>
    <w:rsid w:val="5F571ABE"/>
    <w:rsid w:val="5F8960B6"/>
    <w:rsid w:val="5FA62A45"/>
    <w:rsid w:val="60575599"/>
    <w:rsid w:val="612E684E"/>
    <w:rsid w:val="61794C5F"/>
    <w:rsid w:val="619D5782"/>
    <w:rsid w:val="61C454C9"/>
    <w:rsid w:val="62550B12"/>
    <w:rsid w:val="62BD30CC"/>
    <w:rsid w:val="62EC0E3E"/>
    <w:rsid w:val="63A04C88"/>
    <w:rsid w:val="63A31776"/>
    <w:rsid w:val="63F63108"/>
    <w:rsid w:val="64344173"/>
    <w:rsid w:val="644E78AD"/>
    <w:rsid w:val="648B108F"/>
    <w:rsid w:val="65166C87"/>
    <w:rsid w:val="65270184"/>
    <w:rsid w:val="653D4A55"/>
    <w:rsid w:val="658D0361"/>
    <w:rsid w:val="65A03779"/>
    <w:rsid w:val="65DA28E7"/>
    <w:rsid w:val="668263D9"/>
    <w:rsid w:val="66984AA0"/>
    <w:rsid w:val="66B450F6"/>
    <w:rsid w:val="671E0416"/>
    <w:rsid w:val="67264262"/>
    <w:rsid w:val="67D9103F"/>
    <w:rsid w:val="68070D2F"/>
    <w:rsid w:val="681027BC"/>
    <w:rsid w:val="68263AB3"/>
    <w:rsid w:val="6870599E"/>
    <w:rsid w:val="68B23827"/>
    <w:rsid w:val="694C6B4B"/>
    <w:rsid w:val="69977A8C"/>
    <w:rsid w:val="6A445FE6"/>
    <w:rsid w:val="6A5D5A03"/>
    <w:rsid w:val="6AC924D6"/>
    <w:rsid w:val="6AE954FB"/>
    <w:rsid w:val="6B0A3135"/>
    <w:rsid w:val="6B9C6871"/>
    <w:rsid w:val="6BA030A4"/>
    <w:rsid w:val="6BF452DC"/>
    <w:rsid w:val="6C564F9A"/>
    <w:rsid w:val="6C8528F7"/>
    <w:rsid w:val="6DAB3516"/>
    <w:rsid w:val="6DB33610"/>
    <w:rsid w:val="6DE63ECC"/>
    <w:rsid w:val="6E3F503F"/>
    <w:rsid w:val="6E563EF9"/>
    <w:rsid w:val="6ED81866"/>
    <w:rsid w:val="6F0450EF"/>
    <w:rsid w:val="6F35700F"/>
    <w:rsid w:val="6F975A6C"/>
    <w:rsid w:val="6F980C8B"/>
    <w:rsid w:val="6FAF7B5C"/>
    <w:rsid w:val="6FB5189E"/>
    <w:rsid w:val="6FD93D2E"/>
    <w:rsid w:val="70B26E0A"/>
    <w:rsid w:val="70F25AEA"/>
    <w:rsid w:val="71592567"/>
    <w:rsid w:val="7199491A"/>
    <w:rsid w:val="71F10C8F"/>
    <w:rsid w:val="71F95315"/>
    <w:rsid w:val="720204DE"/>
    <w:rsid w:val="722075F9"/>
    <w:rsid w:val="722932E5"/>
    <w:rsid w:val="722C5A49"/>
    <w:rsid w:val="724D2B40"/>
    <w:rsid w:val="72680523"/>
    <w:rsid w:val="726A16B0"/>
    <w:rsid w:val="72897766"/>
    <w:rsid w:val="72DB435B"/>
    <w:rsid w:val="734A6699"/>
    <w:rsid w:val="73BB0F2F"/>
    <w:rsid w:val="73D03A1A"/>
    <w:rsid w:val="74027FCF"/>
    <w:rsid w:val="74746D31"/>
    <w:rsid w:val="74787B79"/>
    <w:rsid w:val="74A335AC"/>
    <w:rsid w:val="74BE7A92"/>
    <w:rsid w:val="751C649B"/>
    <w:rsid w:val="751D2A0A"/>
    <w:rsid w:val="7541406B"/>
    <w:rsid w:val="755F3023"/>
    <w:rsid w:val="762F092F"/>
    <w:rsid w:val="76995E06"/>
    <w:rsid w:val="76BE75E3"/>
    <w:rsid w:val="76C065CC"/>
    <w:rsid w:val="77054A9A"/>
    <w:rsid w:val="777D3EE3"/>
    <w:rsid w:val="77D3208F"/>
    <w:rsid w:val="78112CFA"/>
    <w:rsid w:val="7826015D"/>
    <w:rsid w:val="79C90A76"/>
    <w:rsid w:val="79EE7ED2"/>
    <w:rsid w:val="7A2655E8"/>
    <w:rsid w:val="7A331109"/>
    <w:rsid w:val="7A3B22B0"/>
    <w:rsid w:val="7A3E5CDE"/>
    <w:rsid w:val="7A721A4A"/>
    <w:rsid w:val="7A7C40D3"/>
    <w:rsid w:val="7A916F8C"/>
    <w:rsid w:val="7ABB54A9"/>
    <w:rsid w:val="7B04724E"/>
    <w:rsid w:val="7B08795F"/>
    <w:rsid w:val="7B1F22A5"/>
    <w:rsid w:val="7B2403B0"/>
    <w:rsid w:val="7B3650B2"/>
    <w:rsid w:val="7B630764"/>
    <w:rsid w:val="7B6933AA"/>
    <w:rsid w:val="7B83564C"/>
    <w:rsid w:val="7C6C2A94"/>
    <w:rsid w:val="7CBC2CF0"/>
    <w:rsid w:val="7CD62B2B"/>
    <w:rsid w:val="7D1830D3"/>
    <w:rsid w:val="7DF07571"/>
    <w:rsid w:val="7DF77527"/>
    <w:rsid w:val="7E235535"/>
    <w:rsid w:val="7EF2575C"/>
    <w:rsid w:val="7F4A14A2"/>
    <w:rsid w:val="7F5643DC"/>
    <w:rsid w:val="7F9956F0"/>
    <w:rsid w:val="7F9E3EA3"/>
    <w:rsid w:val="7FAB531A"/>
    <w:rsid w:val="7FB26214"/>
    <w:rsid w:val="7FB803BA"/>
    <w:rsid w:val="7FDB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left="641" w:leftChars="0" w:firstLine="720"/>
      <w:outlineLvl w:val="0"/>
    </w:pPr>
    <w:rPr>
      <w:rFonts w:eastAsia="黑体"/>
      <w:kern w:val="44"/>
      <w:sz w:val="32"/>
    </w:rPr>
  </w:style>
  <w:style w:type="paragraph" w:styleId="3">
    <w:name w:val="heading 2"/>
    <w:basedOn w:val="1"/>
    <w:next w:val="1"/>
    <w:unhideWhenUsed/>
    <w:qFormat/>
    <w:uiPriority w:val="0"/>
    <w:pPr>
      <w:keepNext/>
      <w:keepLines/>
      <w:spacing w:beforeLines="0" w:beforeAutospacing="0" w:afterLines="0" w:afterAutospacing="0" w:line="600" w:lineRule="exact"/>
      <w:ind w:left="641" w:firstLine="0"/>
      <w:outlineLvl w:val="1"/>
    </w:pPr>
    <w:rPr>
      <w:rFonts w:ascii="Arial" w:hAnsi="Arial" w:eastAsia="黑体"/>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caption"/>
    <w:basedOn w:val="1"/>
    <w:next w:val="1"/>
    <w:unhideWhenUsed/>
    <w:qFormat/>
    <w:uiPriority w:val="35"/>
    <w:rPr>
      <w:rFonts w:ascii="Arial" w:hAnsi="Arial" w:eastAsia="黑体"/>
      <w:sz w:val="20"/>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List 2"/>
    <w:basedOn w:val="1"/>
    <w:unhideWhenUsed/>
    <w:qFormat/>
    <w:uiPriority w:val="99"/>
    <w:pPr>
      <w:ind w:left="100" w:leftChars="200" w:hanging="200" w:hangingChars="200"/>
      <w:contextualSpacing/>
    </w:pPr>
  </w:style>
  <w:style w:type="paragraph" w:styleId="9">
    <w:name w:val="Balloon Text"/>
    <w:basedOn w:val="1"/>
    <w:link w:val="20"/>
    <w:semiHidden/>
    <w:unhideWhenUsed/>
    <w:qFormat/>
    <w:uiPriority w:val="99"/>
    <w:rPr>
      <w:sz w:val="18"/>
      <w:szCs w:val="18"/>
    </w:rPr>
  </w:style>
  <w:style w:type="paragraph" w:styleId="10">
    <w:name w:val="footer"/>
    <w:basedOn w:val="1"/>
    <w:link w:val="17"/>
    <w:unhideWhenUsed/>
    <w:qFormat/>
    <w:uiPriority w:val="99"/>
    <w:pPr>
      <w:tabs>
        <w:tab w:val="center" w:pos="4153"/>
        <w:tab w:val="right" w:pos="8306"/>
      </w:tabs>
      <w:snapToGrid w:val="0"/>
      <w:jc w:val="left"/>
    </w:pPr>
    <w:rPr>
      <w:sz w:val="18"/>
      <w:szCs w:val="18"/>
    </w:rPr>
  </w:style>
  <w:style w:type="paragraph" w:styleId="11">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footnote text"/>
    <w:basedOn w:val="1"/>
    <w:next w:val="7"/>
    <w:semiHidden/>
    <w:qFormat/>
    <w:uiPriority w:val="0"/>
    <w:pPr>
      <w:snapToGrid w:val="0"/>
      <w:jc w:val="left"/>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6">
    <w:name w:val="页眉 Char"/>
    <w:basedOn w:val="15"/>
    <w:link w:val="11"/>
    <w:qFormat/>
    <w:uiPriority w:val="99"/>
    <w:rPr>
      <w:sz w:val="18"/>
      <w:szCs w:val="18"/>
    </w:rPr>
  </w:style>
  <w:style w:type="character" w:customStyle="1" w:styleId="17">
    <w:name w:val="页脚 Char"/>
    <w:basedOn w:val="15"/>
    <w:link w:val="10"/>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9"/>
    <w:semiHidden/>
    <w:qFormat/>
    <w:uiPriority w:val="99"/>
    <w:rPr>
      <w:sz w:val="18"/>
      <w:szCs w:val="18"/>
    </w:rPr>
  </w:style>
  <w:style w:type="character" w:customStyle="1" w:styleId="21">
    <w:name w:val="font41"/>
    <w:basedOn w:val="15"/>
    <w:qFormat/>
    <w:uiPriority w:val="0"/>
    <w:rPr>
      <w:rFonts w:hint="default" w:ascii="Times New Roman" w:hAnsi="Times New Roman" w:cs="Times New Roman"/>
      <w:color w:val="000000"/>
      <w:sz w:val="21"/>
      <w:szCs w:val="21"/>
      <w:u w:val="none"/>
    </w:rPr>
  </w:style>
  <w:style w:type="character" w:customStyle="1" w:styleId="22">
    <w:name w:val="font01"/>
    <w:basedOn w:val="15"/>
    <w:qFormat/>
    <w:uiPriority w:val="0"/>
    <w:rPr>
      <w:rFonts w:ascii="仿宋_GB2312" w:eastAsia="仿宋_GB2312" w:cs="仿宋_GB2312"/>
      <w:color w:val="000000"/>
      <w:sz w:val="21"/>
      <w:szCs w:val="21"/>
      <w:u w:val="none"/>
    </w:rPr>
  </w:style>
  <w:style w:type="character" w:customStyle="1" w:styleId="23">
    <w:name w:val="font21"/>
    <w:basedOn w:val="15"/>
    <w:qFormat/>
    <w:uiPriority w:val="0"/>
    <w:rPr>
      <w:rFonts w:hint="eastAsia" w:ascii="宋体" w:hAnsi="宋体" w:eastAsia="宋体" w:cs="宋体"/>
      <w:color w:val="000000"/>
      <w:sz w:val="21"/>
      <w:szCs w:val="21"/>
      <w:u w:val="none"/>
    </w:rPr>
  </w:style>
  <w:style w:type="character" w:customStyle="1" w:styleId="24">
    <w:name w:val="font11"/>
    <w:basedOn w:val="15"/>
    <w:qFormat/>
    <w:uiPriority w:val="0"/>
    <w:rPr>
      <w:rFonts w:hint="eastAsia" w:ascii="宋体" w:hAnsi="宋体" w:eastAsia="宋体" w:cs="宋体"/>
      <w:color w:val="000000"/>
      <w:sz w:val="21"/>
      <w:szCs w:val="21"/>
      <w:u w:val="none"/>
    </w:rPr>
  </w:style>
  <w:style w:type="character" w:customStyle="1" w:styleId="25">
    <w:name w:val="font51"/>
    <w:basedOn w:val="15"/>
    <w:qFormat/>
    <w:uiPriority w:val="0"/>
    <w:rPr>
      <w:rFonts w:ascii="仿宋_GB2312" w:eastAsia="仿宋_GB2312" w:cs="仿宋_GB2312"/>
      <w:color w:val="000000"/>
      <w:sz w:val="21"/>
      <w:szCs w:val="21"/>
      <w:u w:val="none"/>
    </w:rPr>
  </w:style>
  <w:style w:type="character" w:customStyle="1" w:styleId="26">
    <w:name w:val="font3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AD695-5494-44B7-BD4E-A342C0530F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9836</Words>
  <Characters>10597</Characters>
  <Lines>61</Lines>
  <Paragraphs>17</Paragraphs>
  <TotalTime>6</TotalTime>
  <ScaleCrop>false</ScaleCrop>
  <LinksUpToDate>false</LinksUpToDate>
  <CharactersWithSpaces>10854</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lenovo</cp:lastModifiedBy>
  <cp:lastPrinted>2021-08-05T08:54:00Z</cp:lastPrinted>
  <dcterms:modified xsi:type="dcterms:W3CDTF">2024-09-06T07:01:55Z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9D31EED6E6774004B6EFF0E15060D41A_13</vt:lpwstr>
  </property>
</Properties>
</file>