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2023年度</w:t>
      </w: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湖南省农业机械化高科技 示范园部门决算</w:t>
      </w:r>
    </w:p>
    <w:p>
      <w:pPr>
        <w:pStyle w:val="13"/>
        <w:jc w:val="center"/>
        <w:rPr>
          <w:rFonts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Ansi="黑体"/>
          <w:bCs/>
          <w:sz w:val="28"/>
          <w:szCs w:val="28"/>
        </w:rPr>
      </w:pPr>
      <w:r>
        <w:rPr>
          <w:rFonts w:hint="eastAsia" w:hAnsi="黑体"/>
          <w:bCs/>
          <w:sz w:val="28"/>
          <w:szCs w:val="28"/>
        </w:rPr>
        <w:t>第一部分湖南省农业机械化高科技示范园概况</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Ansi="黑体"/>
          <w:bCs/>
          <w:sz w:val="28"/>
          <w:szCs w:val="28"/>
        </w:rPr>
      </w:pPr>
      <w:r>
        <w:rPr>
          <w:rFonts w:hint="eastAsia" w:hAnsi="黑体"/>
          <w:bCs/>
          <w:sz w:val="28"/>
          <w:szCs w:val="28"/>
        </w:rPr>
        <w:t>第二部分部门决算表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Ansi="黑体"/>
          <w:bCs/>
          <w:sz w:val="28"/>
          <w:szCs w:val="28"/>
        </w:rPr>
      </w:pPr>
      <w:r>
        <w:rPr>
          <w:rFonts w:hint="eastAsia" w:hAnsi="黑体"/>
          <w:bCs/>
          <w:sz w:val="28"/>
          <w:szCs w:val="28"/>
        </w:rPr>
        <w:t>第三部分部门决算情况说明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pPr>
        <w:pStyle w:val="13"/>
        <w:spacing w:line="500" w:lineRule="exact"/>
        <w:rPr>
          <w:rFonts w:hAnsi="黑体"/>
          <w:bCs/>
          <w:sz w:val="28"/>
          <w:szCs w:val="28"/>
        </w:rPr>
      </w:pPr>
      <w:r>
        <w:rPr>
          <w:rFonts w:hint="eastAsia" w:hAnsi="黑体"/>
          <w:bCs/>
          <w:sz w:val="28"/>
          <w:szCs w:val="28"/>
        </w:rPr>
        <w:t>第四部分名词解释</w:t>
      </w:r>
    </w:p>
    <w:p>
      <w:pPr>
        <w:pStyle w:val="13"/>
        <w:spacing w:line="500" w:lineRule="exact"/>
        <w:rPr>
          <w:rFonts w:hAnsi="黑体"/>
          <w:bCs/>
          <w:sz w:val="28"/>
          <w:szCs w:val="28"/>
        </w:rPr>
      </w:pPr>
      <w:r>
        <w:rPr>
          <w:rFonts w:hint="eastAsia" w:hAnsi="黑体"/>
          <w:bCs/>
          <w:sz w:val="28"/>
          <w:szCs w:val="28"/>
        </w:rPr>
        <w:t>第五部分附件</w:t>
      </w:r>
    </w:p>
    <w:p>
      <w:pPr>
        <w:pStyle w:val="13"/>
        <w:spacing w:line="500" w:lineRule="exact"/>
        <w:rPr>
          <w:rFonts w:hAnsi="黑体"/>
          <w:bCs/>
          <w:sz w:val="28"/>
          <w:szCs w:val="28"/>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湖南省农业机械化高科技 示范园概况</w:t>
      </w:r>
    </w:p>
    <w:p>
      <w:pPr>
        <w:pStyle w:val="14"/>
        <w:ind w:firstLine="0" w:firstLineChars="0"/>
        <w:jc w:val="left"/>
        <w:rPr>
          <w:rFonts w:ascii="方正小标宋_GBK" w:hAnsi="方正小标宋_GBK" w:eastAsia="方正小标宋_GBK" w:cs="方正小标宋_GBK"/>
          <w:sz w:val="72"/>
          <w:szCs w:val="72"/>
        </w:rPr>
      </w:pPr>
    </w:p>
    <w:p>
      <w:pPr>
        <w:pStyle w:val="14"/>
        <w:ind w:firstLine="0" w:firstLineChars="0"/>
        <w:jc w:val="left"/>
        <w:rPr>
          <w:rFonts w:ascii="方正小标宋_GBK" w:hAnsi="方正小标宋_GBK" w:eastAsia="方正小标宋_GBK" w:cs="方正小标宋_GBK"/>
          <w:sz w:val="72"/>
          <w:szCs w:val="72"/>
        </w:rPr>
      </w:pPr>
    </w:p>
    <w:p>
      <w:pPr>
        <w:pStyle w:val="14"/>
        <w:ind w:firstLine="0" w:firstLineChars="0"/>
        <w:jc w:val="left"/>
        <w:rPr>
          <w:rFonts w:ascii="黑体" w:hAnsi="黑体" w:eastAsia="黑体" w:cs="黑体"/>
          <w:sz w:val="32"/>
          <w:szCs w:val="32"/>
        </w:rPr>
      </w:pPr>
    </w:p>
    <w:p>
      <w:pPr>
        <w:pStyle w:val="14"/>
        <w:ind w:firstLine="0" w:firstLineChars="0"/>
        <w:jc w:val="left"/>
        <w:rPr>
          <w:rFonts w:ascii="黑体" w:hAnsi="黑体" w:eastAsia="黑体" w:cs="黑体"/>
          <w:sz w:val="32"/>
          <w:szCs w:val="32"/>
        </w:rPr>
      </w:pPr>
    </w:p>
    <w:p>
      <w:pPr>
        <w:pStyle w:val="14"/>
        <w:ind w:firstLine="0" w:firstLineChars="0"/>
        <w:jc w:val="left"/>
        <w:rPr>
          <w:rFonts w:ascii="黑体" w:hAnsi="黑体" w:eastAsia="黑体" w:cs="黑体"/>
          <w:sz w:val="32"/>
          <w:szCs w:val="32"/>
        </w:rPr>
      </w:pPr>
    </w:p>
    <w:p>
      <w:pPr>
        <w:pStyle w:val="14"/>
        <w:ind w:firstLine="0" w:firstLineChars="0"/>
        <w:jc w:val="left"/>
        <w:rPr>
          <w:rFonts w:hint="eastAsia" w:ascii="黑体" w:hAnsi="黑体" w:eastAsia="黑体" w:cs="黑体"/>
          <w:sz w:val="32"/>
          <w:szCs w:val="32"/>
        </w:rPr>
      </w:pPr>
    </w:p>
    <w:p>
      <w:pPr>
        <w:pStyle w:val="14"/>
        <w:ind w:firstLine="0" w:firstLineChars="0"/>
        <w:jc w:val="left"/>
        <w:rPr>
          <w:rFonts w:hint="eastAsia" w:ascii="黑体" w:hAnsi="黑体" w:eastAsia="黑体" w:cs="黑体"/>
          <w:sz w:val="32"/>
          <w:szCs w:val="32"/>
        </w:rPr>
      </w:pPr>
    </w:p>
    <w:p>
      <w:pPr>
        <w:pStyle w:val="14"/>
        <w:ind w:firstLine="0" w:firstLineChars="0"/>
        <w:jc w:val="left"/>
        <w:rPr>
          <w:rFonts w:ascii="黑体" w:hAnsi="黑体" w:eastAsia="黑体" w:cs="黑体"/>
          <w:sz w:val="32"/>
          <w:szCs w:val="32"/>
        </w:rPr>
      </w:pPr>
      <w:r>
        <w:rPr>
          <w:rFonts w:hint="eastAsia" w:ascii="黑体" w:hAnsi="黑体" w:eastAsia="黑体" w:cs="黑体"/>
          <w:sz w:val="32"/>
          <w:szCs w:val="32"/>
        </w:rPr>
        <w:t>一、部门职责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主要职能：我单位为财政补助公益二类事业单位，执行政府会计准则制度，宗旨和业务范围：</w:t>
      </w:r>
      <w:r>
        <w:rPr>
          <w:rFonts w:ascii="Times New Roman" w:hAnsi="Times New Roman" w:eastAsia="仿宋_GB2312" w:cs="仿宋_GB2312"/>
          <w:bCs/>
          <w:kern w:val="0"/>
          <w:sz w:val="32"/>
          <w:szCs w:val="32"/>
        </w:rPr>
        <w:t>推广农机新技术，促进农业发展。农业机械及农业工程技术试验示范</w:t>
      </w:r>
      <w:r>
        <w:rPr>
          <w:rFonts w:hint="eastAsia" w:ascii="Times New Roman" w:hAnsi="Times New Roman" w:eastAsia="仿宋_GB2312" w:cs="仿宋_GB2312"/>
          <w:bCs/>
          <w:kern w:val="0"/>
          <w:sz w:val="32"/>
          <w:szCs w:val="32"/>
        </w:rPr>
        <w:t>、</w:t>
      </w:r>
      <w:r>
        <w:rPr>
          <w:rFonts w:ascii="Times New Roman" w:hAnsi="Times New Roman" w:eastAsia="仿宋_GB2312" w:cs="仿宋_GB2312"/>
          <w:bCs/>
          <w:kern w:val="0"/>
          <w:sz w:val="32"/>
          <w:szCs w:val="32"/>
        </w:rPr>
        <w:t>农机新机具、新设施、新技术推广、展示农机新产品新机具实验示范</w:t>
      </w:r>
      <w:r>
        <w:rPr>
          <w:rFonts w:hint="eastAsia" w:ascii="Times New Roman" w:hAnsi="Times New Roman" w:eastAsia="仿宋_GB2312" w:cs="仿宋_GB2312"/>
          <w:bCs/>
          <w:kern w:val="0"/>
          <w:sz w:val="32"/>
          <w:szCs w:val="32"/>
        </w:rPr>
        <w:t>、</w:t>
      </w:r>
      <w:r>
        <w:rPr>
          <w:rFonts w:ascii="Times New Roman" w:hAnsi="Times New Roman" w:eastAsia="仿宋_GB2312" w:cs="仿宋_GB2312"/>
          <w:bCs/>
          <w:kern w:val="0"/>
          <w:sz w:val="32"/>
          <w:szCs w:val="32"/>
        </w:rPr>
        <w:t>相关技术服务、技术培训</w:t>
      </w:r>
      <w:r>
        <w:rPr>
          <w:rFonts w:hint="eastAsia" w:ascii="Times New Roman" w:hAnsi="Times New Roman" w:eastAsia="仿宋_GB2312" w:cs="仿宋_GB2312"/>
          <w:bCs/>
          <w:kern w:val="0"/>
          <w:sz w:val="32"/>
          <w:szCs w:val="32"/>
        </w:rPr>
        <w:t>。</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（一）内设机构设置：湖南省农业机械化高科技示范园</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（二）决算单位构成。湖南省农业机械化高科技示范园</w:t>
      </w:r>
      <w:r>
        <w:rPr>
          <w:rFonts w:ascii="Times New Roman" w:hAnsi="Times New Roman" w:eastAsia="仿宋_GB2312" w:cs="仿宋_GB2312"/>
          <w:bCs/>
          <w:kern w:val="0"/>
          <w:sz w:val="32"/>
          <w:szCs w:val="32"/>
        </w:rPr>
        <w:t>20</w:t>
      </w:r>
      <w:r>
        <w:rPr>
          <w:rFonts w:hint="eastAsia" w:ascii="Times New Roman" w:hAnsi="Times New Roman" w:eastAsia="仿宋_GB2312" w:cs="仿宋_GB2312"/>
          <w:bCs/>
          <w:kern w:val="0"/>
          <w:sz w:val="32"/>
          <w:szCs w:val="32"/>
        </w:rPr>
        <w:t>23年部门决算汇总公开单位：湖南省农业机械化高科技示范园本级。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9"/>
        <w:tblW w:w="15428" w:type="dxa"/>
        <w:tblInd w:w="0" w:type="dxa"/>
        <w:tblLayout w:type="fixed"/>
        <w:tblCellMar>
          <w:top w:w="0" w:type="dxa"/>
          <w:left w:w="0" w:type="dxa"/>
          <w:bottom w:w="0" w:type="dxa"/>
          <w:right w:w="0" w:type="dxa"/>
        </w:tblCellMar>
      </w:tblPr>
      <w:tblGrid>
        <w:gridCol w:w="530"/>
        <w:gridCol w:w="652"/>
        <w:gridCol w:w="4855"/>
        <w:gridCol w:w="1581"/>
        <w:gridCol w:w="1581"/>
        <w:gridCol w:w="991"/>
        <w:gridCol w:w="991"/>
        <w:gridCol w:w="991"/>
        <w:gridCol w:w="991"/>
        <w:gridCol w:w="2265"/>
      </w:tblGrid>
      <w:tr>
        <w:tblPrEx>
          <w:tblLayout w:type="fixed"/>
          <w:tblCellMar>
            <w:top w:w="0" w:type="dxa"/>
            <w:left w:w="0" w:type="dxa"/>
            <w:bottom w:w="0" w:type="dxa"/>
            <w:right w:w="0" w:type="dxa"/>
          </w:tblCellMar>
        </w:tblPrEx>
        <w:trPr>
          <w:trHeight w:val="1478"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widowControl/>
              <w:jc w:val="center"/>
              <w:textAlignment w:val="center"/>
              <w:rPr>
                <w:rFonts w:ascii="华文中宋" w:hAnsi="华文中宋" w:eastAsia="华文中宋" w:cs="华文中宋"/>
                <w:color w:val="000000"/>
                <w:kern w:val="0"/>
                <w:sz w:val="32"/>
                <w:szCs w:val="32"/>
              </w:rPr>
            </w:pPr>
            <w:r>
              <w:rPr>
                <w:rFonts w:hint="eastAsia" w:ascii="华文中宋" w:hAnsi="华文中宋" w:eastAsia="华文中宋" w:cs="华文中宋"/>
                <w:color w:val="000000"/>
                <w:kern w:val="0"/>
                <w:sz w:val="32"/>
                <w:szCs w:val="32"/>
              </w:rPr>
              <w:t>收入支出决算总表</w:t>
            </w:r>
          </w:p>
          <w:tbl>
            <w:tblPr>
              <w:tblStyle w:val="9"/>
              <w:tblW w:w="15398" w:type="dxa"/>
              <w:tblInd w:w="0" w:type="dxa"/>
              <w:tblLayout w:type="fixed"/>
              <w:tblCellMar>
                <w:top w:w="0" w:type="dxa"/>
                <w:left w:w="108" w:type="dxa"/>
                <w:bottom w:w="0" w:type="dxa"/>
                <w:right w:w="108" w:type="dxa"/>
              </w:tblCellMar>
            </w:tblPr>
            <w:tblGrid>
              <w:gridCol w:w="3966"/>
              <w:gridCol w:w="653"/>
              <w:gridCol w:w="2702"/>
              <w:gridCol w:w="5132"/>
              <w:gridCol w:w="616"/>
              <w:gridCol w:w="2329"/>
            </w:tblGrid>
            <w:tr>
              <w:tblPrEx>
                <w:tblLayout w:type="fixed"/>
                <w:tblCellMar>
                  <w:top w:w="0" w:type="dxa"/>
                  <w:left w:w="108" w:type="dxa"/>
                  <w:bottom w:w="0" w:type="dxa"/>
                  <w:right w:w="108" w:type="dxa"/>
                </w:tblCellMar>
              </w:tblPrEx>
              <w:trPr>
                <w:trHeight w:val="318" w:hRule="atLeast"/>
              </w:trPr>
              <w:tc>
                <w:tcPr>
                  <w:tcW w:w="396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53"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702"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5132"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1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329"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108" w:type="dxa"/>
                  <w:bottom w:w="0" w:type="dxa"/>
                  <w:right w:w="108" w:type="dxa"/>
                </w:tblCellMar>
              </w:tblPrEx>
              <w:trPr>
                <w:trHeight w:val="318" w:hRule="atLeast"/>
              </w:trPr>
              <w:tc>
                <w:tcPr>
                  <w:tcW w:w="3966"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部门：湖南省农业机械化高科技示范园</w:t>
                  </w:r>
                </w:p>
              </w:tc>
              <w:tc>
                <w:tcPr>
                  <w:tcW w:w="653"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702"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5132"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1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329"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38" w:hRule="exact"/>
              </w:trPr>
              <w:tc>
                <w:tcPr>
                  <w:tcW w:w="732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807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支出</w:t>
                  </w: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27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23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270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23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r>
            <w:tr>
              <w:tblPrEx>
                <w:tblLayout w:type="fixed"/>
                <w:tblCellMar>
                  <w:top w:w="0" w:type="dxa"/>
                  <w:left w:w="108" w:type="dxa"/>
                  <w:bottom w:w="0" w:type="dxa"/>
                  <w:right w:w="108" w:type="dxa"/>
                </w:tblCellMar>
              </w:tblPrEx>
              <w:trPr>
                <w:trHeight w:val="43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145.85</w:t>
                  </w: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一、一般公共服务支出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32</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538"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二、外交支出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33</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0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三、国防支出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34</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四、上级补助收入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四、公共安全支出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35</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83"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五、事业收入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五、教育支出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36</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38"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六、经营收入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六、科学技术支出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37</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七、附属单位上缴收入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2"/>
                    </w:rPr>
                    <w:t>七、文化旅游体育与传媒支出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38</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83"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八、其他收入</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0.09</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八、社会保障和就业支出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39</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14</w:t>
                  </w:r>
                  <w:r>
                    <w:rPr>
                      <w:rFonts w:hint="eastAsia" w:ascii="宋体" w:hAnsi="宋体" w:eastAsia="宋体" w:cs="宋体"/>
                      <w:color w:val="000000"/>
                      <w:sz w:val="22"/>
                    </w:rPr>
                    <w:t>.30</w:t>
                  </w:r>
                </w:p>
              </w:tc>
            </w:tr>
            <w:tr>
              <w:tblPrEx>
                <w:tblLayout w:type="fixed"/>
                <w:tblCellMar>
                  <w:top w:w="0" w:type="dxa"/>
                  <w:left w:w="108" w:type="dxa"/>
                  <w:bottom w:w="0" w:type="dxa"/>
                  <w:right w:w="108" w:type="dxa"/>
                </w:tblCellMar>
              </w:tblPrEx>
              <w:trPr>
                <w:trHeight w:val="46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2"/>
                    </w:rPr>
                    <w:t>九、卫生健康支出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39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十、节能环保支出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5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十一、城乡社区支出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9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十二、农林水支出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100</w:t>
                  </w:r>
                  <w:r>
                    <w:rPr>
                      <w:rFonts w:hint="eastAsia" w:ascii="宋体" w:hAnsi="宋体" w:eastAsia="宋体" w:cs="宋体"/>
                      <w:color w:val="000000"/>
                      <w:sz w:val="22"/>
                    </w:rPr>
                    <w:t>.</w:t>
                  </w:r>
                  <w:r>
                    <w:rPr>
                      <w:rFonts w:ascii="宋体" w:hAnsi="宋体" w:eastAsia="宋体" w:cs="宋体"/>
                      <w:color w:val="000000"/>
                      <w:sz w:val="22"/>
                    </w:rPr>
                    <w:t>42</w:t>
                  </w:r>
                </w:p>
              </w:tc>
            </w:tr>
            <w:tr>
              <w:tblPrEx>
                <w:tblLayout w:type="fixed"/>
                <w:tblCellMar>
                  <w:top w:w="0" w:type="dxa"/>
                  <w:left w:w="108" w:type="dxa"/>
                  <w:bottom w:w="0" w:type="dxa"/>
                  <w:right w:w="108" w:type="dxa"/>
                </w:tblCellMar>
              </w:tblPrEx>
              <w:trPr>
                <w:trHeight w:val="49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13</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十三、交通运输支出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14</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十四、资源勘探工业信息等支出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7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15</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十五、商业服务业等支出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3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16</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十六、金融支出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17</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十七、援助其他地区支出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0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18</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十八、自然资源海洋气象等支出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0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19</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十九、住房保障支出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4</w:t>
                  </w:r>
                  <w:r>
                    <w:rPr>
                      <w:rFonts w:hint="eastAsia" w:ascii="宋体" w:hAnsi="宋体" w:eastAsia="宋体" w:cs="宋体"/>
                      <w:color w:val="000000"/>
                      <w:sz w:val="22"/>
                    </w:rPr>
                    <w:t>.</w:t>
                  </w:r>
                  <w:r>
                    <w:rPr>
                      <w:rFonts w:ascii="宋体" w:hAnsi="宋体" w:eastAsia="宋体" w:cs="宋体"/>
                      <w:color w:val="000000"/>
                      <w:sz w:val="22"/>
                    </w:rPr>
                    <w:t>8</w:t>
                  </w:r>
                  <w:r>
                    <w:rPr>
                      <w:rFonts w:hint="eastAsia" w:ascii="宋体" w:hAnsi="宋体" w:eastAsia="宋体" w:cs="宋体"/>
                      <w:color w:val="000000"/>
                      <w:sz w:val="22"/>
                    </w:rPr>
                    <w:t>4</w:t>
                  </w:r>
                </w:p>
              </w:tc>
            </w:tr>
            <w:tr>
              <w:tblPrEx>
                <w:tblLayout w:type="fixed"/>
                <w:tblCellMar>
                  <w:top w:w="0" w:type="dxa"/>
                  <w:left w:w="108" w:type="dxa"/>
                  <w:bottom w:w="0" w:type="dxa"/>
                  <w:right w:w="108" w:type="dxa"/>
                </w:tblCellMar>
              </w:tblPrEx>
              <w:trPr>
                <w:trHeight w:val="42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20</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二十、粮油物资储备支出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3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21</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二十一、国有资本经营预算支出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5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22</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二十二、灾害防治及应急管理支出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9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23</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二十三、其他支出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3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0"/>
                      <w:szCs w:val="20"/>
                    </w:rPr>
                    <w:t>24</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二十四、债务还本支出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5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0"/>
                      <w:szCs w:val="20"/>
                    </w:rPr>
                    <w:t>25</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二十五、债务付息支出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0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0"/>
                      <w:szCs w:val="20"/>
                    </w:rPr>
                    <w:t>26</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kern w:val="0"/>
                      <w:sz w:val="22"/>
                    </w:rPr>
                  </w:pPr>
                  <w:r>
                    <w:rPr>
                      <w:rFonts w:hint="eastAsia" w:ascii="宋体" w:hAnsi="宋体" w:eastAsia="宋体" w:cs="宋体"/>
                      <w:color w:val="000000"/>
                      <w:kern w:val="0"/>
                      <w:sz w:val="22"/>
                    </w:rPr>
                    <w:t>二十六、抗疫特别国债安排的支出</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46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b/>
                      <w:bCs/>
                      <w:color w:val="000000"/>
                      <w:kern w:val="0"/>
                      <w:sz w:val="22"/>
                    </w:rPr>
                    <w:t>本年支出合计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r>
                    <w:rPr>
                      <w:rFonts w:hint="eastAsia" w:ascii="宋体" w:hAnsi="宋体" w:eastAsia="宋体" w:cs="宋体"/>
                      <w:b/>
                      <w:color w:val="000000"/>
                      <w:sz w:val="22"/>
                    </w:rPr>
                    <w:t>119.56</w:t>
                  </w:r>
                </w:p>
              </w:tc>
            </w:tr>
            <w:tr>
              <w:tblPrEx>
                <w:tblLayout w:type="fixed"/>
                <w:tblCellMar>
                  <w:top w:w="0" w:type="dxa"/>
                  <w:left w:w="108" w:type="dxa"/>
                  <w:bottom w:w="0" w:type="dxa"/>
                  <w:right w:w="108" w:type="dxa"/>
                </w:tblCellMar>
              </w:tblPrEx>
              <w:trPr>
                <w:trHeight w:val="45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28</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r>
                    <w:rPr>
                      <w:rFonts w:hint="eastAsia" w:ascii="宋体" w:hAnsi="宋体" w:eastAsia="宋体" w:cs="宋体"/>
                      <w:b/>
                      <w:color w:val="000000"/>
                      <w:sz w:val="22"/>
                    </w:rPr>
                    <w:t>145.94</w:t>
                  </w: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rPr>
                  </w:pPr>
                  <w:r>
                    <w:rPr>
                      <w:rFonts w:hint="eastAsia" w:ascii="宋体" w:hAnsi="宋体" w:eastAsia="宋体" w:cs="宋体"/>
                      <w:color w:val="000000"/>
                      <w:kern w:val="0"/>
                      <w:sz w:val="22"/>
                    </w:rPr>
                    <w:t>结余分配</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59</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0.03</w:t>
                  </w:r>
                </w:p>
              </w:tc>
            </w:tr>
            <w:tr>
              <w:tblPrEx>
                <w:tblLayout w:type="fixed"/>
                <w:tblCellMar>
                  <w:top w:w="0" w:type="dxa"/>
                  <w:left w:w="108" w:type="dxa"/>
                  <w:bottom w:w="0" w:type="dxa"/>
                  <w:right w:w="108" w:type="dxa"/>
                </w:tblCellMar>
              </w:tblPrEx>
              <w:trPr>
                <w:trHeight w:val="508"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使用非财政拨款结余（含专用结余）</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29</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年末结转和结余</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26.35</w:t>
                  </w:r>
                </w:p>
              </w:tc>
            </w:tr>
            <w:tr>
              <w:tblPrEx>
                <w:tblLayout w:type="fixed"/>
                <w:tblCellMar>
                  <w:top w:w="0" w:type="dxa"/>
                  <w:left w:w="108" w:type="dxa"/>
                  <w:bottom w:w="0" w:type="dxa"/>
                  <w:right w:w="108" w:type="dxa"/>
                </w:tblCellMar>
              </w:tblPrEx>
              <w:trPr>
                <w:trHeight w:val="393" w:hRule="exact"/>
              </w:trPr>
              <w:tc>
                <w:tcPr>
                  <w:tcW w:w="3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年初结转和结余</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30</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61</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438" w:hRule="exact"/>
              </w:trPr>
              <w:tc>
                <w:tcPr>
                  <w:tcW w:w="396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31</w:t>
                  </w:r>
                </w:p>
              </w:tc>
              <w:tc>
                <w:tcPr>
                  <w:tcW w:w="27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r>
                    <w:rPr>
                      <w:rFonts w:hint="eastAsia" w:ascii="宋体" w:hAnsi="宋体" w:eastAsia="宋体" w:cs="宋体"/>
                      <w:b/>
                      <w:color w:val="000000"/>
                      <w:sz w:val="22"/>
                    </w:rPr>
                    <w:t>145.94</w:t>
                  </w:r>
                </w:p>
              </w:tc>
              <w:tc>
                <w:tcPr>
                  <w:tcW w:w="51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bCs/>
                      <w:color w:val="000000"/>
                      <w:kern w:val="0"/>
                      <w:sz w:val="22"/>
                    </w:rPr>
                    <w:t>总计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62</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r>
                    <w:rPr>
                      <w:rFonts w:hint="eastAsia" w:ascii="宋体" w:hAnsi="宋体" w:eastAsia="宋体" w:cs="宋体"/>
                      <w:b/>
                      <w:color w:val="000000"/>
                      <w:sz w:val="22"/>
                    </w:rPr>
                    <w:t>145.94</w:t>
                  </w:r>
                </w:p>
              </w:tc>
            </w:tr>
            <w:tr>
              <w:tblPrEx>
                <w:tblLayout w:type="fixed"/>
                <w:tblCellMar>
                  <w:top w:w="0" w:type="dxa"/>
                  <w:left w:w="108" w:type="dxa"/>
                  <w:bottom w:w="0" w:type="dxa"/>
                  <w:right w:w="108" w:type="dxa"/>
                </w:tblCellMar>
              </w:tblPrEx>
              <w:trPr>
                <w:trHeight w:val="278" w:hRule="exact"/>
              </w:trPr>
              <w:tc>
                <w:tcPr>
                  <w:tcW w:w="15398"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注：1.本表反映部门本年度的总收支和年末结转结余情况。2.本套报表金额单位转换时可能存在尾数误差。</w:t>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br w:type="textWrapping"/>
                  </w:r>
                  <w:r>
                    <w:rPr>
                      <w:rFonts w:hint="eastAsia" w:ascii="宋体" w:hAnsi="宋体" w:eastAsia="宋体" w:cs="宋体"/>
                      <w:color w:val="000000"/>
                      <w:kern w:val="0"/>
                      <w:szCs w:val="21"/>
                    </w:rPr>
                    <w:t xml:space="preserve">    2.本套报表金额单位转换时可能存在尾数误差。</w:t>
                  </w:r>
                </w:p>
              </w:tc>
            </w:tr>
          </w:tbl>
          <w:p>
            <w:pPr>
              <w:jc w:val="center"/>
              <w:rPr>
                <w:rFonts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5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652"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85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8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8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2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10190" w:type="dxa"/>
            <w:gridSpan w:val="6"/>
            <w:tcBorders>
              <w:top w:val="nil"/>
              <w:left w:val="nil"/>
              <w:bottom w:val="nil"/>
              <w:right w:val="nil"/>
            </w:tcBorders>
            <w:shd w:val="clear" w:color="000000" w:fill="FFFFFF"/>
            <w:noWrap/>
            <w:tcMar>
              <w:top w:w="15" w:type="dxa"/>
              <w:left w:w="15" w:type="dxa"/>
              <w:bottom w:w="0" w:type="dxa"/>
              <w:right w:w="15" w:type="dxa"/>
            </w:tcMar>
            <w:vAlign w:val="center"/>
          </w:tcPr>
          <w:p>
            <w:pPr>
              <w:rPr>
                <w:rFonts w:hint="default" w:ascii="宋体" w:hAnsi="宋体" w:cs="宋体" w:eastAsiaTheme="minorEastAsia"/>
                <w:color w:val="000000"/>
                <w:sz w:val="20"/>
                <w:szCs w:val="20"/>
                <w:lang w:val="en-US" w:eastAsia="zh-CN"/>
              </w:rPr>
            </w:pPr>
            <w:r>
              <w:rPr>
                <w:rFonts w:hint="eastAsia"/>
                <w:color w:val="000000"/>
                <w:sz w:val="20"/>
                <w:szCs w:val="20"/>
                <w:lang w:val="en-US" w:eastAsia="zh-CN"/>
              </w:rPr>
              <w:t xml:space="preserve">     </w:t>
            </w:r>
          </w:p>
          <w:p>
            <w:pPr>
              <w:jc w:val="left"/>
              <w:rPr>
                <w:rFonts w:ascii="宋体" w:hAnsi="宋体" w:eastAsia="宋体" w:cs="宋体"/>
                <w:color w:val="000000"/>
                <w:sz w:val="20"/>
                <w:szCs w:val="20"/>
              </w:rPr>
            </w:pPr>
            <w:r>
              <w:rPr>
                <w:rFonts w:hint="eastAsia"/>
                <w:color w:val="000000"/>
                <w:sz w:val="20"/>
                <w:szCs w:val="20"/>
              </w:rPr>
              <w:t>部门：</w:t>
            </w:r>
            <w:r>
              <w:rPr>
                <w:rFonts w:hint="eastAsia" w:ascii="宋体" w:hAnsi="宋体" w:eastAsia="宋体" w:cs="宋体"/>
                <w:color w:val="000000"/>
                <w:kern w:val="0"/>
                <w:sz w:val="20"/>
                <w:szCs w:val="20"/>
              </w:rPr>
              <w:t>湖南省农业机械化高科技示范园</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91"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26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6037"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58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5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99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99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99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991"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226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1182"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4855"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5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2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1182"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485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8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91"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2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603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58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58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99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99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99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99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226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603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145.94</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145.85</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0.09</w:t>
            </w: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20.18</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20.18</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20805</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20.18</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20.18</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2080505</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20.18</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20.18</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农林水支出</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116.89</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116.80</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0.09</w:t>
            </w: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农业农村</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116.89</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116.80</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0.09</w:t>
            </w: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2130101</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行政运行</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6.80</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6.80</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2130104</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事业运行</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110.09</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110.00</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0.09</w:t>
            </w: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8.87</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8.87</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22102</w:t>
            </w:r>
            <w:r>
              <w:rPr>
                <w:rFonts w:hint="eastAsia" w:ascii="宋体" w:hAnsi="宋体" w:eastAsia="宋体" w:cs="宋体"/>
                <w:color w:val="000000"/>
                <w:kern w:val="0"/>
                <w:sz w:val="22"/>
              </w:rPr>
              <w:tab/>
            </w:r>
            <w:r>
              <w:rPr>
                <w:rFonts w:hint="eastAsia" w:ascii="宋体" w:hAnsi="宋体" w:eastAsia="宋体" w:cs="宋体"/>
                <w:color w:val="000000"/>
                <w:kern w:val="0"/>
                <w:sz w:val="22"/>
              </w:rPr>
              <w:tab/>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8.87</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8.87</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450" w:hRule="atLeast"/>
        </w:trPr>
        <w:tc>
          <w:tcPr>
            <w:tcW w:w="1182"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2210201</w:t>
            </w:r>
          </w:p>
        </w:tc>
        <w:tc>
          <w:tcPr>
            <w:tcW w:w="485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8.87</w:t>
            </w:r>
          </w:p>
        </w:tc>
        <w:tc>
          <w:tcPr>
            <w:tcW w:w="15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8.87</w:t>
            </w: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99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c>
          <w:tcPr>
            <w:tcW w:w="226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tbl>
      <w:tblPr>
        <w:tblStyle w:val="9"/>
        <w:tblW w:w="15466" w:type="dxa"/>
        <w:tblInd w:w="93" w:type="dxa"/>
        <w:tblLayout w:type="fixed"/>
        <w:tblCellMar>
          <w:top w:w="0" w:type="dxa"/>
          <w:left w:w="108" w:type="dxa"/>
          <w:bottom w:w="0" w:type="dxa"/>
          <w:right w:w="108" w:type="dxa"/>
        </w:tblCellMar>
      </w:tblPr>
      <w:tblGrid>
        <w:gridCol w:w="1236"/>
        <w:gridCol w:w="263"/>
        <w:gridCol w:w="2627"/>
        <w:gridCol w:w="1843"/>
        <w:gridCol w:w="1984"/>
        <w:gridCol w:w="1701"/>
        <w:gridCol w:w="1843"/>
        <w:gridCol w:w="1985"/>
        <w:gridCol w:w="1984"/>
      </w:tblGrid>
      <w:tr>
        <w:tblPrEx>
          <w:tblLayout w:type="fixed"/>
          <w:tblCellMar>
            <w:top w:w="0" w:type="dxa"/>
            <w:left w:w="108" w:type="dxa"/>
            <w:bottom w:w="0" w:type="dxa"/>
            <w:right w:w="108" w:type="dxa"/>
          </w:tblCellMar>
        </w:tblPrEx>
        <w:trPr>
          <w:trHeight w:val="807" w:hRule="atLeast"/>
        </w:trPr>
        <w:tc>
          <w:tcPr>
            <w:tcW w:w="15466"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2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03" w:hRule="atLeast"/>
        </w:trPr>
        <w:tc>
          <w:tcPr>
            <w:tcW w:w="5969"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部门：湖南省农业机械化高科技示范园</w:t>
            </w:r>
            <w:r>
              <w:rPr>
                <w:rFonts w:hint="eastAsia" w:ascii="宋体" w:hAnsi="宋体" w:eastAsia="宋体" w:cs="宋体"/>
                <w:kern w:val="0"/>
                <w:sz w:val="24"/>
                <w:szCs w:val="24"/>
              </w:rPr>
              <w:t>　</w:t>
            </w:r>
          </w:p>
        </w:tc>
        <w:tc>
          <w:tcPr>
            <w:tcW w:w="198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8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4126"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84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8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70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84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98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8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6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6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412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84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0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84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8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8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454" w:hRule="atLeast"/>
        </w:trPr>
        <w:tc>
          <w:tcPr>
            <w:tcW w:w="412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119.56</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111.06</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8.5</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14.30</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14.30</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20805</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2080505</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农林水支出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100.42</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91.92</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8.50</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农业农村</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100.42</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91.92</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8.50</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2130101</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行政运行</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1.05</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1.05</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2130104</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事业运行</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99.37</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90.87</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8.50</w:t>
            </w: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4.84</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4.84</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b/>
                <w:bCs/>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22102</w:t>
            </w:r>
            <w:r>
              <w:rPr>
                <w:rFonts w:hint="eastAsia" w:ascii="宋体" w:hAnsi="宋体" w:eastAsia="宋体" w:cs="宋体"/>
                <w:color w:val="000000"/>
                <w:kern w:val="0"/>
                <w:sz w:val="22"/>
              </w:rPr>
              <w:tab/>
            </w:r>
            <w:r>
              <w:rPr>
                <w:rFonts w:hint="eastAsia" w:ascii="宋体" w:hAnsi="宋体" w:eastAsia="宋体" w:cs="宋体"/>
                <w:color w:val="000000"/>
                <w:kern w:val="0"/>
                <w:sz w:val="22"/>
              </w:rPr>
              <w:tab/>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454"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2210201</w:t>
            </w:r>
          </w:p>
        </w:tc>
        <w:tc>
          <w:tcPr>
            <w:tcW w:w="262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住房公积金</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84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5"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828" w:hRule="atLeast"/>
        </w:trPr>
        <w:tc>
          <w:tcPr>
            <w:tcW w:w="15466"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rPr>
          <w:rFonts w:ascii="Times New Roman" w:hAnsi="Times New Roman" w:eastAsia="方正小标宋_GBK" w:cs="Times New Roman"/>
          <w:color w:val="000000"/>
          <w:kern w:val="0"/>
          <w:sz w:val="36"/>
          <w:szCs w:val="21"/>
        </w:rPr>
      </w:pPr>
    </w:p>
    <w:tbl>
      <w:tblPr>
        <w:tblStyle w:val="9"/>
        <w:tblW w:w="15523" w:type="dxa"/>
        <w:tblInd w:w="91" w:type="dxa"/>
        <w:tblLayout w:type="fixed"/>
        <w:tblCellMar>
          <w:top w:w="0" w:type="dxa"/>
          <w:left w:w="108" w:type="dxa"/>
          <w:bottom w:w="0" w:type="dxa"/>
          <w:right w:w="108" w:type="dxa"/>
        </w:tblCellMar>
      </w:tblPr>
      <w:tblGrid>
        <w:gridCol w:w="3596"/>
        <w:gridCol w:w="437"/>
        <w:gridCol w:w="1078"/>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6"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F16"/>
          </w:p>
        </w:tc>
        <w:tc>
          <w:tcPr>
            <w:tcW w:w="437"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159" w:hRule="atLeast"/>
        </w:trPr>
        <w:tc>
          <w:tcPr>
            <w:tcW w:w="15523"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87" w:hRule="atLeast"/>
        </w:trPr>
        <w:tc>
          <w:tcPr>
            <w:tcW w:w="359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部门：湖南省农业机械化高科技示范园</w:t>
            </w:r>
          </w:p>
        </w:tc>
        <w:tc>
          <w:tcPr>
            <w:tcW w:w="43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274" w:hRule="atLeast"/>
        </w:trPr>
        <w:tc>
          <w:tcPr>
            <w:tcW w:w="511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444"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43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国有资本经营预算财政拨款</w:t>
            </w:r>
          </w:p>
        </w:tc>
      </w:tr>
      <w:tr>
        <w:tblPrEx>
          <w:tblLayout w:type="fixed"/>
          <w:tblCellMar>
            <w:top w:w="0" w:type="dxa"/>
            <w:left w:w="108" w:type="dxa"/>
            <w:bottom w:w="0" w:type="dxa"/>
            <w:right w:w="108" w:type="dxa"/>
          </w:tblCellMar>
        </w:tblPrEx>
        <w:trPr>
          <w:trHeight w:val="249"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栏    次</w:t>
            </w:r>
          </w:p>
        </w:tc>
        <w:tc>
          <w:tcPr>
            <w:tcW w:w="43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r>
      <w:tr>
        <w:tblPrEx>
          <w:tblLayout w:type="fixed"/>
          <w:tblCellMar>
            <w:top w:w="0" w:type="dxa"/>
            <w:left w:w="108" w:type="dxa"/>
            <w:bottom w:w="0" w:type="dxa"/>
            <w:right w:w="108" w:type="dxa"/>
          </w:tblCellMar>
        </w:tblPrEx>
        <w:trPr>
          <w:trHeight w:val="45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一、一般公共预算财政拨款</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145.85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16"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二、政府性基金预算财政拨款</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三、国有资本经营预算财政拨款</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1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6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8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7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8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26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100.36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100.36</w:t>
            </w:r>
          </w:p>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.0.00</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5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8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4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2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9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8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6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7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1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9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8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2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0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本年收入合计</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145.85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119.50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119.50</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年初财政拨款结转和结余</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26.35</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26.35</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一般公共预算财政拨款</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3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政府性基金预算财政拨款</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01" w:hRule="exac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国有资本经营预算财政拨款</w:t>
            </w:r>
          </w:p>
        </w:tc>
        <w:tc>
          <w:tcPr>
            <w:tcW w:w="437"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41" w:hRule="exact"/>
        </w:trPr>
        <w:tc>
          <w:tcPr>
            <w:tcW w:w="359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总计</w:t>
            </w:r>
          </w:p>
        </w:tc>
        <w:tc>
          <w:tcPr>
            <w:tcW w:w="437" w:type="dxa"/>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145.85</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145.85</w:t>
            </w:r>
          </w:p>
          <w:p>
            <w:pPr>
              <w:widowControl/>
              <w:jc w:val="center"/>
              <w:textAlignment w:val="center"/>
              <w:rPr>
                <w:rFonts w:hint="eastAsia" w:ascii="宋体" w:hAnsi="宋体" w:eastAsia="宋体" w:cs="宋体"/>
                <w:color w:val="000000"/>
                <w:kern w:val="0"/>
                <w:sz w:val="22"/>
              </w:rPr>
            </w:pP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145.85</w:t>
            </w:r>
          </w:p>
          <w:p>
            <w:pPr>
              <w:widowControl/>
              <w:jc w:val="center"/>
              <w:textAlignment w:val="center"/>
              <w:rPr>
                <w:rFonts w:hint="eastAsia" w:ascii="宋体" w:hAnsi="宋体" w:eastAsia="宋体" w:cs="宋体"/>
                <w:color w:val="000000"/>
                <w:kern w:val="0"/>
                <w:sz w:val="22"/>
              </w:rPr>
            </w:pPr>
          </w:p>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856</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22"/>
              </w:rPr>
            </w:pPr>
          </w:p>
        </w:tc>
      </w:tr>
    </w:tbl>
    <w:p>
      <w:pPr>
        <w:widowControl/>
        <w:jc w:val="left"/>
        <w:textAlignment w:val="center"/>
        <w:rPr>
          <w:rFonts w:ascii="Times New Roman" w:hAnsi="Times New Roman" w:eastAsia="方正小标宋_GBK" w:cs="Times New Roman"/>
          <w:kern w:val="0"/>
          <w:sz w:val="36"/>
          <w:szCs w:val="36"/>
        </w:rPr>
      </w:pPr>
      <w:r>
        <w:rPr>
          <w:rFonts w:hint="eastAsia" w:ascii="宋体" w:hAnsi="宋体" w:eastAsia="宋体" w:cs="宋体"/>
          <w:color w:val="000000"/>
          <w:kern w:val="0"/>
          <w:sz w:val="22"/>
        </w:rPr>
        <w:t>注：本表反映部门本年度一般公共预算财政拨款、政府性基金预算财政拨款和国有资本经营预算财政拨款的总收支和年末结转结余情况。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0"/>
    </w:p>
    <w:p>
      <w:pPr>
        <w:widowControl/>
        <w:spacing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宋体" w:hAnsi="宋体" w:eastAsia="宋体" w:cs="宋体"/>
          <w:color w:val="000000"/>
          <w:kern w:val="0"/>
          <w:sz w:val="20"/>
          <w:szCs w:val="20"/>
        </w:rPr>
        <w:t>部门：湖南省农业机械化高科技示范园</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r>
        <w:rPr>
          <w:rFonts w:hint="eastAsia" w:ascii="Times New Roman" w:hAnsi="Times New Roman" w:eastAsia="仿宋_GB2312" w:cs="Times New Roman"/>
          <w:color w:val="000000"/>
          <w:kern w:val="0"/>
          <w:szCs w:val="21"/>
        </w:rPr>
        <w:t xml:space="preserve">                                                                                                                     </w:t>
      </w:r>
    </w:p>
    <w:tbl>
      <w:tblPr>
        <w:tblStyle w:val="9"/>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项 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119.50</w:t>
            </w:r>
          </w:p>
        </w:tc>
        <w:tc>
          <w:tcPr>
            <w:tcW w:w="34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111.00</w:t>
            </w:r>
          </w:p>
        </w:tc>
        <w:tc>
          <w:tcPr>
            <w:tcW w:w="3000"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8.50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w:t>
            </w:r>
          </w:p>
        </w:tc>
        <w:tc>
          <w:tcPr>
            <w:tcW w:w="3527"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14.30</w:t>
            </w:r>
          </w:p>
        </w:tc>
        <w:tc>
          <w:tcPr>
            <w:tcW w:w="34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14.30</w:t>
            </w:r>
          </w:p>
        </w:tc>
        <w:tc>
          <w:tcPr>
            <w:tcW w:w="3000"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20805</w:t>
            </w:r>
          </w:p>
        </w:tc>
        <w:tc>
          <w:tcPr>
            <w:tcW w:w="3527"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34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3000"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2080505</w:t>
            </w:r>
          </w:p>
        </w:tc>
        <w:tc>
          <w:tcPr>
            <w:tcW w:w="3527"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34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14.30</w:t>
            </w:r>
          </w:p>
        </w:tc>
        <w:tc>
          <w:tcPr>
            <w:tcW w:w="3000"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w:t>
            </w:r>
          </w:p>
        </w:tc>
        <w:tc>
          <w:tcPr>
            <w:tcW w:w="3527"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100.36</w:t>
            </w:r>
          </w:p>
        </w:tc>
        <w:tc>
          <w:tcPr>
            <w:tcW w:w="34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bCs/>
                <w:color w:val="000000"/>
                <w:kern w:val="0"/>
                <w:sz w:val="22"/>
                <w:lang w:val="en-US" w:eastAsia="zh-CN"/>
              </w:rPr>
            </w:pPr>
            <w:r>
              <w:rPr>
                <w:rFonts w:hint="eastAsia" w:ascii="宋体" w:hAnsi="宋体" w:eastAsia="宋体" w:cs="宋体"/>
                <w:b/>
                <w:bCs/>
                <w:color w:val="000000"/>
                <w:kern w:val="0"/>
                <w:sz w:val="22"/>
                <w:lang w:val="en-US" w:eastAsia="zh-CN"/>
              </w:rPr>
              <w:t>91.86</w:t>
            </w:r>
          </w:p>
        </w:tc>
        <w:tc>
          <w:tcPr>
            <w:tcW w:w="3000"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b/>
                <w:bCs/>
                <w:color w:val="000000"/>
                <w:kern w:val="0"/>
                <w:sz w:val="22"/>
              </w:rPr>
              <w:t>8.50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w:t>
            </w:r>
          </w:p>
        </w:tc>
        <w:tc>
          <w:tcPr>
            <w:tcW w:w="3527"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农业农村</w:t>
            </w:r>
          </w:p>
        </w:tc>
        <w:tc>
          <w:tcPr>
            <w:tcW w:w="30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100.36</w:t>
            </w:r>
          </w:p>
        </w:tc>
        <w:tc>
          <w:tcPr>
            <w:tcW w:w="34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91.86</w:t>
            </w:r>
          </w:p>
        </w:tc>
        <w:tc>
          <w:tcPr>
            <w:tcW w:w="3000" w:type="dxa"/>
            <w:tcBorders>
              <w:top w:val="nil"/>
              <w:left w:val="nil"/>
              <w:bottom w:val="single" w:color="auto" w:sz="4"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8.50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2130101</w:t>
            </w:r>
          </w:p>
        </w:tc>
        <w:tc>
          <w:tcPr>
            <w:tcW w:w="3527" w:type="dxa"/>
            <w:tcBorders>
              <w:top w:val="nil"/>
              <w:left w:val="nil"/>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行政运行</w:t>
            </w:r>
          </w:p>
        </w:tc>
        <w:tc>
          <w:tcPr>
            <w:tcW w:w="3000"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1.05</w:t>
            </w:r>
          </w:p>
        </w:tc>
        <w:tc>
          <w:tcPr>
            <w:tcW w:w="3492"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1.05</w:t>
            </w:r>
          </w:p>
        </w:tc>
        <w:tc>
          <w:tcPr>
            <w:tcW w:w="300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2130104</w:t>
            </w:r>
          </w:p>
        </w:tc>
        <w:tc>
          <w:tcPr>
            <w:tcW w:w="3527" w:type="dxa"/>
            <w:tcBorders>
              <w:top w:val="nil"/>
              <w:left w:val="nil"/>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事业运行</w:t>
            </w:r>
          </w:p>
        </w:tc>
        <w:tc>
          <w:tcPr>
            <w:tcW w:w="3000"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99.31</w:t>
            </w:r>
          </w:p>
        </w:tc>
        <w:tc>
          <w:tcPr>
            <w:tcW w:w="3492"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90.81</w:t>
            </w:r>
          </w:p>
        </w:tc>
        <w:tc>
          <w:tcPr>
            <w:tcW w:w="300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8.50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w:t>
            </w:r>
          </w:p>
        </w:tc>
        <w:tc>
          <w:tcPr>
            <w:tcW w:w="3527" w:type="dxa"/>
            <w:tcBorders>
              <w:top w:val="nil"/>
              <w:left w:val="nil"/>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住房保障支出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4.84</w:t>
            </w:r>
          </w:p>
        </w:tc>
        <w:tc>
          <w:tcPr>
            <w:tcW w:w="3492"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4.84</w:t>
            </w:r>
          </w:p>
        </w:tc>
        <w:tc>
          <w:tcPr>
            <w:tcW w:w="300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b/>
                <w:bCs/>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22102</w:t>
            </w:r>
            <w:r>
              <w:rPr>
                <w:rFonts w:hint="eastAsia" w:ascii="宋体" w:hAnsi="宋体" w:eastAsia="宋体" w:cs="宋体"/>
                <w:color w:val="000000"/>
                <w:kern w:val="0"/>
                <w:sz w:val="22"/>
              </w:rPr>
              <w:tab/>
            </w:r>
          </w:p>
        </w:tc>
        <w:tc>
          <w:tcPr>
            <w:tcW w:w="3527" w:type="dxa"/>
            <w:tcBorders>
              <w:top w:val="nil"/>
              <w:left w:val="nil"/>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住房改革支出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3492"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300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2210201</w:t>
            </w:r>
          </w:p>
        </w:tc>
        <w:tc>
          <w:tcPr>
            <w:tcW w:w="3527" w:type="dxa"/>
            <w:tcBorders>
              <w:top w:val="nil"/>
              <w:left w:val="nil"/>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住房公积金</w:t>
            </w:r>
          </w:p>
        </w:tc>
        <w:tc>
          <w:tcPr>
            <w:tcW w:w="3000"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3492"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r>
              <w:rPr>
                <w:rFonts w:hint="eastAsia" w:ascii="宋体" w:hAnsi="宋体" w:eastAsia="宋体" w:cs="宋体"/>
                <w:color w:val="000000"/>
                <w:kern w:val="0"/>
                <w:sz w:val="22"/>
              </w:rPr>
              <w:t>4.84</w:t>
            </w:r>
          </w:p>
        </w:tc>
        <w:tc>
          <w:tcPr>
            <w:tcW w:w="300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p>
        </w:tc>
        <w:tc>
          <w:tcPr>
            <w:tcW w:w="3527" w:type="dxa"/>
            <w:tcBorders>
              <w:top w:val="nil"/>
              <w:left w:val="nil"/>
              <w:bottom w:val="single" w:color="auto" w:sz="8"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0"/>
                <w:sz w:val="22"/>
              </w:rPr>
            </w:pPr>
          </w:p>
        </w:tc>
        <w:tc>
          <w:tcPr>
            <w:tcW w:w="3000"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c>
          <w:tcPr>
            <w:tcW w:w="3492" w:type="dxa"/>
            <w:tcBorders>
              <w:top w:val="nil"/>
              <w:left w:val="nil"/>
              <w:bottom w:val="single" w:color="auto" w:sz="8" w:space="0"/>
              <w:right w:val="single" w:color="auto" w:sz="4"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c>
          <w:tcPr>
            <w:tcW w:w="3000"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hint="eastAsia"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15614" w:type="dxa"/>
        <w:tblInd w:w="0" w:type="dxa"/>
        <w:tblLayout w:type="fixed"/>
        <w:tblCellMar>
          <w:top w:w="0" w:type="dxa"/>
          <w:left w:w="108" w:type="dxa"/>
          <w:bottom w:w="0" w:type="dxa"/>
          <w:right w:w="108" w:type="dxa"/>
        </w:tblCellMar>
      </w:tblPr>
      <w:tblGrid>
        <w:gridCol w:w="983"/>
        <w:gridCol w:w="239"/>
        <w:gridCol w:w="212"/>
        <w:gridCol w:w="1161"/>
        <w:gridCol w:w="2014"/>
        <w:gridCol w:w="213"/>
        <w:gridCol w:w="623"/>
        <w:gridCol w:w="1017"/>
        <w:gridCol w:w="305"/>
        <w:gridCol w:w="1962"/>
        <w:gridCol w:w="213"/>
        <w:gridCol w:w="763"/>
        <w:gridCol w:w="861"/>
        <w:gridCol w:w="458"/>
        <w:gridCol w:w="2096"/>
        <w:gridCol w:w="1599"/>
        <w:gridCol w:w="610"/>
        <w:gridCol w:w="285"/>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hint="eastAsia" w:ascii="华文中宋" w:hAnsi="华文中宋" w:eastAsia="华文中宋" w:cs="宋体"/>
                <w:color w:val="000000"/>
                <w:kern w:val="0"/>
                <w:szCs w:val="32"/>
              </w:rPr>
            </w:pPr>
            <w:bookmarkStart w:id="1" w:name="RANGE!A1:I34"/>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一般公共预算财政拨款基本支出决算明细表</w:t>
            </w:r>
            <w:bookmarkEnd w:id="1"/>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left"/>
              <w:rPr>
                <w:rFonts w:ascii="华文中宋" w:hAnsi="华文中宋" w:eastAsia="华文中宋" w:cs="宋体"/>
                <w:color w:val="000000"/>
                <w:kern w:val="0"/>
                <w:szCs w:val="32"/>
              </w:rPr>
            </w:pPr>
            <w:r>
              <w:rPr>
                <w:rFonts w:hint="eastAsia" w:ascii="宋体" w:hAnsi="宋体" w:eastAsia="宋体" w:cs="宋体"/>
                <w:color w:val="000000"/>
                <w:kern w:val="0"/>
                <w:sz w:val="20"/>
                <w:szCs w:val="20"/>
                <w:lang w:eastAsia="zh-CN"/>
              </w:rPr>
              <w:t>部门：</w:t>
            </w:r>
            <w:r>
              <w:rPr>
                <w:rFonts w:hint="eastAsia" w:ascii="宋体" w:hAnsi="宋体" w:eastAsia="宋体" w:cs="宋体"/>
                <w:color w:val="000000"/>
                <w:kern w:val="0"/>
                <w:sz w:val="20"/>
                <w:szCs w:val="20"/>
              </w:rPr>
              <w:t>湖南省农业机械化高科技示范园</w:t>
            </w:r>
            <w:r>
              <w:rPr>
                <w:rFonts w:hint="eastAsia" w:ascii="宋体" w:hAnsi="宋体" w:eastAsia="宋体" w:cs="宋体"/>
                <w:color w:val="000000"/>
                <w:kern w:val="0"/>
                <w:sz w:val="20"/>
                <w:szCs w:val="20"/>
                <w:lang w:val="en-US" w:eastAsia="zh-CN"/>
              </w:rPr>
              <w:t xml:space="preserve">                                                                                                              </w:t>
            </w: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43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1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86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5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lang w:val="en-US" w:eastAsia="zh-CN"/>
              </w:rPr>
              <w:t>66.86</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b/>
                <w:bCs/>
                <w:color w:val="auto"/>
                <w:kern w:val="0"/>
                <w:szCs w:val="20"/>
                <w:lang w:val="en-US" w:eastAsia="zh-CN"/>
              </w:rPr>
              <w:t>44.14</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18.93</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3.00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9.94</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1.80</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9.05</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5.97</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4.00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3.15</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5.18</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3.00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2.62</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4.84</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8.00</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0.20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18.00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2.30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0.52</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39909</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ascii="宋体" w:hAnsi="宋体" w:eastAsia="宋体" w:cs="宋体"/>
                <w:color w:val="000000"/>
                <w:kern w:val="0"/>
                <w:szCs w:val="20"/>
              </w:rPr>
            </w:pPr>
          </w:p>
          <w:tbl>
            <w:tblPr>
              <w:tblStyle w:val="9"/>
              <w:tblW w:w="3932" w:type="dxa"/>
              <w:tblInd w:w="0" w:type="dxa"/>
              <w:tblLayout w:type="fixed"/>
              <w:tblCellMar>
                <w:top w:w="0" w:type="dxa"/>
                <w:left w:w="108" w:type="dxa"/>
                <w:bottom w:w="0" w:type="dxa"/>
                <w:right w:w="108" w:type="dxa"/>
              </w:tblCellMar>
            </w:tblPr>
            <w:tblGrid>
              <w:gridCol w:w="3932"/>
            </w:tblGrid>
            <w:tr>
              <w:tblPrEx>
                <w:tblLayout w:type="fixed"/>
                <w:tblCellMar>
                  <w:top w:w="0" w:type="dxa"/>
                  <w:left w:w="108" w:type="dxa"/>
                  <w:bottom w:w="0" w:type="dxa"/>
                  <w:right w:w="108" w:type="dxa"/>
                </w:tblCellMar>
              </w:tblPrEx>
              <w:trPr>
                <w:trHeight w:val="252" w:hRule="atLeast"/>
              </w:trPr>
              <w:tc>
                <w:tcPr>
                  <w:tcW w:w="3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经常性赠与</w:t>
                  </w:r>
                </w:p>
              </w:tc>
            </w:tr>
            <w:tr>
              <w:tblPrEx>
                <w:tblLayout w:type="fixed"/>
                <w:tblCellMar>
                  <w:top w:w="0" w:type="dxa"/>
                  <w:left w:w="108" w:type="dxa"/>
                  <w:bottom w:w="0" w:type="dxa"/>
                  <w:right w:w="108" w:type="dxa"/>
                </w:tblCellMar>
              </w:tblPrEx>
              <w:trPr>
                <w:trHeight w:val="252" w:hRule="atLeast"/>
              </w:trPr>
              <w:tc>
                <w:tcPr>
                  <w:tcW w:w="3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资本性赠与</w:t>
                  </w:r>
                </w:p>
              </w:tc>
            </w:tr>
          </w:tbl>
          <w:p>
            <w:pPr>
              <w:widowControl/>
              <w:jc w:val="left"/>
              <w:rPr>
                <w:rFonts w:ascii="宋体" w:hAnsi="宋体" w:eastAsia="宋体" w:cs="宋体"/>
                <w:color w:val="000000"/>
                <w:kern w:val="0"/>
                <w:szCs w:val="20"/>
              </w:rPr>
            </w:pPr>
          </w:p>
          <w:tbl>
            <w:tblPr>
              <w:tblStyle w:val="9"/>
              <w:tblW w:w="3932" w:type="dxa"/>
              <w:tblInd w:w="0" w:type="dxa"/>
              <w:tblLayout w:type="fixed"/>
              <w:tblCellMar>
                <w:top w:w="0" w:type="dxa"/>
                <w:left w:w="108" w:type="dxa"/>
                <w:bottom w:w="0" w:type="dxa"/>
                <w:right w:w="108" w:type="dxa"/>
              </w:tblCellMar>
            </w:tblPr>
            <w:tblGrid>
              <w:gridCol w:w="3932"/>
            </w:tblGrid>
            <w:tr>
              <w:tblPrEx>
                <w:tblLayout w:type="fixed"/>
                <w:tblCellMar>
                  <w:top w:w="0" w:type="dxa"/>
                  <w:left w:w="108" w:type="dxa"/>
                  <w:bottom w:w="0" w:type="dxa"/>
                  <w:right w:w="108" w:type="dxa"/>
                </w:tblCellMar>
              </w:tblPrEx>
              <w:trPr>
                <w:trHeight w:val="252" w:hRule="atLeast"/>
              </w:trPr>
              <w:tc>
                <w:tcPr>
                  <w:tcW w:w="3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经常性赠与</w:t>
                  </w:r>
                </w:p>
              </w:tc>
            </w:tr>
            <w:tr>
              <w:tblPrEx>
                <w:tblLayout w:type="fixed"/>
                <w:tblCellMar>
                  <w:top w:w="0" w:type="dxa"/>
                  <w:left w:w="108" w:type="dxa"/>
                  <w:bottom w:w="0" w:type="dxa"/>
                  <w:right w:w="108" w:type="dxa"/>
                </w:tblCellMar>
              </w:tblPrEx>
              <w:trPr>
                <w:trHeight w:val="252" w:hRule="atLeast"/>
              </w:trPr>
              <w:tc>
                <w:tcPr>
                  <w:tcW w:w="3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资本性赠与</w:t>
                  </w:r>
                </w:p>
              </w:tc>
            </w:tr>
          </w:tbl>
          <w:p>
            <w:pPr>
              <w:widowControl/>
              <w:jc w:val="left"/>
              <w:rPr>
                <w:rFonts w:ascii="宋体" w:hAnsi="宋体" w:eastAsia="宋体" w:cs="宋体"/>
                <w:color w:val="000000"/>
                <w:kern w:val="0"/>
                <w:szCs w:val="20"/>
              </w:rPr>
            </w:pP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3.00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39910</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34"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17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6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7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7.50</w:t>
            </w:r>
          </w:p>
        </w:tc>
        <w:tc>
          <w:tcPr>
            <w:tcW w:w="86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5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385" w:hRule="exact"/>
        </w:trPr>
        <w:tc>
          <w:tcPr>
            <w:tcW w:w="460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8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color w:val="000000"/>
                <w:kern w:val="0"/>
                <w:sz w:val="18"/>
                <w:szCs w:val="18"/>
              </w:rPr>
            </w:pPr>
            <w:r>
              <w:rPr>
                <w:rFonts w:hint="eastAsia" w:ascii="宋体" w:hAnsi="宋体" w:eastAsia="宋体" w:cs="宋体"/>
                <w:b/>
                <w:color w:val="000000"/>
                <w:kern w:val="0"/>
                <w:sz w:val="18"/>
                <w:szCs w:val="18"/>
              </w:rPr>
              <w:t>66.86</w:t>
            </w:r>
          </w:p>
        </w:tc>
        <w:tc>
          <w:tcPr>
            <w:tcW w:w="9274"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95"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color w:val="000000"/>
                <w:kern w:val="0"/>
                <w:szCs w:val="18"/>
              </w:rPr>
            </w:pPr>
            <w:r>
              <w:rPr>
                <w:rFonts w:hint="eastAsia" w:ascii="宋体" w:hAnsi="宋体" w:eastAsia="宋体" w:cs="宋体"/>
                <w:b/>
                <w:color w:val="000000"/>
                <w:kern w:val="0"/>
                <w:szCs w:val="18"/>
              </w:rPr>
              <w:t>44.14</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Layout w:type="fixed"/>
          <w:tblCellMar>
            <w:top w:w="0" w:type="dxa"/>
            <w:left w:w="108" w:type="dxa"/>
            <w:bottom w:w="0" w:type="dxa"/>
            <w:right w:w="108" w:type="dxa"/>
          </w:tblCellMar>
        </w:tblPrEx>
        <w:trPr>
          <w:gridAfter w:val="1"/>
          <w:wAfter w:w="285" w:type="dxa"/>
          <w:trHeight w:val="690" w:hRule="atLeast"/>
        </w:trPr>
        <w:tc>
          <w:tcPr>
            <w:tcW w:w="15329" w:type="dxa"/>
            <w:gridSpan w:val="17"/>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gridAfter w:val="1"/>
          <w:wAfter w:w="285" w:type="dxa"/>
          <w:trHeight w:val="345" w:hRule="atLeast"/>
        </w:trPr>
        <w:tc>
          <w:tcPr>
            <w:tcW w:w="983"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39"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373"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27"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945"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75"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82"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9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09"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gridAfter w:val="1"/>
          <w:wAfter w:w="285" w:type="dxa"/>
          <w:trHeight w:val="690" w:hRule="atLeast"/>
        </w:trPr>
        <w:tc>
          <w:tcPr>
            <w:tcW w:w="8942" w:type="dxa"/>
            <w:gridSpan w:val="11"/>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部门：湖南省农业机械化高科技示范园</w:t>
            </w:r>
          </w:p>
        </w:tc>
        <w:tc>
          <w:tcPr>
            <w:tcW w:w="2082"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9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09"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285" w:type="dxa"/>
          <w:trHeight w:val="459" w:hRule="atLeast"/>
        </w:trPr>
        <w:tc>
          <w:tcPr>
            <w:tcW w:w="25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7"/>
                <w:rFonts w:hint="default"/>
              </w:rPr>
              <w:t>目</w:t>
            </w:r>
          </w:p>
        </w:tc>
        <w:tc>
          <w:tcPr>
            <w:tcW w:w="22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194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35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gridAfter w:val="1"/>
          <w:wAfter w:w="285" w:type="dxa"/>
          <w:trHeight w:val="609" w:hRule="atLeast"/>
        </w:trPr>
        <w:tc>
          <w:tcPr>
            <w:tcW w:w="122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3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08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409"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4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25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gridAfter w:val="1"/>
          <w:wAfter w:w="285" w:type="dxa"/>
          <w:trHeight w:val="509" w:hRule="atLeast"/>
        </w:trPr>
        <w:tc>
          <w:tcPr>
            <w:tcW w:w="25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509" w:hRule="atLeast"/>
        </w:trPr>
        <w:tc>
          <w:tcPr>
            <w:tcW w:w="1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5" w:type="dxa"/>
          <w:trHeight w:val="725" w:hRule="atLeast"/>
        </w:trPr>
        <w:tc>
          <w:tcPr>
            <w:tcW w:w="15329" w:type="dxa"/>
            <w:gridSpan w:val="1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9"/>
        <w:tblW w:w="15120" w:type="dxa"/>
        <w:tblInd w:w="93" w:type="dxa"/>
        <w:tblLayout w:type="fixed"/>
        <w:tblCellMar>
          <w:top w:w="0" w:type="dxa"/>
          <w:left w:w="108" w:type="dxa"/>
          <w:bottom w:w="0" w:type="dxa"/>
          <w:right w:w="108" w:type="dxa"/>
        </w:tblCellMar>
      </w:tblPr>
      <w:tblGrid>
        <w:gridCol w:w="3616"/>
        <w:gridCol w:w="601"/>
        <w:gridCol w:w="1909"/>
        <w:gridCol w:w="2719"/>
        <w:gridCol w:w="2719"/>
        <w:gridCol w:w="3556"/>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361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6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909"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7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7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556"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3616"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部门：湖南省农业机械化高科技示范园</w:t>
            </w:r>
          </w:p>
        </w:tc>
        <w:tc>
          <w:tcPr>
            <w:tcW w:w="6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909"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7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719"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556"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61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8"/>
                <w:rFonts w:hint="default"/>
              </w:rPr>
              <w:t>目</w:t>
            </w:r>
          </w:p>
        </w:tc>
        <w:tc>
          <w:tcPr>
            <w:tcW w:w="8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42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9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7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3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42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7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61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61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2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9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7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9"/>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7565" w:type="dxa"/>
            <w:gridSpan w:val="6"/>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部门：湖南省农业机械化高科技示范园</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公务用车</w:t>
            </w:r>
          </w:p>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2"/>
              </w:rPr>
            </w:pPr>
            <w:r>
              <w:rPr>
                <w:rFonts w:hint="eastAsia" w:ascii="宋体" w:hAnsi="宋体" w:eastAsia="宋体" w:cs="宋体"/>
                <w:b/>
                <w:color w:val="000000"/>
                <w:sz w:val="22"/>
              </w:rPr>
              <w:t>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b/>
                <w:color w:val="000000"/>
                <w:sz w:val="22"/>
              </w:rPr>
            </w:pPr>
            <w:r>
              <w:rPr>
                <w:rFonts w:hint="eastAsia" w:ascii="宋体" w:hAnsi="宋体" w:eastAsia="宋体" w:cs="宋体"/>
                <w:b/>
                <w:color w:val="000000"/>
                <w:sz w:val="22"/>
              </w:rPr>
              <w:t>3.20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0.20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170" w:right="720" w:bottom="284"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jc w:val="center"/>
        <w:rPr>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ascii="方正小标宋_GBK" w:hAnsi="方正小标宋_GBK" w:eastAsia="方正小标宋_GBK" w:cs="方正小标宋_GBK"/>
          <w:sz w:val="70"/>
          <w:szCs w:val="70"/>
        </w:rPr>
      </w:pPr>
    </w:p>
    <w:p>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pPr>
        <w:widowControl/>
        <w:jc w:val="left"/>
        <w:rPr>
          <w:rFonts w:asciiTheme="minorEastAsia" w:hAnsiTheme="minorEastAsia"/>
          <w:sz w:val="32"/>
          <w:szCs w:val="32"/>
        </w:rPr>
      </w:pPr>
      <w:r>
        <w:rPr>
          <w:rFonts w:hint="eastAsia" w:ascii="方正小标宋_GBK" w:hAnsi="方正小标宋_GBK" w:eastAsia="方正小标宋_GBK" w:cs="方正小标宋_GBK"/>
          <w:sz w:val="70"/>
          <w:szCs w:val="70"/>
        </w:rPr>
        <w:br w:type="page"/>
      </w:r>
    </w:p>
    <w:p>
      <w:pPr>
        <w:pStyle w:val="13"/>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3"/>
        <w:spacing w:line="600" w:lineRule="exact"/>
        <w:ind w:firstLine="640" w:firstLineChars="200"/>
        <w:rPr>
          <w:rFonts w:hint="eastAsia" w:ascii="Times New Roman" w:hAnsi="Times New Roman" w:eastAsia="仿宋_GB2312"/>
          <w:color w:val="FF0000"/>
          <w:sz w:val="32"/>
          <w:szCs w:val="32"/>
          <w:highlight w:val="none"/>
          <w:lang w:val="en-US" w:eastAsia="zh-CN"/>
        </w:rPr>
      </w:pPr>
      <w:r>
        <w:rPr>
          <w:rFonts w:hint="eastAsia" w:ascii="Times New Roman" w:hAnsi="Times New Roman" w:eastAsia="仿宋_GB2312"/>
          <w:sz w:val="32"/>
          <w:szCs w:val="32"/>
        </w:rPr>
        <w:t>2023年度收、支总计145.94万元。与上年相比，减少1.17万元，减少0.79%，</w:t>
      </w:r>
      <w:r>
        <w:rPr>
          <w:rFonts w:hint="eastAsia" w:ascii="Times New Roman" w:hAnsi="Times New Roman" w:eastAsia="仿宋_GB2312"/>
          <w:color w:val="auto"/>
          <w:sz w:val="32"/>
          <w:szCs w:val="32"/>
        </w:rPr>
        <w:t>主</w:t>
      </w:r>
      <w:r>
        <w:rPr>
          <w:rFonts w:hint="eastAsia" w:ascii="Times New Roman" w:hAnsi="Times New Roman" w:eastAsia="仿宋_GB2312"/>
          <w:color w:val="auto"/>
          <w:sz w:val="32"/>
          <w:szCs w:val="32"/>
          <w:highlight w:val="none"/>
        </w:rPr>
        <w:t>要是因为</w:t>
      </w:r>
      <w:r>
        <w:rPr>
          <w:rFonts w:hint="eastAsia" w:ascii="Times New Roman" w:hAnsi="Times New Roman" w:eastAsia="仿宋_GB2312"/>
          <w:color w:val="auto"/>
          <w:sz w:val="32"/>
          <w:szCs w:val="32"/>
          <w:highlight w:val="none"/>
          <w:lang w:eastAsia="zh-CN"/>
        </w:rPr>
        <w:t>本年度</w:t>
      </w:r>
      <w:r>
        <w:rPr>
          <w:rFonts w:hint="eastAsia" w:ascii="Times New Roman" w:hAnsi="Times New Roman" w:eastAsia="仿宋_GB2312"/>
          <w:color w:val="auto"/>
          <w:sz w:val="32"/>
          <w:szCs w:val="32"/>
          <w:highlight w:val="none"/>
          <w:lang w:val="en-US" w:eastAsia="zh-CN"/>
        </w:rPr>
        <w:t>项目支出经费减少。</w:t>
      </w:r>
    </w:p>
    <w:p>
      <w:pPr>
        <w:pStyle w:val="13"/>
        <w:spacing w:line="600" w:lineRule="exact"/>
        <w:ind w:firstLine="640" w:firstLineChars="200"/>
        <w:rPr>
          <w:rFonts w:hAnsi="黑体"/>
          <w:bCs/>
          <w:sz w:val="32"/>
          <w:szCs w:val="32"/>
        </w:rPr>
      </w:pPr>
      <w:r>
        <w:rPr>
          <w:rFonts w:hint="eastAsia" w:hAnsi="黑体"/>
          <w:bCs/>
          <w:sz w:val="32"/>
          <w:szCs w:val="32"/>
        </w:rPr>
        <w:t>二、收入决算情况说明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2023年度收入合计145.94万元，其中：财政拨款收入145.85万元，占99.94%；上级补助收入0万元，占0%；事业收入0万元，占0%；经营收入0万元，占0%；附属单位上缴收入0万元，占0%；其他收入0.09万元，占0.06%。</w:t>
      </w:r>
    </w:p>
    <w:p>
      <w:pPr>
        <w:pStyle w:val="13"/>
        <w:spacing w:line="600" w:lineRule="exact"/>
        <w:ind w:firstLine="640" w:firstLineChars="200"/>
        <w:rPr>
          <w:rFonts w:hAnsi="黑体"/>
          <w:bCs/>
          <w:sz w:val="32"/>
          <w:szCs w:val="32"/>
        </w:rPr>
      </w:pPr>
      <w:r>
        <w:rPr>
          <w:rFonts w:hint="eastAsia" w:hAnsi="黑体"/>
          <w:bCs/>
          <w:sz w:val="32"/>
          <w:szCs w:val="32"/>
        </w:rPr>
        <w:t>三、支出决算情况说明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2023年度支出合计119.56万元，其中：基本支出111.06万元，占92.89%；项目支出8.50万元，占7.11%；上缴上级支出0万元，占0%；经营支出0万元，占0%；对附属单位补助支出0万元，占0%。</w:t>
      </w:r>
    </w:p>
    <w:p>
      <w:pPr>
        <w:pStyle w:val="13"/>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3"/>
        <w:spacing w:line="600" w:lineRule="exact"/>
        <w:rPr>
          <w:rFonts w:ascii="Times New Roman" w:hAnsi="Times New Roman" w:eastAsia="仿宋_GB2312"/>
          <w:color w:val="auto"/>
          <w:sz w:val="32"/>
          <w:szCs w:val="32"/>
          <w:highlight w:val="red"/>
        </w:rPr>
      </w:pPr>
      <w:r>
        <w:rPr>
          <w:rFonts w:hint="eastAsia" w:ascii="Times New Roman" w:hAnsi="Times New Roman" w:eastAsia="仿宋_GB2312"/>
          <w:sz w:val="32"/>
          <w:szCs w:val="32"/>
        </w:rPr>
        <w:t xml:space="preserve">    2023年度财政拨款收、支总计145.85万元，与上年相比，减少1.15万元,减少7.8%，</w:t>
      </w:r>
      <w:r>
        <w:rPr>
          <w:rFonts w:hint="eastAsia" w:ascii="Times New Roman" w:hAnsi="Times New Roman" w:eastAsia="仿宋_GB2312"/>
          <w:color w:val="auto"/>
          <w:sz w:val="32"/>
          <w:szCs w:val="32"/>
          <w:highlight w:val="none"/>
        </w:rPr>
        <w:t>主要是因为</w:t>
      </w:r>
      <w:r>
        <w:rPr>
          <w:rFonts w:hint="eastAsia" w:ascii="Times New Roman" w:hAnsi="Times New Roman" w:eastAsia="仿宋_GB2312"/>
          <w:color w:val="auto"/>
          <w:sz w:val="32"/>
          <w:szCs w:val="32"/>
          <w:highlight w:val="none"/>
          <w:lang w:eastAsia="zh-CN"/>
        </w:rPr>
        <w:t>本年度</w:t>
      </w:r>
      <w:r>
        <w:rPr>
          <w:rFonts w:hint="eastAsia" w:ascii="Times New Roman" w:hAnsi="Times New Roman" w:eastAsia="仿宋_GB2312"/>
          <w:color w:val="auto"/>
          <w:sz w:val="32"/>
          <w:szCs w:val="32"/>
          <w:highlight w:val="none"/>
          <w:lang w:val="en-US" w:eastAsia="zh-CN"/>
        </w:rPr>
        <w:t>项目支出经费减少。</w:t>
      </w:r>
    </w:p>
    <w:p>
      <w:pPr>
        <w:pStyle w:val="13"/>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3"/>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（一）一般公共预算财政拨款支出决算总体情况</w:t>
      </w:r>
    </w:p>
    <w:p>
      <w:pPr>
        <w:pStyle w:val="13"/>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sz w:val="32"/>
          <w:szCs w:val="32"/>
        </w:rPr>
        <w:t>2023年度财政拨款支出119.50万元，占本年支出合计的99.95%，与上年相比，财政拨款支出减少3.37万元，减少2.74%，主要是因为</w:t>
      </w:r>
      <w:r>
        <w:rPr>
          <w:rFonts w:hint="eastAsia" w:ascii="Times New Roman" w:hAnsi="Times New Roman" w:eastAsia="仿宋_GB2312"/>
          <w:color w:val="auto"/>
          <w:sz w:val="32"/>
          <w:szCs w:val="32"/>
        </w:rPr>
        <w:t>项目经费减少。</w:t>
      </w:r>
    </w:p>
    <w:p>
      <w:pPr>
        <w:pStyle w:val="13"/>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（二）一般公共预算财政拨款支出决算结构情况</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2023年度财政拨款支出119.50万元，主要用于以下方面：社会保障和就业（类）支出14.30万元，占11.97%；农林水（类）支出100.36万元，占83.98%，住房保障（类）支出4.84万元，占4.05%。</w:t>
      </w:r>
    </w:p>
    <w:p>
      <w:pPr>
        <w:pStyle w:val="13"/>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（三）一般公共预算财政拨款支出决算具体情况</w:t>
      </w:r>
    </w:p>
    <w:p>
      <w:pPr>
        <w:pStyle w:val="13"/>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2023年度财政拨款支出年初预算数为139.05万元，支出决算数为119.50万元，完成年初预算的85.94%，其中：</w:t>
      </w:r>
    </w:p>
    <w:p>
      <w:pPr>
        <w:pStyle w:val="13"/>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1、社会保障和就业（类）行政事业单位养老支出（款）机关事业单位基本养老保险缴费支出（项）。</w:t>
      </w:r>
    </w:p>
    <w:p>
      <w:pPr>
        <w:pStyle w:val="13"/>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年初预算为20.18万元，支出决算为14.30万元，完成年初预算的70.86%，决算数小于年初预算数的主要原因</w:t>
      </w:r>
      <w:r>
        <w:rPr>
          <w:rFonts w:hint="eastAsia" w:ascii="Times New Roman" w:hAnsi="Times New Roman" w:eastAsia="仿宋_GB2312"/>
          <w:sz w:val="32"/>
          <w:szCs w:val="32"/>
          <w:highlight w:val="none"/>
          <w:lang w:eastAsia="zh-CN"/>
        </w:rPr>
        <w:t>为</w:t>
      </w:r>
      <w:r>
        <w:rPr>
          <w:rFonts w:hint="eastAsia" w:ascii="Times New Roman" w:hAnsi="Times New Roman" w:eastAsia="仿宋_GB2312"/>
          <w:color w:val="auto"/>
          <w:sz w:val="32"/>
          <w:szCs w:val="32"/>
          <w:highlight w:val="none"/>
        </w:rPr>
        <w:t>聘用人员的社保费用调剂到事业运行</w:t>
      </w:r>
      <w:r>
        <w:rPr>
          <w:rFonts w:hint="eastAsia" w:ascii="Times New Roman" w:hAnsi="Times New Roman" w:eastAsia="仿宋_GB2312"/>
          <w:sz w:val="32"/>
          <w:szCs w:val="32"/>
          <w:highlight w:val="none"/>
        </w:rPr>
        <w:t>。</w:t>
      </w:r>
    </w:p>
    <w:p>
      <w:pPr>
        <w:pStyle w:val="13"/>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2、农林水（类）农业农村（款）</w:t>
      </w:r>
      <w:r>
        <w:rPr>
          <w:rFonts w:hint="eastAsia" w:ascii="Times New Roman" w:hAnsi="Times New Roman" w:eastAsia="仿宋_GB2312"/>
          <w:sz w:val="32"/>
          <w:szCs w:val="32"/>
          <w:highlight w:val="none"/>
          <w:lang w:eastAsia="zh-CN"/>
        </w:rPr>
        <w:t>行政</w:t>
      </w:r>
      <w:r>
        <w:rPr>
          <w:rFonts w:hint="eastAsia" w:ascii="Times New Roman" w:hAnsi="Times New Roman" w:eastAsia="仿宋_GB2312"/>
          <w:sz w:val="32"/>
          <w:szCs w:val="32"/>
          <w:highlight w:val="none"/>
        </w:rPr>
        <w:t>运行（项）。</w:t>
      </w:r>
    </w:p>
    <w:p>
      <w:pPr>
        <w:pStyle w:val="13"/>
        <w:spacing w:line="600" w:lineRule="exact"/>
        <w:ind w:firstLine="800" w:firstLineChars="250"/>
        <w:rPr>
          <w:rFonts w:hint="eastAsia" w:ascii="Times New Roman" w:hAnsi="Times New Roman" w:eastAsia="仿宋_GB2312"/>
          <w:color w:val="auto"/>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1.05</w:t>
      </w:r>
      <w:r>
        <w:rPr>
          <w:rFonts w:hint="eastAsia" w:ascii="Times New Roman" w:hAnsi="Times New Roman" w:eastAsia="仿宋_GB2312"/>
          <w:sz w:val="32"/>
          <w:szCs w:val="32"/>
          <w:highlight w:val="none"/>
        </w:rPr>
        <w:t>万元，决算数</w:t>
      </w:r>
      <w:r>
        <w:rPr>
          <w:rFonts w:hint="eastAsia" w:ascii="Times New Roman" w:hAnsi="Times New Roman" w:eastAsia="仿宋_GB2312"/>
          <w:sz w:val="32"/>
          <w:szCs w:val="32"/>
          <w:highlight w:val="none"/>
          <w:lang w:eastAsia="zh-CN"/>
        </w:rPr>
        <w:t>大</w:t>
      </w:r>
      <w:r>
        <w:rPr>
          <w:rFonts w:hint="eastAsia" w:ascii="Times New Roman" w:hAnsi="Times New Roman" w:eastAsia="仿宋_GB2312"/>
          <w:sz w:val="32"/>
          <w:szCs w:val="32"/>
          <w:highlight w:val="none"/>
        </w:rPr>
        <w:t>于年初预算数的主要原因是：</w:t>
      </w:r>
      <w:r>
        <w:rPr>
          <w:rFonts w:hint="eastAsia" w:ascii="Times New Roman" w:hAnsi="Times New Roman" w:eastAsia="仿宋_GB2312"/>
          <w:sz w:val="32"/>
          <w:szCs w:val="32"/>
          <w:highlight w:val="none"/>
          <w:lang w:eastAsia="zh-CN"/>
        </w:rPr>
        <w:t>本年度</w:t>
      </w:r>
      <w:r>
        <w:rPr>
          <w:rFonts w:hint="eastAsia" w:ascii="Times New Roman" w:hAnsi="Times New Roman" w:eastAsia="仿宋_GB2312"/>
          <w:color w:val="auto"/>
          <w:sz w:val="32"/>
          <w:szCs w:val="32"/>
          <w:highlight w:val="none"/>
          <w:lang w:eastAsia="zh-CN"/>
        </w:rPr>
        <w:t>年中追加了绩效工资</w:t>
      </w:r>
      <w:r>
        <w:rPr>
          <w:rFonts w:hint="eastAsia" w:ascii="Times New Roman" w:hAnsi="Times New Roman" w:eastAsia="仿宋_GB2312"/>
          <w:color w:val="auto"/>
          <w:sz w:val="32"/>
          <w:szCs w:val="32"/>
          <w:highlight w:val="none"/>
        </w:rPr>
        <w:t>。</w:t>
      </w:r>
    </w:p>
    <w:p>
      <w:pPr>
        <w:pStyle w:val="13"/>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sz w:val="32"/>
          <w:szCs w:val="32"/>
          <w:highlight w:val="none"/>
        </w:rPr>
        <w:t>农林水（类）农业农村（款）事业运行（项）。</w:t>
      </w:r>
    </w:p>
    <w:p>
      <w:pPr>
        <w:pStyle w:val="13"/>
        <w:spacing w:line="600" w:lineRule="exact"/>
        <w:ind w:firstLine="800" w:firstLineChars="250"/>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sz w:val="32"/>
          <w:szCs w:val="32"/>
          <w:highlight w:val="none"/>
        </w:rPr>
        <w:t>年初预算为110.00万元，支出决算为</w:t>
      </w:r>
      <w:r>
        <w:rPr>
          <w:rFonts w:hint="eastAsia" w:ascii="Times New Roman" w:hAnsi="Times New Roman" w:eastAsia="仿宋_GB2312"/>
          <w:sz w:val="32"/>
          <w:szCs w:val="32"/>
          <w:highlight w:val="none"/>
          <w:lang w:val="en-US" w:eastAsia="zh-CN"/>
        </w:rPr>
        <w:t>99.31</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90.28</w:t>
      </w:r>
      <w:r>
        <w:rPr>
          <w:rFonts w:hint="eastAsia" w:ascii="Times New Roman" w:hAnsi="Times New Roman" w:eastAsia="仿宋_GB2312"/>
          <w:sz w:val="32"/>
          <w:szCs w:val="32"/>
          <w:highlight w:val="none"/>
        </w:rPr>
        <w:t>%，决算数小于年初预算数的主要原因是：</w:t>
      </w:r>
      <w:r>
        <w:rPr>
          <w:rFonts w:hint="eastAsia" w:ascii="Times New Roman" w:hAnsi="Times New Roman" w:eastAsia="仿宋_GB2312"/>
          <w:sz w:val="32"/>
          <w:szCs w:val="32"/>
          <w:highlight w:val="none"/>
          <w:lang w:eastAsia="zh-CN"/>
        </w:rPr>
        <w:t>本年度</w:t>
      </w:r>
      <w:r>
        <w:rPr>
          <w:rFonts w:hint="eastAsia" w:ascii="Times New Roman" w:hAnsi="Times New Roman" w:eastAsia="仿宋_GB2312"/>
          <w:color w:val="auto"/>
          <w:sz w:val="32"/>
          <w:szCs w:val="32"/>
          <w:highlight w:val="none"/>
        </w:rPr>
        <w:t>项目</w:t>
      </w:r>
      <w:r>
        <w:rPr>
          <w:rFonts w:hint="eastAsia" w:ascii="Times New Roman" w:hAnsi="Times New Roman" w:eastAsia="仿宋_GB2312"/>
          <w:color w:val="auto"/>
          <w:sz w:val="32"/>
          <w:szCs w:val="32"/>
          <w:highlight w:val="none"/>
          <w:lang w:eastAsia="zh-CN"/>
        </w:rPr>
        <w:t>支出</w:t>
      </w:r>
      <w:r>
        <w:rPr>
          <w:rFonts w:hint="eastAsia" w:ascii="Times New Roman" w:hAnsi="Times New Roman" w:eastAsia="仿宋_GB2312"/>
          <w:color w:val="auto"/>
          <w:sz w:val="32"/>
          <w:szCs w:val="32"/>
          <w:highlight w:val="none"/>
        </w:rPr>
        <w:t>经费减少。</w:t>
      </w:r>
    </w:p>
    <w:p>
      <w:pPr>
        <w:pStyle w:val="13"/>
        <w:spacing w:line="600" w:lineRule="exact"/>
        <w:ind w:firstLine="800" w:firstLineChars="250"/>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、住房保障（类）住房改革支出（款）住房公积金（项）</w:t>
      </w:r>
    </w:p>
    <w:p>
      <w:pPr>
        <w:pStyle w:val="13"/>
        <w:spacing w:line="600" w:lineRule="exact"/>
        <w:ind w:firstLine="800" w:firstLineChars="250"/>
        <w:rPr>
          <w:rFonts w:hint="eastAsia" w:ascii="Times New Roman" w:hAnsi="Times New Roman" w:eastAsia="仿宋_GB2312"/>
          <w:color w:val="FF0000"/>
          <w:sz w:val="32"/>
          <w:szCs w:val="32"/>
          <w:highlight w:val="none"/>
          <w:lang w:eastAsia="zh-CN"/>
        </w:rPr>
      </w:pPr>
      <w:r>
        <w:rPr>
          <w:rFonts w:hint="eastAsia" w:ascii="Times New Roman" w:hAnsi="Times New Roman" w:eastAsia="仿宋_GB2312"/>
          <w:sz w:val="32"/>
          <w:szCs w:val="32"/>
          <w:highlight w:val="none"/>
        </w:rPr>
        <w:t>年初预算为8.87万元，支出决算为4.84万元，完成年初预算的54.57%，决算数小于年初预算数的主要原因是：</w:t>
      </w:r>
      <w:r>
        <w:rPr>
          <w:rFonts w:hint="eastAsia" w:ascii="Times New Roman" w:hAnsi="Times New Roman" w:eastAsia="仿宋_GB2312"/>
          <w:color w:val="auto"/>
          <w:sz w:val="32"/>
          <w:szCs w:val="32"/>
          <w:highlight w:val="none"/>
        </w:rPr>
        <w:t>在职人员</w:t>
      </w:r>
      <w:r>
        <w:rPr>
          <w:rFonts w:hint="eastAsia" w:ascii="Times New Roman" w:hAnsi="Times New Roman" w:eastAsia="仿宋_GB2312"/>
          <w:color w:val="auto"/>
          <w:sz w:val="32"/>
          <w:szCs w:val="32"/>
          <w:highlight w:val="none"/>
          <w:lang w:eastAsia="zh-CN"/>
        </w:rPr>
        <w:t>公积金基数未做调整，</w:t>
      </w:r>
      <w:r>
        <w:rPr>
          <w:rFonts w:hint="eastAsia" w:ascii="Times New Roman" w:hAnsi="Times New Roman" w:eastAsia="仿宋_GB2312"/>
          <w:color w:val="auto"/>
          <w:sz w:val="32"/>
          <w:szCs w:val="32"/>
          <w:highlight w:val="none"/>
        </w:rPr>
        <w:t>聘用人员的</w:t>
      </w:r>
      <w:r>
        <w:rPr>
          <w:rFonts w:hint="eastAsia" w:ascii="Times New Roman" w:hAnsi="Times New Roman" w:eastAsia="仿宋_GB2312"/>
          <w:color w:val="auto"/>
          <w:sz w:val="32"/>
          <w:szCs w:val="32"/>
          <w:highlight w:val="none"/>
          <w:lang w:eastAsia="zh-CN"/>
        </w:rPr>
        <w:t>公积金</w:t>
      </w:r>
      <w:r>
        <w:rPr>
          <w:rFonts w:hint="eastAsia" w:ascii="Times New Roman" w:hAnsi="Times New Roman" w:eastAsia="仿宋_GB2312"/>
          <w:color w:val="auto"/>
          <w:sz w:val="32"/>
          <w:szCs w:val="32"/>
          <w:highlight w:val="none"/>
        </w:rPr>
        <w:t>费用调</w:t>
      </w:r>
      <w:r>
        <w:rPr>
          <w:rFonts w:hint="eastAsia" w:ascii="Times New Roman" w:hAnsi="Times New Roman" w:eastAsia="仿宋_GB2312"/>
          <w:color w:val="auto"/>
          <w:sz w:val="32"/>
          <w:szCs w:val="32"/>
          <w:highlight w:val="none"/>
          <w:lang w:val="en-US" w:eastAsia="zh-CN"/>
        </w:rPr>
        <w:t>整</w:t>
      </w:r>
      <w:r>
        <w:rPr>
          <w:rFonts w:hint="eastAsia" w:ascii="Times New Roman" w:hAnsi="Times New Roman" w:eastAsia="仿宋_GB2312"/>
          <w:color w:val="auto"/>
          <w:sz w:val="32"/>
          <w:szCs w:val="32"/>
          <w:highlight w:val="none"/>
        </w:rPr>
        <w:t>到事业运行</w:t>
      </w:r>
      <w:r>
        <w:rPr>
          <w:rFonts w:hint="eastAsia" w:ascii="Times New Roman" w:hAnsi="Times New Roman" w:eastAsia="仿宋_GB2312"/>
          <w:color w:val="auto"/>
          <w:sz w:val="32"/>
          <w:szCs w:val="32"/>
          <w:highlight w:val="none"/>
          <w:lang w:eastAsia="zh-CN"/>
        </w:rPr>
        <w:t>。</w:t>
      </w:r>
    </w:p>
    <w:p>
      <w:pPr>
        <w:pStyle w:val="13"/>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2023年度财政拨款基本支出111.00万元，其中：</w:t>
      </w:r>
    </w:p>
    <w:p>
      <w:pPr>
        <w:pStyle w:val="13"/>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66.86万元，占基本支出的60.23%,主要包括基本工资、津贴补贴、奖金、伙食补助费机关事业单位基本养老保险缴费、职业年金缴费、职工基本医疗保险缴费、其他社会保障缴费、住房公积金、其他工资福利支出</w:t>
      </w:r>
      <w:r>
        <w:rPr>
          <w:rFonts w:hint="eastAsia" w:ascii="Times New Roman" w:hAnsi="Times New Roman" w:eastAsia="仿宋_GB2312"/>
          <w:sz w:val="32"/>
          <w:szCs w:val="32"/>
          <w:highlight w:val="none"/>
          <w:lang w:eastAsia="zh-CN"/>
        </w:rPr>
        <w:t>等</w:t>
      </w:r>
      <w:r>
        <w:rPr>
          <w:rFonts w:hint="eastAsia" w:ascii="Times New Roman" w:hAnsi="Times New Roman" w:eastAsia="仿宋_GB2312"/>
          <w:sz w:val="32"/>
          <w:szCs w:val="32"/>
        </w:rPr>
        <w:t xml:space="preserve">。 </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44.14万元，占基本支出的39.77%，主要包括办公费、电费、水费、物业管理费、劳务费、会议费、培训费、差旅费、公务接待费、劳务费、工会经费、福利费、公务用车运行维护费、其他商品和服务支</w:t>
      </w:r>
      <w:r>
        <w:rPr>
          <w:rFonts w:hint="eastAsia" w:ascii="Times New Roman" w:hAnsi="Times New Roman" w:eastAsia="仿宋_GB2312"/>
          <w:sz w:val="32"/>
          <w:szCs w:val="32"/>
          <w:highlight w:val="none"/>
        </w:rPr>
        <w:t>出</w:t>
      </w:r>
      <w:r>
        <w:rPr>
          <w:rFonts w:hint="eastAsia" w:ascii="Times New Roman" w:hAnsi="Times New Roman" w:eastAsia="仿宋_GB2312"/>
          <w:sz w:val="32"/>
          <w:szCs w:val="32"/>
          <w:highlight w:val="none"/>
          <w:lang w:eastAsia="zh-CN"/>
        </w:rPr>
        <w:t>等</w:t>
      </w:r>
      <w:r>
        <w:rPr>
          <w:rFonts w:hint="eastAsia" w:asciiTheme="minorEastAsia" w:hAnsiTheme="minorEastAsia" w:eastAsiaTheme="minorEastAsia"/>
          <w:sz w:val="32"/>
          <w:szCs w:val="32"/>
          <w:highlight w:val="none"/>
        </w:rPr>
        <w:t>。</w:t>
      </w:r>
    </w:p>
    <w:p>
      <w:pPr>
        <w:pStyle w:val="13"/>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3"/>
        <w:ind w:firstLine="800" w:firstLineChars="250"/>
        <w:rPr>
          <w:rFonts w:hint="eastAsia" w:ascii="Times New Roman" w:hAnsi="Times New Roman" w:eastAsia="仿宋_GB2312"/>
          <w:sz w:val="32"/>
          <w:szCs w:val="32"/>
          <w:highlight w:val="none"/>
        </w:rPr>
      </w:pPr>
      <w:r>
        <w:rPr>
          <w:rFonts w:hint="eastAsia" w:ascii="Times New Roman" w:hAnsi="Times New Roman" w:eastAsia="仿宋_GB2312"/>
          <w:sz w:val="32"/>
          <w:szCs w:val="32"/>
        </w:rPr>
        <w:t>“三公”经费财政拨款支出预算为4.00万元，支出决算为3.20万元，完成预算的80%，决算数小于预算数的</w:t>
      </w:r>
      <w:r>
        <w:rPr>
          <w:rFonts w:hint="eastAsia" w:ascii="Times New Roman" w:hAnsi="Times New Roman" w:eastAsia="仿宋_GB2312"/>
          <w:color w:val="auto"/>
          <w:sz w:val="32"/>
          <w:szCs w:val="32"/>
        </w:rPr>
        <w:t>主要原因</w:t>
      </w:r>
      <w:r>
        <w:rPr>
          <w:rFonts w:hint="eastAsia" w:ascii="Times New Roman" w:hAnsi="Times New Roman" w:eastAsia="仿宋_GB2312"/>
          <w:sz w:val="32"/>
          <w:szCs w:val="32"/>
          <w:highlight w:val="none"/>
        </w:rPr>
        <w:t>是</w:t>
      </w:r>
      <w:r>
        <w:rPr>
          <w:rFonts w:hint="eastAsia" w:ascii="Times New Roman" w:hAnsi="Times New Roman" w:eastAsia="仿宋_GB2312"/>
          <w:sz w:val="32"/>
          <w:szCs w:val="32"/>
          <w:highlight w:val="none"/>
          <w:lang w:eastAsia="zh-CN"/>
        </w:rPr>
        <w:t>我</w:t>
      </w:r>
      <w:r>
        <w:rPr>
          <w:rFonts w:hint="eastAsia" w:ascii="Times New Roman" w:hAnsi="Times New Roman" w:eastAsia="仿宋_GB2312"/>
          <w:sz w:val="32"/>
          <w:szCs w:val="32"/>
          <w:highlight w:val="none"/>
          <w:lang w:val="en-US" w:eastAsia="zh-CN"/>
        </w:rPr>
        <w:t>单位严格控制三公经费在预算范围内</w:t>
      </w:r>
      <w:r>
        <w:rPr>
          <w:rFonts w:hint="eastAsia" w:ascii="Times New Roman" w:hAnsi="Times New Roman" w:eastAsia="仿宋_GB2312"/>
          <w:sz w:val="32"/>
          <w:szCs w:val="32"/>
          <w:highlight w:val="none"/>
        </w:rPr>
        <w:t>，与上年相比增加0.09万元，增长2.89%,增长</w:t>
      </w:r>
      <w:r>
        <w:rPr>
          <w:rFonts w:hint="eastAsia" w:ascii="Times New Roman" w:hAnsi="Times New Roman" w:eastAsia="仿宋_GB2312"/>
          <w:color w:val="auto"/>
          <w:sz w:val="32"/>
          <w:szCs w:val="32"/>
          <w:highlight w:val="none"/>
        </w:rPr>
        <w:t>的主要原因</w:t>
      </w:r>
      <w:r>
        <w:rPr>
          <w:rFonts w:hint="eastAsia" w:ascii="Times New Roman" w:hAnsi="Times New Roman" w:eastAsia="仿宋_GB2312"/>
          <w:color w:val="auto"/>
          <w:sz w:val="32"/>
          <w:szCs w:val="32"/>
          <w:highlight w:val="none"/>
          <w:lang w:eastAsia="zh-CN"/>
        </w:rPr>
        <w:t>为</w:t>
      </w:r>
      <w:r>
        <w:rPr>
          <w:rFonts w:hint="eastAsia" w:ascii="仿宋" w:hAnsi="仿宋" w:eastAsia="仿宋" w:cs="仿宋"/>
          <w:sz w:val="32"/>
          <w:szCs w:val="32"/>
          <w:highlight w:val="none"/>
          <w:lang w:eastAsia="zh-CN"/>
        </w:rPr>
        <w:t>上年度因</w:t>
      </w:r>
      <w:r>
        <w:rPr>
          <w:rFonts w:hint="eastAsia" w:ascii="仿宋" w:hAnsi="仿宋" w:eastAsia="仿宋" w:cs="仿宋"/>
          <w:sz w:val="32"/>
          <w:szCs w:val="32"/>
          <w:highlight w:val="none"/>
        </w:rPr>
        <w:t>疫情原因，接待活动</w:t>
      </w:r>
      <w:r>
        <w:rPr>
          <w:rFonts w:hint="eastAsia" w:ascii="仿宋" w:hAnsi="仿宋" w:eastAsia="仿宋" w:cs="仿宋"/>
          <w:sz w:val="32"/>
          <w:szCs w:val="32"/>
          <w:highlight w:val="none"/>
          <w:lang w:eastAsia="zh-CN"/>
        </w:rPr>
        <w:t>减</w:t>
      </w:r>
      <w:r>
        <w:rPr>
          <w:rFonts w:hint="eastAsia" w:ascii="仿宋" w:hAnsi="仿宋" w:eastAsia="仿宋" w:cs="仿宋"/>
          <w:sz w:val="32"/>
          <w:szCs w:val="32"/>
          <w:highlight w:val="none"/>
        </w:rPr>
        <w:t>少</w:t>
      </w:r>
      <w:r>
        <w:rPr>
          <w:rFonts w:hint="eastAsia" w:ascii="仿宋" w:hAnsi="仿宋" w:eastAsia="仿宋" w:cs="仿宋"/>
          <w:sz w:val="32"/>
          <w:szCs w:val="32"/>
          <w:highlight w:val="none"/>
          <w:lang w:eastAsia="zh-CN"/>
        </w:rPr>
        <w:t>，本年度</w:t>
      </w:r>
      <w:r>
        <w:rPr>
          <w:rFonts w:hint="eastAsia" w:ascii="Times New Roman" w:hAnsi="Times New Roman" w:eastAsia="仿宋_GB2312"/>
          <w:color w:val="auto"/>
          <w:sz w:val="32"/>
          <w:szCs w:val="32"/>
          <w:highlight w:val="none"/>
          <w:lang w:eastAsia="zh-CN"/>
        </w:rPr>
        <w:t>接待人数增加</w:t>
      </w:r>
      <w:r>
        <w:rPr>
          <w:rFonts w:hint="eastAsia" w:ascii="Times New Roman" w:hAnsi="Times New Roman" w:eastAsia="仿宋_GB2312"/>
          <w:color w:val="auto"/>
          <w:sz w:val="32"/>
          <w:szCs w:val="32"/>
          <w:highlight w:val="none"/>
        </w:rPr>
        <w:t>。</w:t>
      </w:r>
    </w:p>
    <w:p>
      <w:pPr>
        <w:pStyle w:val="13"/>
        <w:spacing w:line="600" w:lineRule="exact"/>
        <w:ind w:firstLine="800" w:firstLineChars="25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因公出国（境）费支出预算为0万元，支出决算为0万元，与上年相比持平。</w:t>
      </w:r>
    </w:p>
    <w:p>
      <w:pPr>
        <w:pStyle w:val="13"/>
        <w:spacing w:line="600" w:lineRule="exact"/>
        <w:ind w:firstLine="800" w:firstLineChars="25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公务接待费支出预算为1.00万元，支出决算为0.20万元，0.11完成预算的20%，决算数小于预算数的</w:t>
      </w:r>
      <w:r>
        <w:rPr>
          <w:rFonts w:hint="eastAsia" w:ascii="Times New Roman" w:hAnsi="Times New Roman" w:eastAsia="仿宋_GB2312"/>
          <w:color w:val="auto"/>
          <w:sz w:val="32"/>
          <w:szCs w:val="32"/>
          <w:highlight w:val="none"/>
        </w:rPr>
        <w:t>主要原因</w:t>
      </w:r>
      <w:r>
        <w:rPr>
          <w:rFonts w:hint="eastAsia" w:ascii="Times New Roman" w:hAnsi="Times New Roman" w:eastAsia="仿宋_GB2312"/>
          <w:sz w:val="32"/>
          <w:szCs w:val="32"/>
          <w:highlight w:val="none"/>
        </w:rPr>
        <w:t>是</w:t>
      </w:r>
      <w:r>
        <w:rPr>
          <w:rFonts w:hint="eastAsia" w:ascii="Times New Roman" w:hAnsi="Times New Roman" w:eastAsia="仿宋_GB2312"/>
          <w:sz w:val="32"/>
          <w:szCs w:val="32"/>
          <w:highlight w:val="none"/>
          <w:lang w:eastAsia="zh-CN"/>
        </w:rPr>
        <w:t>我</w:t>
      </w:r>
      <w:r>
        <w:rPr>
          <w:rFonts w:hint="eastAsia" w:ascii="Times New Roman" w:hAnsi="Times New Roman" w:eastAsia="仿宋_GB2312"/>
          <w:sz w:val="32"/>
          <w:szCs w:val="32"/>
          <w:highlight w:val="none"/>
          <w:lang w:val="en-US" w:eastAsia="zh-CN"/>
        </w:rPr>
        <w:t>单位严格控制三公经费在预算范围内</w:t>
      </w:r>
      <w:r>
        <w:rPr>
          <w:rFonts w:hint="eastAsia" w:ascii="Times New Roman" w:hAnsi="Times New Roman" w:eastAsia="仿宋_GB2312"/>
          <w:sz w:val="32"/>
          <w:szCs w:val="32"/>
          <w:highlight w:val="none"/>
        </w:rPr>
        <w:t>，与上年相比增加0.09万元，增长81.82%,增长的</w:t>
      </w:r>
      <w:r>
        <w:rPr>
          <w:rFonts w:hint="eastAsia" w:ascii="Times New Roman" w:hAnsi="Times New Roman" w:eastAsia="仿宋_GB2312"/>
          <w:color w:val="auto"/>
          <w:sz w:val="32"/>
          <w:szCs w:val="32"/>
          <w:highlight w:val="none"/>
        </w:rPr>
        <w:t>主要原因</w:t>
      </w:r>
      <w:r>
        <w:rPr>
          <w:rFonts w:hint="eastAsia" w:ascii="仿宋" w:hAnsi="仿宋" w:eastAsia="仿宋" w:cs="仿宋"/>
          <w:sz w:val="32"/>
          <w:szCs w:val="32"/>
          <w:highlight w:val="none"/>
          <w:lang w:eastAsia="zh-CN"/>
        </w:rPr>
        <w:t>上年度因</w:t>
      </w:r>
      <w:r>
        <w:rPr>
          <w:rFonts w:hint="eastAsia" w:ascii="仿宋" w:hAnsi="仿宋" w:eastAsia="仿宋" w:cs="仿宋"/>
          <w:sz w:val="32"/>
          <w:szCs w:val="32"/>
          <w:highlight w:val="none"/>
        </w:rPr>
        <w:t>疫情原因，接待活动</w:t>
      </w:r>
      <w:r>
        <w:rPr>
          <w:rFonts w:hint="eastAsia" w:ascii="仿宋" w:hAnsi="仿宋" w:eastAsia="仿宋" w:cs="仿宋"/>
          <w:sz w:val="32"/>
          <w:szCs w:val="32"/>
          <w:highlight w:val="none"/>
          <w:lang w:eastAsia="zh-CN"/>
        </w:rPr>
        <w:t>减</w:t>
      </w:r>
      <w:r>
        <w:rPr>
          <w:rFonts w:hint="eastAsia" w:ascii="仿宋" w:hAnsi="仿宋" w:eastAsia="仿宋" w:cs="仿宋"/>
          <w:sz w:val="32"/>
          <w:szCs w:val="32"/>
          <w:highlight w:val="none"/>
        </w:rPr>
        <w:t>少</w:t>
      </w:r>
      <w:r>
        <w:rPr>
          <w:rFonts w:hint="eastAsia" w:ascii="仿宋" w:hAnsi="仿宋" w:eastAsia="仿宋" w:cs="仿宋"/>
          <w:sz w:val="32"/>
          <w:szCs w:val="32"/>
          <w:highlight w:val="none"/>
          <w:lang w:eastAsia="zh-CN"/>
        </w:rPr>
        <w:t>，本年度</w:t>
      </w:r>
      <w:r>
        <w:rPr>
          <w:rFonts w:hint="eastAsia" w:ascii="Times New Roman" w:hAnsi="Times New Roman" w:eastAsia="仿宋_GB2312"/>
          <w:color w:val="auto"/>
          <w:sz w:val="32"/>
          <w:szCs w:val="32"/>
          <w:highlight w:val="none"/>
          <w:lang w:eastAsia="zh-CN"/>
        </w:rPr>
        <w:t>接待人数增加</w:t>
      </w:r>
      <w:r>
        <w:rPr>
          <w:rFonts w:hint="eastAsia" w:ascii="Times New Roman" w:hAnsi="Times New Roman" w:eastAsia="仿宋_GB2312"/>
          <w:color w:val="auto"/>
          <w:sz w:val="32"/>
          <w:szCs w:val="32"/>
          <w:highlight w:val="none"/>
        </w:rPr>
        <w:t>。</w:t>
      </w:r>
    </w:p>
    <w:p>
      <w:pPr>
        <w:pStyle w:val="13"/>
        <w:spacing w:line="600" w:lineRule="exact"/>
        <w:ind w:firstLine="640" w:firstLineChars="200"/>
        <w:rPr>
          <w:rFonts w:hint="eastAsia" w:ascii="Times New Roman" w:hAnsi="Times New Roman" w:eastAsia="仿宋_GB2312"/>
          <w:sz w:val="32"/>
          <w:szCs w:val="32"/>
          <w:highlight w:val="red"/>
        </w:rPr>
      </w:pPr>
      <w:r>
        <w:rPr>
          <w:rFonts w:hint="eastAsia" w:ascii="Times New Roman" w:hAnsi="Times New Roman" w:eastAsia="仿宋_GB2312"/>
          <w:sz w:val="32"/>
          <w:szCs w:val="32"/>
        </w:rPr>
        <w:t>公务用车购置费支出预算为0万元，支出决算为0万元，与上年相比持平。</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公务用车运行维护费支出预算为3.0万元，支出决算为3.0万元，完成预算的100%，与上年相比持平。</w:t>
      </w:r>
    </w:p>
    <w:p>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2023年度“三公”经费财政拨款支出决算中，公务接待费支出决算0.2万元，占6.25%,因公出国（境）费支出决算0万元，占0%,公务用车购置费及运行维护费支出决算3.0万元，占93.75%。其中：</w:t>
      </w:r>
    </w:p>
    <w:p>
      <w:pPr>
        <w:pStyle w:val="13"/>
        <w:spacing w:line="600" w:lineRule="exact"/>
        <w:ind w:firstLine="640" w:firstLineChars="200"/>
        <w:rPr>
          <w:rFonts w:ascii="楷体" w:hAnsi="楷体" w:eastAsia="楷体" w:cs="楷体"/>
          <w:b/>
          <w:bCs/>
          <w:i/>
          <w:color w:val="auto"/>
          <w:sz w:val="32"/>
          <w:szCs w:val="32"/>
        </w:rPr>
      </w:pPr>
      <w:r>
        <w:rPr>
          <w:rFonts w:hint="eastAsia" w:ascii="Times New Roman" w:hAnsi="Times New Roman" w:eastAsia="仿宋_GB2312"/>
          <w:sz w:val="32"/>
          <w:szCs w:val="32"/>
        </w:rPr>
        <w:t>1、因公出国（境）费支出决算为0万元，全年安排因公出国（境）团组0个，累计0人次。</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2、公务接待费支出决算为0.2万元，全年共接待来访团组</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22</w:t>
      </w:r>
      <w:r>
        <w:rPr>
          <w:rFonts w:hint="eastAsia" w:ascii="Times New Roman" w:hAnsi="Times New Roman" w:eastAsia="仿宋_GB2312"/>
          <w:sz w:val="32"/>
          <w:szCs w:val="32"/>
        </w:rPr>
        <w:t>人次，</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是联系业务工作</w:t>
      </w:r>
      <w:r>
        <w:rPr>
          <w:rFonts w:hint="eastAsia" w:ascii="Times New Roman" w:hAnsi="Times New Roman" w:eastAsia="仿宋_GB2312"/>
          <w:sz w:val="32"/>
          <w:szCs w:val="32"/>
        </w:rPr>
        <w:t>发生的接待支出。</w:t>
      </w:r>
    </w:p>
    <w:p>
      <w:pPr>
        <w:spacing w:line="600" w:lineRule="exact"/>
        <w:ind w:firstLine="800" w:firstLineChars="250"/>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3、公务用车购置费及运行维护费支出决算为3.0万元，其中：公务用车购置费0万元，</w:t>
      </w:r>
      <w:r>
        <w:rPr>
          <w:rFonts w:hint="eastAsia" w:ascii="Times New Roman" w:hAnsi="Times New Roman" w:eastAsia="仿宋_GB2312"/>
          <w:sz w:val="32"/>
          <w:szCs w:val="32"/>
          <w:highlight w:val="none"/>
          <w:lang w:eastAsia="zh-CN"/>
        </w:rPr>
        <w:t>本单位</w:t>
      </w:r>
      <w:r>
        <w:rPr>
          <w:rFonts w:hint="eastAsia" w:ascii="Times New Roman" w:hAnsi="Times New Roman" w:eastAsia="仿宋_GB2312"/>
          <w:sz w:val="32"/>
          <w:szCs w:val="32"/>
          <w:highlight w:val="none"/>
        </w:rPr>
        <w:t>更新公务用车</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辆</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公务用车运行维护费3.0万元，主要是主要是车辆油卡充值、日常维修保养及车辆保险费用支出，截止2023年12月31日，我单位开支财政拨款的公务用车保有量为1辆。</w:t>
      </w:r>
    </w:p>
    <w:p>
      <w:pPr>
        <w:pStyle w:val="13"/>
        <w:spacing w:line="600" w:lineRule="exact"/>
        <w:ind w:firstLine="640" w:firstLineChars="200"/>
        <w:rPr>
          <w:rFonts w:hAnsi="黑体"/>
          <w:bCs/>
          <w:sz w:val="32"/>
          <w:szCs w:val="32"/>
          <w:highlight w:val="none"/>
        </w:rPr>
      </w:pPr>
      <w:r>
        <w:rPr>
          <w:rFonts w:hint="eastAsia" w:hAnsi="黑体"/>
          <w:bCs/>
          <w:sz w:val="32"/>
          <w:szCs w:val="32"/>
          <w:highlight w:val="none"/>
        </w:rPr>
        <w:t>八、政府性基金预算收入支出决算情况</w:t>
      </w:r>
    </w:p>
    <w:p>
      <w:pPr>
        <w:pStyle w:val="13"/>
        <w:spacing w:line="60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本单位2023年无政府性基金收支。</w:t>
      </w:r>
    </w:p>
    <w:p>
      <w:pPr>
        <w:pStyle w:val="13"/>
        <w:spacing w:line="600" w:lineRule="exact"/>
        <w:rPr>
          <w:rFonts w:hAnsi="黑体"/>
          <w:bCs/>
          <w:sz w:val="32"/>
          <w:szCs w:val="32"/>
        </w:rPr>
      </w:pPr>
      <w:r>
        <w:rPr>
          <w:rFonts w:hint="eastAsia" w:ascii="Times New Roman" w:hAnsi="Times New Roman" w:eastAsia="仿宋_GB2312"/>
          <w:sz w:val="32"/>
          <w:szCs w:val="32"/>
        </w:rPr>
        <w:t xml:space="preserve">    </w:t>
      </w:r>
      <w:r>
        <w:rPr>
          <w:rFonts w:hint="eastAsia" w:hAnsi="黑体"/>
          <w:bCs/>
          <w:sz w:val="32"/>
          <w:szCs w:val="32"/>
        </w:rPr>
        <w:t>九、关于机关运行经费支出说明</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sz w:val="32"/>
          <w:szCs w:val="32"/>
        </w:rPr>
        <w:t>本单位2023年度机关运行经费支出0万元，本单位无机关运行经费。</w:t>
      </w:r>
    </w:p>
    <w:p>
      <w:pPr>
        <w:pStyle w:val="13"/>
        <w:spacing w:line="600" w:lineRule="exact"/>
        <w:ind w:firstLine="640" w:firstLineChars="200"/>
        <w:rPr>
          <w:rFonts w:hAnsi="黑体"/>
          <w:bCs/>
          <w:sz w:val="32"/>
          <w:szCs w:val="32"/>
        </w:rPr>
      </w:pPr>
      <w:r>
        <w:rPr>
          <w:rFonts w:hint="eastAsia" w:hAnsi="黑体"/>
          <w:bCs/>
          <w:sz w:val="32"/>
          <w:szCs w:val="32"/>
        </w:rPr>
        <w:t>十、一般性支出情况说明</w:t>
      </w:r>
    </w:p>
    <w:p>
      <w:pPr>
        <w:pStyle w:val="13"/>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2023年本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开支会议费0万元，人数0人；开支培训费8.5万元，用于召开经作林果业生产机械化培训，两次人数</w:t>
      </w:r>
      <w:r>
        <w:rPr>
          <w:rFonts w:hint="eastAsia" w:ascii="Times New Roman" w:hAnsi="Times New Roman" w:eastAsia="仿宋_GB2312"/>
          <w:sz w:val="32"/>
          <w:szCs w:val="32"/>
          <w:highlight w:val="none"/>
        </w:rPr>
        <w:t>200人</w:t>
      </w:r>
      <w:r>
        <w:rPr>
          <w:rFonts w:hint="eastAsia" w:ascii="Times New Roman" w:hAnsi="Times New Roman" w:eastAsia="仿宋_GB2312"/>
          <w:sz w:val="32"/>
          <w:szCs w:val="32"/>
        </w:rPr>
        <w:t>，内容为水肥一体化技术培训及实地演示；未举办节庆、晚会、论坛、赛事活动。</w:t>
      </w:r>
    </w:p>
    <w:p>
      <w:pPr>
        <w:pStyle w:val="13"/>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3"/>
        <w:spacing w:line="58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sz w:val="32"/>
          <w:szCs w:val="32"/>
        </w:rPr>
        <w:t>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2023年度政府采购支出总额9.40万元，其中：政府采购货物支出0万元、政府采购工程支出0万元、政府采购服务支出9.40万元。授予中小企业合同金额9.40万元，占政府采购支出总额的100%，其中：授予小微企业合同金额9.40万元，</w:t>
      </w:r>
      <w:r>
        <w:rPr>
          <w:rFonts w:hint="eastAsia" w:ascii="Times New Roman" w:hAnsi="Times New Roman" w:eastAsia="仿宋_GB2312"/>
          <w:color w:val="auto"/>
          <w:sz w:val="32"/>
          <w:szCs w:val="32"/>
        </w:rPr>
        <w:t>占授予中小企业合同金额的100%。服务采购授予中小企业合同金额占服务支出金额的100%。</w:t>
      </w:r>
    </w:p>
    <w:p>
      <w:pPr>
        <w:pStyle w:val="13"/>
        <w:spacing w:line="58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3"/>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2023年12月31日，本单位共有车辆1辆，其中，副部（省）级及以上领导用车0辆、主要负责人用车0辆、机要通信用车0辆、应急保障用车0辆、执法执勤用车0辆、特种专业技术用车0辆、离退休干部服务用车0辆、其他用车1辆，其他用车主要是单位业务用车；单位价值100万元以上设备（不含车辆）0台（套）。</w:t>
      </w:r>
    </w:p>
    <w:p>
      <w:pPr>
        <w:pStyle w:val="13"/>
        <w:spacing w:line="58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3"/>
        <w:spacing w:line="580" w:lineRule="exact"/>
        <w:ind w:firstLine="640" w:firstLineChars="200"/>
        <w:rPr>
          <w:rFonts w:hint="eastAsia" w:ascii="楷体" w:hAnsi="楷体" w:eastAsia="楷体" w:cs="楷体"/>
          <w:b/>
          <w:bCs/>
          <w:sz w:val="32"/>
          <w:szCs w:val="32"/>
        </w:rPr>
      </w:pPr>
      <w:r>
        <w:rPr>
          <w:rFonts w:hint="eastAsia" w:ascii="楷体" w:hAnsi="楷体" w:eastAsia="楷体" w:cs="楷体"/>
          <w:b/>
          <w:bCs/>
          <w:sz w:val="32"/>
          <w:szCs w:val="32"/>
        </w:rPr>
        <w:t>（一）绩效管理工作开展情况</w:t>
      </w:r>
    </w:p>
    <w:p>
      <w:pPr>
        <w:pStyle w:val="13"/>
        <w:spacing w:line="580" w:lineRule="exact"/>
        <w:ind w:firstLine="640" w:firstLineChars="200"/>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（1）经精心组织筹备，我园于2023年6月 7 日至8日在东安县举办水肥一体化技术（永州）培训班，于2023年7月 5日至6日在永兴县举办水肥一体化技术（郴州）培训班，两次培训共有200余人次参加，通过水肥一体化技术培训、工厂参观、应用场景实地演示、发放技术标准资料、现场问答等形式，对水肥一体化技术有需求的相关人员进行培训，取得了良好的效果。</w:t>
      </w:r>
    </w:p>
    <w:p>
      <w:pPr>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 xml:space="preserve">   （2）财务管理情况实行全面预算管理，建立健全预算管理制度；编制收支预算坚持“以收定支、收支平衡、统筹兼顾”的原则；严格执行批复的预算、按照规定调整预算，按照财政部门决算编撰要求，真实、完整、准确、及时编制决算。</w:t>
      </w:r>
    </w:p>
    <w:p>
      <w:pPr>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 xml:space="preserve">   （3）固定资产管理严格规范。秉持节俭按需购置和按规定程序处置闲置、报废资产。</w:t>
      </w:r>
    </w:p>
    <w:p>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（二）单位整体支出绩效情况</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1、严控运行成本</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2023年“三公”经费支出3.20万元。其中公务接待费0.20万元、公务用车运行维护费3.0万元。202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基本支出中水费、电费、福利费和差旅费年初预算为7.8万元，决算数为7.1万元，节约比为8.97%，合理控制在预算以内；项目经费运行成本根据预算资金合理安排使用，经作林果业生产机械化培训经费运行成本严格控制。</w:t>
      </w:r>
    </w:p>
    <w:p>
      <w:pPr>
        <w:pStyle w:val="13"/>
        <w:numPr>
          <w:ilvl w:val="0"/>
          <w:numId w:val="1"/>
        </w:numPr>
        <w:spacing w:line="600" w:lineRule="exact"/>
        <w:rPr>
          <w:rFonts w:ascii="Times New Roman" w:hAnsi="Times New Roman" w:eastAsia="仿宋_GB2312"/>
          <w:sz w:val="32"/>
          <w:szCs w:val="32"/>
        </w:rPr>
      </w:pPr>
      <w:r>
        <w:rPr>
          <w:rFonts w:hint="eastAsia" w:ascii="Times New Roman" w:hAnsi="Times New Roman" w:eastAsia="仿宋_GB2312"/>
          <w:sz w:val="32"/>
          <w:szCs w:val="32"/>
        </w:rPr>
        <w:t>提高管理效率</w:t>
      </w:r>
    </w:p>
    <w:p>
      <w:pPr>
        <w:pStyle w:val="13"/>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为提升丘陵山区经作林果业生产机械化水平提高，</w:t>
      </w:r>
      <w:r>
        <w:rPr>
          <w:rFonts w:hint="eastAsia" w:ascii="Times New Roman" w:hAnsi="Times New Roman" w:eastAsia="仿宋_GB2312"/>
          <w:sz w:val="32"/>
          <w:szCs w:val="32"/>
        </w:rPr>
        <w:t>我园举办两次水肥一体化技术培训班，两次培训共有200余人次参加，通过水肥一体化技术培训、工厂参观、应用场景实地演示、发放技术标准资料、现场问答等形式，对水肥一体化技术有需求的相关人员进行培训，取得了良好的效果。</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3、提高履效职能</w:t>
      </w:r>
    </w:p>
    <w:p>
      <w:pPr>
        <w:pStyle w:val="19"/>
        <w:ind w:firstLine="640" w:firstLineChars="200"/>
        <w:rPr>
          <w:rFonts w:hint="eastAsia" w:eastAsia="仿宋_GB2312" w:cs="黑体"/>
          <w:color w:val="000000"/>
          <w:kern w:val="0"/>
          <w:sz w:val="32"/>
          <w:szCs w:val="32"/>
        </w:rPr>
      </w:pPr>
      <w:r>
        <w:rPr>
          <w:rFonts w:hint="eastAsia" w:eastAsia="仿宋_GB2312" w:cs="黑体"/>
          <w:color w:val="000000"/>
          <w:kern w:val="0"/>
          <w:sz w:val="32"/>
          <w:szCs w:val="32"/>
        </w:rPr>
        <w:t>配合中心其它部门完成各项重大业务活动工作，负责在韶山举办的“田间日”活动中农机化宣传及知识问答分项工作，取得良好效果；联系对接省优质农产品产销对接中心日常管理，强化安全隐患排查，督促电梯年检、消防系统的维护维修和值班值守，落实了六楼装修拆除墙体的加固和外墙装饰面脱落的整改，保障了重大农产品宣传推介会活动的顺利开展，协调联系与街道、社区、城管有关联的事宜，做到了全年安全稳定；配合后勤中心做好公有住房和办公区域的资产管理、安全生产。</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4、促进良好社会效应</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示范园年度总体支出绩效目标完成85.94%,其中项目支出绩效目标实现产出数量指标培训水肥一体化技术从业技术人员数量200余人，机械化从业技术人员95%以上达到合格标准；促进良好效益，节约成本，提高一体化机械化技术人员操作水平，促进节本增数。</w:t>
      </w:r>
    </w:p>
    <w:p>
      <w:pPr>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5、加强可持续发展能力</w:t>
      </w:r>
    </w:p>
    <w:p>
      <w:pPr>
        <w:pStyle w:val="19"/>
        <w:ind w:firstLine="640" w:firstLineChars="200"/>
        <w:rPr>
          <w:rFonts w:hint="eastAsia" w:eastAsia="仿宋_GB2312"/>
          <w:sz w:val="32"/>
          <w:szCs w:val="32"/>
        </w:rPr>
      </w:pPr>
      <w:r>
        <w:rPr>
          <w:rFonts w:hint="eastAsia" w:eastAsia="仿宋_GB2312" w:cs="黑体"/>
          <w:color w:val="000000"/>
          <w:kern w:val="0"/>
          <w:sz w:val="32"/>
          <w:szCs w:val="32"/>
        </w:rPr>
        <w:t>本次培训首次聘请具有丰富的一线生产经验和对市场应用现状熟悉的人士为培训师，培训方式更接地气，更能解决参培人员的需求痛点，是一次改变以往请偏理论研究的大学教授授课的有效尝试。</w:t>
      </w:r>
      <w:r>
        <w:rPr>
          <w:rFonts w:hint="eastAsia" w:eastAsia="仿宋_GB2312"/>
          <w:sz w:val="32"/>
          <w:szCs w:val="32"/>
        </w:rPr>
        <w:t>通过示范带动，提升林果业种植机械化程度，带动周边市县丘陵山区经作果林生产机械化。</w:t>
      </w:r>
    </w:p>
    <w:p>
      <w:pPr>
        <w:pStyle w:val="19"/>
        <w:ind w:firstLine="640" w:firstLineChars="200"/>
        <w:rPr>
          <w:rFonts w:eastAsia="仿宋_GB2312"/>
          <w:sz w:val="32"/>
          <w:szCs w:val="32"/>
        </w:rPr>
      </w:pPr>
      <w:r>
        <w:rPr>
          <w:rFonts w:hint="eastAsia" w:eastAsia="仿宋_GB2312"/>
          <w:sz w:val="32"/>
          <w:szCs w:val="32"/>
        </w:rPr>
        <w:t>6、提高服务对象满意度</w:t>
      </w:r>
    </w:p>
    <w:p>
      <w:pPr>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kern w:val="0"/>
          <w:sz w:val="32"/>
          <w:szCs w:val="32"/>
        </w:rPr>
        <w:t>通过实地访问的方式进行满意度调查，培训技术人员达到合格标准，带动周边市县实现生产机械化，服务对象满意度达到了95%。</w:t>
      </w:r>
    </w:p>
    <w:p>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pStyle w:val="13"/>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人员经费预算执行率有待提高：202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一般公共预算基本支出总预算135.85万元，其中年中追加6.8万元，预算执行111.0万元，预算执行率79.94%。其中人员经费预算执行率低于75%。按支出性质和经济分类，人员经费预算90.25万元，实际使用66.86万元，预算执行率74.08%。</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auto"/>
          <w:sz w:val="32"/>
          <w:szCs w:val="32"/>
        </w:rPr>
        <w:t>原因分析：一是年初预算人员经费绩效工资年中追加，2023年</w:t>
      </w:r>
      <w:r>
        <w:rPr>
          <w:rFonts w:hint="eastAsia" w:ascii="Times New Roman" w:hAnsi="Times New Roman" w:eastAsia="仿宋_GB2312"/>
          <w:sz w:val="32"/>
          <w:szCs w:val="32"/>
        </w:rPr>
        <w:t>按政策未调整在职人员公积金基数;二是长期聘用人员的社保、公积金费用调剂到农林水支出（类）农业农村（款）事业运行（项）。</w:t>
      </w:r>
    </w:p>
    <w:p>
      <w:pPr>
        <w:pStyle w:val="13"/>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sz w:val="32"/>
          <w:szCs w:val="32"/>
        </w:rPr>
        <w:t>整改措施：一是</w:t>
      </w:r>
      <w:r>
        <w:rPr>
          <w:rFonts w:hint="eastAsia" w:ascii="Times New Roman" w:hAnsi="Times New Roman" w:eastAsia="仿宋_GB2312"/>
          <w:color w:val="auto"/>
          <w:sz w:val="32"/>
          <w:szCs w:val="32"/>
        </w:rPr>
        <w:t>提高年初预算编制准确性，编制预算时，严格根据事业单位人员工资和绩效工资发放标准做人员经费的预算，提高预算编制的准确度。二是提高预算资金使用执行率，定期对资金执行率情况进行分析，落实到具体情况，从而提高单位整体预算执行率。</w:t>
      </w:r>
    </w:p>
    <w:p>
      <w:pPr>
        <w:pStyle w:val="13"/>
        <w:jc w:val="center"/>
        <w:rPr>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rPr>
          <w:sz w:val="72"/>
          <w:szCs w:val="72"/>
        </w:rPr>
      </w:pPr>
      <w:r>
        <w:rPr>
          <w:sz w:val="72"/>
          <w:szCs w:val="72"/>
        </w:rPr>
        <w:br w:type="page"/>
      </w: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第五部分</w:t>
      </w:r>
    </w:p>
    <w:p>
      <w:pPr>
        <w:pStyle w:val="13"/>
        <w:jc w:val="center"/>
        <w:rPr>
          <w:rFonts w:ascii="方正小标宋_GBK" w:hAnsi="方正小标宋_GBK" w:eastAsia="方正小标宋_GBK" w:cs="方正小标宋_GBK"/>
          <w:sz w:val="70"/>
          <w:szCs w:val="70"/>
        </w:rPr>
      </w:pPr>
    </w:p>
    <w:p>
      <w:pPr>
        <w:pStyle w:val="13"/>
        <w:jc w:val="center"/>
        <w:rPr>
          <w:sz w:val="72"/>
          <w:szCs w:val="72"/>
        </w:rPr>
      </w:pPr>
      <w:r>
        <w:rPr>
          <w:rFonts w:hint="eastAsia" w:ascii="方正小标宋_GBK" w:hAnsi="方正小标宋_GBK" w:eastAsia="方正小标宋_GBK" w:cs="方正小标宋_GBK"/>
          <w:sz w:val="70"/>
          <w:szCs w:val="70"/>
        </w:rPr>
        <w:t>附件</w:t>
      </w:r>
    </w:p>
    <w:p>
      <w:pPr>
        <w:rPr>
          <w:sz w:val="72"/>
          <w:szCs w:val="72"/>
        </w:rPr>
      </w:pPr>
      <w:r>
        <w:rPr>
          <w:sz w:val="72"/>
          <w:szCs w:val="72"/>
        </w:rPr>
        <w:br w:type="page"/>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rPr>
          <w:rFonts w:hint="eastAsia"/>
          <w:sz w:val="72"/>
          <w:szCs w:val="72"/>
          <w:lang w:val="en-US" w:eastAsia="zh-CN"/>
        </w:rPr>
      </w:pPr>
    </w:p>
    <w:tbl>
      <w:tblPr>
        <w:tblStyle w:val="9"/>
        <w:tblW w:w="10465" w:type="dxa"/>
        <w:tblInd w:w="226" w:type="dxa"/>
        <w:tblLayout w:type="fixed"/>
        <w:tblCellMar>
          <w:top w:w="0" w:type="dxa"/>
          <w:left w:w="108" w:type="dxa"/>
          <w:bottom w:w="0" w:type="dxa"/>
          <w:right w:w="108" w:type="dxa"/>
        </w:tblCellMar>
      </w:tblPr>
      <w:tblGrid>
        <w:gridCol w:w="925"/>
        <w:gridCol w:w="1060"/>
        <w:gridCol w:w="1060"/>
        <w:gridCol w:w="1060"/>
        <w:gridCol w:w="1060"/>
        <w:gridCol w:w="1060"/>
        <w:gridCol w:w="1299"/>
        <w:gridCol w:w="900"/>
        <w:gridCol w:w="981"/>
        <w:gridCol w:w="1060"/>
      </w:tblGrid>
      <w:tr>
        <w:tblPrEx>
          <w:tblLayout w:type="fixed"/>
          <w:tblCellMar>
            <w:top w:w="0" w:type="dxa"/>
            <w:left w:w="108" w:type="dxa"/>
            <w:bottom w:w="0" w:type="dxa"/>
            <w:right w:w="108" w:type="dxa"/>
          </w:tblCellMar>
        </w:tblPrEx>
        <w:trPr>
          <w:trHeight w:val="375" w:hRule="atLeast"/>
        </w:trPr>
        <w:tc>
          <w:tcPr>
            <w:tcW w:w="10465" w:type="dxa"/>
            <w:gridSpan w:val="10"/>
            <w:tcBorders>
              <w:top w:val="nil"/>
              <w:left w:val="nil"/>
              <w:bottom w:val="nil"/>
              <w:right w:val="nil"/>
            </w:tcBorders>
            <w:shd w:val="clear" w:color="auto" w:fill="auto"/>
            <w:noWrap/>
            <w:vAlign w:val="center"/>
          </w:tcPr>
          <w:p>
            <w:pPr>
              <w:jc w:val="center"/>
              <w:rPr>
                <w:sz w:val="36"/>
                <w:szCs w:val="36"/>
              </w:rPr>
            </w:pPr>
            <w:r>
              <w:rPr>
                <w:rFonts w:hint="eastAsia"/>
                <w:sz w:val="36"/>
                <w:szCs w:val="36"/>
              </w:rPr>
              <w:t>湖南省农业机械化高科技示范园</w:t>
            </w:r>
          </w:p>
          <w:p>
            <w:pPr>
              <w:jc w:val="center"/>
              <w:rPr>
                <w:sz w:val="36"/>
                <w:szCs w:val="36"/>
              </w:rPr>
            </w:pPr>
            <w:r>
              <w:rPr>
                <w:rFonts w:hint="eastAsia"/>
                <w:sz w:val="36"/>
                <w:szCs w:val="36"/>
              </w:rPr>
              <w:t>202</w:t>
            </w:r>
            <w:r>
              <w:rPr>
                <w:rFonts w:hint="eastAsia"/>
                <w:sz w:val="36"/>
                <w:szCs w:val="36"/>
                <w:lang w:val="en-US" w:eastAsia="zh-CN"/>
              </w:rPr>
              <w:t>3</w:t>
            </w:r>
            <w:r>
              <w:rPr>
                <w:rFonts w:hint="eastAsia"/>
                <w:sz w:val="36"/>
                <w:szCs w:val="36"/>
              </w:rPr>
              <w:t>年度部门整体支出绩效自评报告</w:t>
            </w:r>
          </w:p>
          <w:p>
            <w:pPr>
              <w:pStyle w:val="14"/>
              <w:ind w:left="720" w:firstLine="0" w:firstLineChars="0"/>
              <w:rPr>
                <w:b/>
                <w:sz w:val="28"/>
                <w:szCs w:val="28"/>
              </w:rPr>
            </w:pPr>
          </w:p>
          <w:p>
            <w:pPr>
              <w:pStyle w:val="14"/>
              <w:ind w:firstLine="0" w:firstLineChars="0"/>
              <w:jc w:val="left"/>
              <w:rPr>
                <w:rFonts w:hint="eastAsia" w:ascii="黑体" w:hAnsi="黑体" w:eastAsia="黑体" w:cs="黑体"/>
                <w:sz w:val="32"/>
                <w:szCs w:val="32"/>
              </w:rPr>
            </w:pPr>
            <w:r>
              <w:rPr>
                <w:rFonts w:hint="eastAsia" w:ascii="黑体" w:hAnsi="黑体" w:eastAsia="黑体" w:cs="黑体"/>
                <w:sz w:val="32"/>
                <w:szCs w:val="32"/>
              </w:rPr>
              <w:t>一、单位基本情况</w:t>
            </w:r>
          </w:p>
          <w:p>
            <w:pPr>
              <w:pStyle w:val="14"/>
              <w:ind w:firstLine="320" w:firstLineChars="100"/>
              <w:jc w:val="left"/>
              <w:rPr>
                <w:rFonts w:hint="eastAsia" w:ascii="Times New Roman" w:hAnsi="Times New Roman" w:eastAsia="楷体_GB2312" w:cstheme="minorBidi"/>
                <w:b/>
                <w:bCs/>
                <w:kern w:val="2"/>
                <w:sz w:val="32"/>
                <w:szCs w:val="32"/>
                <w:lang w:val="en-US" w:eastAsia="zh-CN" w:bidi="ar-SA"/>
              </w:rPr>
            </w:pPr>
            <w:r>
              <w:rPr>
                <w:rFonts w:hint="eastAsia" w:ascii="Times New Roman" w:hAnsi="Times New Roman" w:eastAsia="楷体_GB2312" w:cstheme="minorBidi"/>
                <w:b/>
                <w:bCs/>
                <w:kern w:val="2"/>
                <w:sz w:val="32"/>
                <w:szCs w:val="32"/>
                <w:lang w:val="en-US" w:eastAsia="zh-CN" w:bidi="ar-SA"/>
              </w:rPr>
              <w:t>(一）部门职责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主要职能：我单位为财政补助公益二类事业单位，执行政府会计准则制度，宗旨和业务范围：</w:t>
            </w:r>
            <w:r>
              <w:rPr>
                <w:rFonts w:ascii="Times New Roman" w:hAnsi="Times New Roman" w:eastAsia="仿宋_GB2312" w:cs="仿宋_GB2312"/>
                <w:bCs/>
                <w:kern w:val="0"/>
                <w:sz w:val="32"/>
                <w:szCs w:val="32"/>
              </w:rPr>
              <w:t>推广农机新技术，促进农业发展。农业机械及农业工程技术试验示范</w:t>
            </w:r>
            <w:r>
              <w:rPr>
                <w:rFonts w:hint="eastAsia" w:ascii="Times New Roman" w:hAnsi="Times New Roman" w:eastAsia="仿宋_GB2312" w:cs="仿宋_GB2312"/>
                <w:bCs/>
                <w:kern w:val="0"/>
                <w:sz w:val="32"/>
                <w:szCs w:val="32"/>
              </w:rPr>
              <w:t>、</w:t>
            </w:r>
            <w:r>
              <w:rPr>
                <w:rFonts w:ascii="Times New Roman" w:hAnsi="Times New Roman" w:eastAsia="仿宋_GB2312" w:cs="仿宋_GB2312"/>
                <w:bCs/>
                <w:kern w:val="0"/>
                <w:sz w:val="32"/>
                <w:szCs w:val="32"/>
              </w:rPr>
              <w:t>农机新机具、新设施、新技术推广、展示农机新产品新机具实验示范</w:t>
            </w:r>
            <w:r>
              <w:rPr>
                <w:rFonts w:hint="eastAsia" w:ascii="Times New Roman" w:hAnsi="Times New Roman" w:eastAsia="仿宋_GB2312" w:cs="仿宋_GB2312"/>
                <w:bCs/>
                <w:kern w:val="0"/>
                <w:sz w:val="32"/>
                <w:szCs w:val="32"/>
              </w:rPr>
              <w:t>、</w:t>
            </w:r>
            <w:r>
              <w:rPr>
                <w:rFonts w:ascii="Times New Roman" w:hAnsi="Times New Roman" w:eastAsia="仿宋_GB2312" w:cs="仿宋_GB2312"/>
                <w:bCs/>
                <w:kern w:val="0"/>
                <w:sz w:val="32"/>
                <w:szCs w:val="32"/>
              </w:rPr>
              <w:t>相关技术服务、技术培训</w:t>
            </w:r>
            <w:r>
              <w:rPr>
                <w:rFonts w:hint="eastAsia" w:ascii="Times New Roman" w:hAnsi="Times New Roman" w:eastAsia="仿宋_GB2312" w:cs="仿宋_GB2312"/>
                <w:bCs/>
                <w:kern w:val="0"/>
                <w:sz w:val="32"/>
                <w:szCs w:val="32"/>
              </w:rPr>
              <w:t>。</w:t>
            </w:r>
          </w:p>
          <w:p>
            <w:pPr>
              <w:pStyle w:val="14"/>
              <w:ind w:firstLine="320" w:firstLineChars="100"/>
              <w:jc w:val="left"/>
              <w:rPr>
                <w:rFonts w:hint="eastAsia" w:ascii="Times New Roman" w:hAnsi="Times New Roman" w:eastAsia="楷体_GB2312" w:cstheme="minorBidi"/>
                <w:b/>
                <w:bCs/>
                <w:kern w:val="2"/>
                <w:sz w:val="32"/>
                <w:szCs w:val="32"/>
                <w:lang w:val="en-US" w:eastAsia="zh-CN" w:bidi="ar-SA"/>
              </w:rPr>
            </w:pPr>
            <w:r>
              <w:rPr>
                <w:rFonts w:hint="eastAsia" w:ascii="Times New Roman" w:hAnsi="Times New Roman" w:eastAsia="楷体_GB2312" w:cstheme="minorBidi"/>
                <w:b/>
                <w:bCs/>
                <w:kern w:val="2"/>
                <w:sz w:val="32"/>
                <w:szCs w:val="32"/>
                <w:lang w:val="en-US" w:eastAsia="zh-CN" w:bidi="ar-SA"/>
              </w:rPr>
              <w:t>(二）机构设置及决算单位构成</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内设机构设置：湖南省农业机械化高科技示范园</w:t>
            </w:r>
          </w:p>
          <w:p>
            <w:pPr>
              <w:pStyle w:val="14"/>
              <w:ind w:firstLine="640" w:firstLineChars="200"/>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决算单位构成。湖南省农业机械化高科技示范园</w:t>
            </w:r>
            <w:r>
              <w:rPr>
                <w:rFonts w:ascii="Times New Roman" w:hAnsi="Times New Roman" w:eastAsia="仿宋_GB2312" w:cs="仿宋_GB2312"/>
                <w:bCs/>
                <w:kern w:val="0"/>
                <w:sz w:val="32"/>
                <w:szCs w:val="32"/>
              </w:rPr>
              <w:t>2</w:t>
            </w:r>
            <w:r>
              <w:rPr>
                <w:rFonts w:hint="eastAsia" w:ascii="Times New Roman" w:hAnsi="Times New Roman" w:eastAsia="仿宋_GB2312" w:cs="仿宋_GB2312"/>
                <w:bCs/>
                <w:kern w:val="0"/>
                <w:sz w:val="32"/>
                <w:szCs w:val="32"/>
              </w:rPr>
              <w:t>023年部门决算汇总公开单位：湖南省农业机械化高科技示范园本级。</w:t>
            </w:r>
          </w:p>
          <w:p>
            <w:pPr>
              <w:pStyle w:val="14"/>
              <w:ind w:firstLine="0" w:firstLineChars="0"/>
              <w:jc w:val="left"/>
              <w:rPr>
                <w:rFonts w:hint="eastAsia" w:ascii="黑体" w:hAnsi="黑体" w:eastAsia="黑体" w:cs="黑体"/>
                <w:sz w:val="32"/>
                <w:szCs w:val="32"/>
              </w:rPr>
            </w:pPr>
            <w:r>
              <w:rPr>
                <w:rFonts w:hint="eastAsia" w:ascii="黑体" w:hAnsi="黑体" w:eastAsia="黑体" w:cs="黑体"/>
                <w:sz w:val="32"/>
                <w:szCs w:val="32"/>
              </w:rPr>
              <w:t>二、一般公共预算支出情况</w:t>
            </w:r>
          </w:p>
          <w:p>
            <w:pPr>
              <w:pStyle w:val="14"/>
              <w:ind w:firstLine="320" w:firstLineChars="100"/>
              <w:jc w:val="left"/>
              <w:rPr>
                <w:rFonts w:hint="eastAsia" w:ascii="Times New Roman" w:hAnsi="Times New Roman" w:eastAsia="楷体_GB2312" w:cstheme="minorBidi"/>
                <w:b/>
                <w:bCs/>
                <w:kern w:val="2"/>
                <w:sz w:val="32"/>
                <w:szCs w:val="32"/>
                <w:lang w:val="en-US" w:eastAsia="zh-CN" w:bidi="ar-SA"/>
              </w:rPr>
            </w:pPr>
            <w:r>
              <w:rPr>
                <w:rFonts w:hint="eastAsia" w:ascii="Times New Roman" w:hAnsi="Times New Roman" w:eastAsia="楷体_GB2312" w:cstheme="minorBidi"/>
                <w:b/>
                <w:bCs/>
                <w:kern w:val="2"/>
                <w:sz w:val="32"/>
                <w:szCs w:val="32"/>
                <w:lang w:val="en-US" w:eastAsia="zh-CN" w:bidi="ar-SA"/>
              </w:rPr>
              <w:t>（一）基本支出情况</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2023年度财政拨款基本支出111.00万元，其中：</w:t>
            </w:r>
          </w:p>
          <w:p>
            <w:pPr>
              <w:spacing w:line="560" w:lineRule="atLeast"/>
              <w:ind w:firstLine="640"/>
              <w:rPr>
                <w:rFonts w:ascii="Times New Roman" w:hAnsi="Times New Roman" w:eastAsia="仿宋_GB2312"/>
                <w:sz w:val="32"/>
                <w:szCs w:val="32"/>
              </w:rPr>
            </w:pPr>
            <w:r>
              <w:rPr>
                <w:rFonts w:hint="eastAsia" w:ascii="Times New Roman" w:hAnsi="Times New Roman" w:eastAsia="仿宋_GB2312"/>
                <w:b w:val="0"/>
                <w:bCs w:val="0"/>
                <w:sz w:val="32"/>
                <w:szCs w:val="32"/>
              </w:rPr>
              <w:t>人员经费66.86万元</w:t>
            </w:r>
            <w:r>
              <w:rPr>
                <w:rFonts w:hint="eastAsia" w:ascii="Times New Roman" w:hAnsi="Times New Roman" w:eastAsia="仿宋_GB2312"/>
                <w:sz w:val="32"/>
                <w:szCs w:val="32"/>
              </w:rPr>
              <w:t>，</w:t>
            </w:r>
            <w:r>
              <w:rPr>
                <w:rFonts w:hint="eastAsia" w:ascii="Times New Roman" w:hAnsi="Times New Roman" w:eastAsia="仿宋_GB2312"/>
                <w:b w:val="0"/>
                <w:bCs w:val="0"/>
                <w:sz w:val="32"/>
                <w:szCs w:val="32"/>
              </w:rPr>
              <w:t>公用经费44.14万元</w:t>
            </w:r>
            <w:r>
              <w:rPr>
                <w:rFonts w:hint="eastAsia" w:ascii="Times New Roman" w:hAnsi="Times New Roman" w:eastAsia="仿宋_GB2312"/>
                <w:sz w:val="32"/>
                <w:szCs w:val="32"/>
              </w:rPr>
              <w:t>，</w:t>
            </w:r>
            <w:r>
              <w:rPr>
                <w:rFonts w:ascii="Times New Roman" w:hAnsi="Times New Roman" w:eastAsia="仿宋_GB2312"/>
                <w:sz w:val="32"/>
                <w:szCs w:val="32"/>
              </w:rPr>
              <w:t>主要</w:t>
            </w:r>
            <w:r>
              <w:rPr>
                <w:rFonts w:hint="eastAsia" w:ascii="Times New Roman" w:hAnsi="Times New Roman" w:eastAsia="仿宋_GB2312"/>
                <w:sz w:val="32"/>
                <w:szCs w:val="32"/>
              </w:rPr>
              <w:t>用于</w:t>
            </w:r>
            <w:r>
              <w:rPr>
                <w:rFonts w:ascii="Times New Roman" w:hAnsi="Times New Roman" w:eastAsia="仿宋_GB2312"/>
                <w:sz w:val="32"/>
                <w:szCs w:val="32"/>
              </w:rPr>
              <w:t>保障</w:t>
            </w:r>
            <w:r>
              <w:rPr>
                <w:rFonts w:hint="eastAsia" w:ascii="Times New Roman" w:hAnsi="Times New Roman" w:eastAsia="仿宋_GB2312"/>
                <w:sz w:val="32"/>
                <w:szCs w:val="32"/>
                <w:lang w:eastAsia="zh-CN"/>
              </w:rPr>
              <w:t>单位</w:t>
            </w:r>
            <w:r>
              <w:rPr>
                <w:rFonts w:ascii="Times New Roman" w:hAnsi="Times New Roman" w:eastAsia="仿宋_GB2312"/>
                <w:sz w:val="32"/>
                <w:szCs w:val="32"/>
              </w:rPr>
              <w:t>正常运转、完成日常工作任务而发生的各项支出，包括用于基本工资、津贴补贴等人员经费以及办公费、水电费、</w:t>
            </w:r>
            <w:r>
              <w:rPr>
                <w:rFonts w:hint="eastAsia" w:ascii="Times New Roman" w:hAnsi="Times New Roman" w:eastAsia="仿宋_GB2312"/>
                <w:sz w:val="32"/>
                <w:szCs w:val="32"/>
                <w:lang w:eastAsia="zh-CN"/>
              </w:rPr>
              <w:t>差旅费、劳务费</w:t>
            </w:r>
            <w:r>
              <w:rPr>
                <w:rFonts w:ascii="Times New Roman" w:hAnsi="Times New Roman" w:eastAsia="仿宋_GB2312"/>
                <w:sz w:val="32"/>
                <w:szCs w:val="32"/>
              </w:rPr>
              <w:t>等公用经费。</w:t>
            </w:r>
          </w:p>
          <w:p>
            <w:pPr>
              <w:widowControl/>
              <w:spacing w:line="600" w:lineRule="exact"/>
              <w:ind w:firstLine="480" w:firstLineChars="150"/>
              <w:rPr>
                <w:rFonts w:hint="eastAsia" w:asciiTheme="minorEastAsia" w:hAnsiTheme="minorEastAsia" w:eastAsiaTheme="minorEastAsia"/>
                <w:sz w:val="32"/>
                <w:szCs w:val="32"/>
              </w:rPr>
            </w:pPr>
            <w:r>
              <w:rPr>
                <w:rFonts w:hint="eastAsia" w:ascii="Times New Roman" w:hAnsi="Times New Roman" w:eastAsia="仿宋_GB2312"/>
                <w:sz w:val="32"/>
                <w:szCs w:val="32"/>
              </w:rPr>
              <w:t>建立健全财务管理制度、内控制度，资金使用符合国家财经法规和财务管理制度规定。各项经费支出按财务制度实行审批，切实降低运行成本。</w:t>
            </w:r>
          </w:p>
          <w:p>
            <w:pPr>
              <w:widowControl/>
              <w:spacing w:line="600" w:lineRule="exact"/>
              <w:ind w:firstLine="320" w:firstLineChars="100"/>
              <w:rPr>
                <w:rFonts w:hint="eastAsia" w:ascii="Times New Roman" w:hAnsi="Times New Roman" w:eastAsia="楷体_GB2312"/>
                <w:b/>
                <w:bCs/>
                <w:sz w:val="32"/>
                <w:szCs w:val="32"/>
              </w:rPr>
            </w:pPr>
            <w:r>
              <w:rPr>
                <w:rFonts w:hint="eastAsia" w:ascii="Times New Roman" w:hAnsi="Times New Roman" w:eastAsia="楷体_GB2312"/>
                <w:b/>
                <w:bCs/>
                <w:sz w:val="32"/>
                <w:szCs w:val="32"/>
              </w:rPr>
              <w:t>（二）项目支出情况</w:t>
            </w:r>
          </w:p>
          <w:p>
            <w:pPr>
              <w:pStyle w:val="14"/>
              <w:jc w:val="left"/>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sz w:val="32"/>
                <w:szCs w:val="32"/>
              </w:rPr>
              <w:t>2023</w:t>
            </w:r>
            <w:r>
              <w:rPr>
                <w:rFonts w:ascii="仿宋_GB2312" w:hAnsi="仿宋_GB2312" w:eastAsia="仿宋_GB2312" w:cs="仿宋_GB2312"/>
                <w:sz w:val="32"/>
                <w:szCs w:val="32"/>
              </w:rPr>
              <w:t>年</w:t>
            </w:r>
            <w:r>
              <w:rPr>
                <w:rFonts w:hint="eastAsia" w:ascii="仿宋_GB2312" w:hAnsi="仿宋_GB2312" w:eastAsia="仿宋_GB2312" w:cs="仿宋_GB2312"/>
                <w:sz w:val="32"/>
                <w:szCs w:val="32"/>
              </w:rPr>
              <w:t>度</w:t>
            </w:r>
            <w:r>
              <w:rPr>
                <w:rFonts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8.5</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Times New Roman" w:hAnsi="Times New Roman" w:eastAsia="仿宋_GB2312" w:cs="黑体"/>
                <w:color w:val="000000"/>
                <w:kern w:val="0"/>
                <w:sz w:val="32"/>
                <w:szCs w:val="32"/>
                <w:lang w:val="en-US" w:eastAsia="zh-CN" w:bidi="ar-SA"/>
              </w:rPr>
              <w:t>于2023年6月7日至8日、7月 5日至6日分别在东安县和永兴县举办水肥一体化技术培训班，两次培训共有200余人次参加，通过水肥一体化技术培训、工厂参观、应用场景实地演示、发放技术标准资料、现场问答等形式，对水肥一体化技术有需求的相关人员进行培训，取得了良好的效果。</w:t>
            </w:r>
          </w:p>
          <w:p>
            <w:pPr>
              <w:pStyle w:val="14"/>
              <w:ind w:firstLine="0" w:firstLineChars="0"/>
              <w:jc w:val="left"/>
              <w:rPr>
                <w:rFonts w:hint="eastAsia" w:ascii="黑体" w:hAnsi="黑体" w:eastAsia="黑体" w:cs="黑体"/>
                <w:sz w:val="32"/>
                <w:szCs w:val="32"/>
              </w:rPr>
            </w:pPr>
            <w:r>
              <w:rPr>
                <w:rFonts w:hint="eastAsia" w:ascii="黑体" w:hAnsi="黑体" w:eastAsia="黑体" w:cs="黑体"/>
                <w:sz w:val="32"/>
                <w:szCs w:val="32"/>
              </w:rPr>
              <w:t>三、部门整体支出绩效情况</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1、严控运行成本</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2023年“三公”经费支出3.20万元。其中公务接待费0.20万元、公务用车运行维护费3.0万元。202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基本支出中水费、电费、福利费和差旅费年初预算为7.8万元，决算数为7.1万元，节约比为8.97%，合理控制在预算以内；项目经费运行成本根据预算资金合理安排使用，经作林果业生产机械化培训经费运行成本严格控制。</w:t>
            </w:r>
          </w:p>
          <w:p>
            <w:pPr>
              <w:pStyle w:val="13"/>
              <w:numPr>
                <w:ilvl w:val="0"/>
                <w:numId w:val="0"/>
              </w:numPr>
              <w:spacing w:line="600" w:lineRule="exact"/>
              <w:ind w:left="480" w:leftChars="0" w:firstLine="320" w:firstLineChars="100"/>
              <w:rPr>
                <w:rFonts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提高管理效率</w:t>
            </w:r>
          </w:p>
          <w:p>
            <w:pPr>
              <w:pStyle w:val="13"/>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为提升丘陵山区经作林果业生产机械化水平提高，</w:t>
            </w:r>
            <w:r>
              <w:rPr>
                <w:rFonts w:hint="eastAsia" w:ascii="Times New Roman" w:hAnsi="Times New Roman" w:eastAsia="仿宋_GB2312"/>
                <w:sz w:val="32"/>
                <w:szCs w:val="32"/>
              </w:rPr>
              <w:t>我园举办两次水肥一体化技术培训班，两次培训共有200余人次参加，通过水肥一体化技术培训、工厂参观、应用场景实地演示、发放技术标准资料、现场问答等形式，对水肥一体化技术有需求的相关人员进行培训，取得了良好的效果。</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3、提高履效职能</w:t>
            </w:r>
          </w:p>
          <w:p>
            <w:pPr>
              <w:pStyle w:val="19"/>
              <w:ind w:firstLine="640" w:firstLineChars="200"/>
              <w:rPr>
                <w:rFonts w:hint="eastAsia" w:eastAsia="仿宋_GB2312" w:cs="黑体"/>
                <w:color w:val="000000"/>
                <w:kern w:val="0"/>
                <w:sz w:val="32"/>
                <w:szCs w:val="32"/>
              </w:rPr>
            </w:pPr>
            <w:r>
              <w:rPr>
                <w:rFonts w:hint="eastAsia" w:eastAsia="仿宋_GB2312" w:cs="黑体"/>
                <w:color w:val="000000"/>
                <w:kern w:val="0"/>
                <w:sz w:val="32"/>
                <w:szCs w:val="32"/>
              </w:rPr>
              <w:t>配合中心其它部门完成各项重大业务活动工作，负责在韶山举办的“田间日”活动中农机化宣传及知识问答分项工作，取得良好效果；联系对接省优质农产品产销对接中心日常管理，强化安全隐患排查，督促电梯年检、消防系统的维护维修和值班值守，落实了六楼装修拆除墙体的加固和外墙装饰面脱落的整改，保障了重大农产品宣传推介会活动的顺利开展，协调联系与街道、社区、城管有关联的事宜，做到了全年安全稳定；配合后勤中心做好公有住房和办公区域的资产管理、安全生产。</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4、促进良好社会效应</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示范园年度总体支出绩效目标完成85.94%,其中项目支出绩效目标实现产出数量指标培训水肥一体化技术从业技术人员数量200余人，机械化从业技术人员95%以上达到合格标准；促进良好效益，节约成本，提高一体化机械化技术人员操作水平，促进节本增数。</w:t>
            </w:r>
          </w:p>
          <w:p>
            <w:pPr>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color w:val="000000"/>
                <w:kern w:val="0"/>
                <w:sz w:val="32"/>
                <w:szCs w:val="32"/>
              </w:rPr>
              <w:t>5、加强可持续发展能力</w:t>
            </w:r>
          </w:p>
          <w:p>
            <w:pPr>
              <w:pStyle w:val="19"/>
              <w:ind w:firstLine="640" w:firstLineChars="200"/>
              <w:rPr>
                <w:rFonts w:hint="eastAsia" w:eastAsia="仿宋_GB2312"/>
                <w:sz w:val="32"/>
                <w:szCs w:val="32"/>
              </w:rPr>
            </w:pPr>
            <w:r>
              <w:rPr>
                <w:rFonts w:hint="eastAsia" w:eastAsia="仿宋_GB2312" w:cs="黑体"/>
                <w:color w:val="000000"/>
                <w:kern w:val="0"/>
                <w:sz w:val="32"/>
                <w:szCs w:val="32"/>
              </w:rPr>
              <w:t>本次培训首次聘请具有丰富的一线生产经验和对市场应用现状熟悉的人士为培训师，培训方式更接地气，更能解决参培人员的需求痛点，是一次改变以往请偏理论研究的大学教授授课的有效尝试。</w:t>
            </w:r>
            <w:r>
              <w:rPr>
                <w:rFonts w:hint="eastAsia" w:eastAsia="仿宋_GB2312"/>
                <w:sz w:val="32"/>
                <w:szCs w:val="32"/>
              </w:rPr>
              <w:t>通过示范带动，提升林果业种植机械化程度，带动周边市县丘陵山区经作果林生产机械化。</w:t>
            </w:r>
          </w:p>
          <w:p>
            <w:pPr>
              <w:pStyle w:val="19"/>
              <w:ind w:firstLine="640" w:firstLineChars="200"/>
              <w:rPr>
                <w:rFonts w:eastAsia="仿宋_GB2312"/>
                <w:sz w:val="32"/>
                <w:szCs w:val="32"/>
              </w:rPr>
            </w:pPr>
            <w:r>
              <w:rPr>
                <w:rFonts w:hint="eastAsia" w:eastAsia="仿宋_GB2312"/>
                <w:sz w:val="32"/>
                <w:szCs w:val="32"/>
              </w:rPr>
              <w:t>6、提高服务对象满意度</w:t>
            </w:r>
          </w:p>
          <w:p>
            <w:pPr>
              <w:ind w:firstLine="640" w:firstLineChars="200"/>
              <w:rPr>
                <w:rFonts w:ascii="Times New Roman" w:hAnsi="Times New Roman" w:eastAsia="仿宋_GB2312" w:cs="黑体"/>
                <w:color w:val="000000"/>
                <w:kern w:val="0"/>
                <w:sz w:val="32"/>
                <w:szCs w:val="32"/>
              </w:rPr>
            </w:pPr>
            <w:r>
              <w:rPr>
                <w:rFonts w:hint="eastAsia" w:ascii="Times New Roman" w:hAnsi="Times New Roman" w:eastAsia="仿宋_GB2312" w:cs="黑体"/>
                <w:kern w:val="0"/>
                <w:sz w:val="32"/>
                <w:szCs w:val="32"/>
              </w:rPr>
              <w:t>通过实地访问的方式进行满意度调查，培训技术人员达到合格标准，带动周边市县实现生产机械化，服务对象满意度达到了95%。</w:t>
            </w:r>
          </w:p>
          <w:p>
            <w:pPr>
              <w:pStyle w:val="13"/>
              <w:spacing w:line="580" w:lineRule="exac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四、存在的问题及原因分析</w:t>
            </w:r>
          </w:p>
          <w:p>
            <w:pPr>
              <w:pStyle w:val="13"/>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人员经费预算执行率有待提高：202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一般公共预算基本支出总预算135.85万元，其中年中追加6.8万元，预算执行111.0万元，预算执行率79.94%。其中人员经费预算执行率低于75%。按支出性质和经济分类，人员经费预算90.25万元，实际使用66.86万元，预算执行率74.08%。</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olor w:val="auto"/>
                <w:sz w:val="32"/>
                <w:szCs w:val="32"/>
              </w:rPr>
              <w:t>原因分析：一是年初预算人员经费绩效工资年中追加，2023年</w:t>
            </w:r>
            <w:r>
              <w:rPr>
                <w:rFonts w:hint="eastAsia" w:ascii="Times New Roman" w:hAnsi="Times New Roman" w:eastAsia="仿宋_GB2312"/>
                <w:sz w:val="32"/>
                <w:szCs w:val="32"/>
              </w:rPr>
              <w:t>按政策未调整在职人员公积金基数;二是长期聘用人员的社保、公积金费用调剂到农林水支出（类）农业农村（款）事业运行（项）。</w:t>
            </w:r>
          </w:p>
          <w:p>
            <w:pPr>
              <w:pStyle w:val="13"/>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sz w:val="32"/>
                <w:szCs w:val="32"/>
              </w:rPr>
              <w:t>整改措施：一是</w:t>
            </w:r>
            <w:r>
              <w:rPr>
                <w:rFonts w:hint="eastAsia" w:ascii="Times New Roman" w:hAnsi="Times New Roman" w:eastAsia="仿宋_GB2312"/>
                <w:color w:val="auto"/>
                <w:sz w:val="32"/>
                <w:szCs w:val="32"/>
              </w:rPr>
              <w:t>提高年初预算编制准确性，编制预算时，严格根据事业单位人员工资和绩效工资发放标准做人员经费的预算，提高预算编制的准确度。二是提高预算资金使用执行率，定期对资金执行率情况进行分析，落实到具体情况，从而提高单位整体预算执行率。</w:t>
            </w:r>
          </w:p>
          <w:tbl>
            <w:tblPr>
              <w:tblStyle w:val="9"/>
              <w:tblW w:w="10186" w:type="dxa"/>
              <w:tblInd w:w="91" w:type="dxa"/>
              <w:tblLayout w:type="fixed"/>
              <w:tblCellMar>
                <w:top w:w="0" w:type="dxa"/>
                <w:left w:w="108" w:type="dxa"/>
                <w:bottom w:w="0" w:type="dxa"/>
                <w:right w:w="108" w:type="dxa"/>
              </w:tblCellMar>
            </w:tblPr>
            <w:tblGrid>
              <w:gridCol w:w="3940"/>
              <w:gridCol w:w="1060"/>
              <w:gridCol w:w="1060"/>
              <w:gridCol w:w="1060"/>
              <w:gridCol w:w="1260"/>
              <w:gridCol w:w="1060"/>
              <w:gridCol w:w="746"/>
            </w:tblGrid>
            <w:tr>
              <w:tblPrEx>
                <w:tblLayout w:type="fixed"/>
                <w:tblCellMar>
                  <w:top w:w="0" w:type="dxa"/>
                  <w:left w:w="108" w:type="dxa"/>
                  <w:bottom w:w="0" w:type="dxa"/>
                  <w:right w:w="108" w:type="dxa"/>
                </w:tblCellMar>
              </w:tblPrEx>
              <w:trPr>
                <w:trHeight w:val="642" w:hRule="atLeast"/>
              </w:trPr>
              <w:tc>
                <w:tcPr>
                  <w:tcW w:w="10186" w:type="dxa"/>
                  <w:gridSpan w:val="7"/>
                  <w:tcBorders>
                    <w:top w:val="nil"/>
                    <w:left w:val="nil"/>
                    <w:bottom w:val="nil"/>
                    <w:right w:val="nil"/>
                  </w:tcBorders>
                  <w:shd w:val="clear" w:color="auto" w:fill="auto"/>
                  <w:noWrap/>
                  <w:vAlign w:val="center"/>
                </w:tcPr>
                <w:p>
                  <w:pPr>
                    <w:widowControl/>
                    <w:jc w:val="left"/>
                    <w:rPr>
                      <w:rFonts w:hint="eastAsia" w:ascii="宋体" w:hAnsi="宋体" w:eastAsia="宋体" w:cs="宋体"/>
                      <w:bCs/>
                      <w:color w:val="000000"/>
                      <w:kern w:val="0"/>
                      <w:sz w:val="24"/>
                      <w:szCs w:val="24"/>
                    </w:rPr>
                  </w:pPr>
                </w:p>
                <w:p>
                  <w:pPr>
                    <w:widowControl/>
                    <w:jc w:val="left"/>
                    <w:rPr>
                      <w:rFonts w:hint="eastAsia" w:ascii="宋体" w:hAnsi="宋体" w:eastAsia="宋体" w:cs="宋体"/>
                      <w:bCs/>
                      <w:color w:val="000000"/>
                      <w:kern w:val="0"/>
                      <w:sz w:val="24"/>
                      <w:szCs w:val="24"/>
                    </w:rPr>
                  </w:pPr>
                </w:p>
                <w:p>
                  <w:pPr>
                    <w:widowControl/>
                    <w:jc w:val="left"/>
                    <w:rPr>
                      <w:rFonts w:hint="eastAsia" w:ascii="宋体" w:hAnsi="宋体" w:eastAsia="宋体" w:cs="宋体"/>
                      <w:bCs/>
                      <w:color w:val="000000"/>
                      <w:kern w:val="0"/>
                      <w:sz w:val="24"/>
                      <w:szCs w:val="24"/>
                    </w:rPr>
                  </w:pPr>
                </w:p>
                <w:p>
                  <w:pPr>
                    <w:widowControl/>
                    <w:jc w:val="left"/>
                    <w:rPr>
                      <w:rFonts w:hint="eastAsia" w:ascii="宋体" w:hAnsi="宋体" w:eastAsia="宋体" w:cs="宋体"/>
                      <w:bCs/>
                      <w:color w:val="000000"/>
                      <w:kern w:val="0"/>
                      <w:sz w:val="24"/>
                      <w:szCs w:val="24"/>
                    </w:rPr>
                  </w:pPr>
                </w:p>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3</w:t>
                  </w:r>
                  <w:r>
                    <w:rPr>
                      <w:rFonts w:hint="eastAsia" w:ascii="宋体" w:hAnsi="宋体" w:eastAsia="宋体" w:cs="宋体"/>
                      <w:b/>
                      <w:bCs/>
                      <w:color w:val="000000"/>
                      <w:kern w:val="0"/>
                      <w:sz w:val="28"/>
                      <w:szCs w:val="28"/>
                    </w:rPr>
                    <w:t>年度部门整体支出绩效评价基础数据表</w:t>
                  </w:r>
                </w:p>
              </w:tc>
            </w:tr>
            <w:tr>
              <w:tblPrEx>
                <w:tblLayout w:type="fixed"/>
                <w:tblCellMar>
                  <w:top w:w="0" w:type="dxa"/>
                  <w:left w:w="108" w:type="dxa"/>
                  <w:bottom w:w="0" w:type="dxa"/>
                  <w:right w:w="108" w:type="dxa"/>
                </w:tblCellMar>
              </w:tblPrEx>
              <w:trPr>
                <w:trHeight w:val="402" w:hRule="atLeast"/>
              </w:trPr>
              <w:tc>
                <w:tcPr>
                  <w:tcW w:w="39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财政供养人员情况</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编制数</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年实际在职人数</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控制率</w:t>
                  </w:r>
                </w:p>
              </w:tc>
            </w:tr>
            <w:tr>
              <w:tblPrEx>
                <w:tblLayout w:type="fixed"/>
                <w:tblCellMar>
                  <w:top w:w="0" w:type="dxa"/>
                  <w:left w:w="108" w:type="dxa"/>
                  <w:bottom w:w="0" w:type="dxa"/>
                  <w:right w:w="108" w:type="dxa"/>
                </w:tblCellMar>
              </w:tblPrEx>
              <w:trPr>
                <w:trHeight w:val="402" w:hRule="atLeast"/>
              </w:trPr>
              <w:tc>
                <w:tcPr>
                  <w:tcW w:w="3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75.00%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经费控制情况</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2</w:t>
                  </w:r>
                  <w:r>
                    <w:rPr>
                      <w:rFonts w:hint="eastAsia" w:ascii="仿宋_GB2312" w:hAnsi="宋体" w:eastAsia="仿宋_GB2312" w:cs="宋体"/>
                      <w:color w:val="000000"/>
                      <w:kern w:val="0"/>
                      <w:szCs w:val="21"/>
                    </w:rPr>
                    <w:t>年决算数</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年预算数</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年决算数</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三公经费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3.11</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4.00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3.20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1、公务用车购置和维护经费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3.00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3.00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3.00 </w:t>
                  </w:r>
                </w:p>
              </w:tc>
            </w:tr>
            <w:tr>
              <w:tblPrEx>
                <w:tblLayout w:type="fixed"/>
                <w:tblCellMar>
                  <w:top w:w="0" w:type="dxa"/>
                  <w:left w:w="108" w:type="dxa"/>
                  <w:bottom w:w="0" w:type="dxa"/>
                  <w:right w:w="108" w:type="dxa"/>
                </w:tblCellMar>
              </w:tblPrEx>
              <w:trPr>
                <w:trHeight w:val="379"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其中：公车购置</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0.00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0.00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公车运行维护</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3.00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3.00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3.00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2、出国经费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0.00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0.00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3、公务接待</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0.11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1.00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0.10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项目支出：</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20.00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10.00</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8.50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1、业务工作专项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20.00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10.00</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8.50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2、运行维护专项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3、省级专项资金（一个专项一行）</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公用经费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50.28</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45.6</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44.20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ind w:firstLine="630" w:firstLineChars="300"/>
                    <w:jc w:val="both"/>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其中：办公经费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2.60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3.00</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3.00</w:t>
                  </w:r>
                </w:p>
              </w:tc>
            </w:tr>
            <w:tr>
              <w:tblPrEx>
                <w:tblLayout w:type="fixed"/>
                <w:tblCellMar>
                  <w:top w:w="0" w:type="dxa"/>
                  <w:left w:w="108" w:type="dxa"/>
                  <w:bottom w:w="0" w:type="dxa"/>
                  <w:right w:w="108" w:type="dxa"/>
                </w:tblCellMar>
              </w:tblPrEx>
              <w:trPr>
                <w:trHeight w:val="360"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水费、电费、差旅费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5.38</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8.00</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7.62</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会议费、培训费</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0.00</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0</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政府采购金额</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1.25</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部门基本支出预算调整</w:t>
                  </w:r>
                </w:p>
              </w:tc>
              <w:tc>
                <w:tcPr>
                  <w:tcW w:w="21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23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p>
              </w:tc>
              <w:tc>
                <w:tcPr>
                  <w:tcW w:w="18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402" w:hRule="atLeast"/>
              </w:trPr>
              <w:tc>
                <w:tcPr>
                  <w:tcW w:w="39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楼堂馆所控制情况</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年完工项目）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批复规模</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实际规模（㎡）</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规模控制率</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预算投资（万元）</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实际投资（万元）</w:t>
                  </w:r>
                </w:p>
              </w:tc>
              <w:tc>
                <w:tcPr>
                  <w:tcW w:w="74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投资概算控制率</w:t>
                  </w:r>
                </w:p>
              </w:tc>
            </w:tr>
            <w:tr>
              <w:tblPrEx>
                <w:tblLayout w:type="fixed"/>
                <w:tblCellMar>
                  <w:top w:w="0" w:type="dxa"/>
                  <w:left w:w="108" w:type="dxa"/>
                  <w:bottom w:w="0" w:type="dxa"/>
                  <w:right w:w="108" w:type="dxa"/>
                </w:tblCellMar>
              </w:tblPrEx>
              <w:trPr>
                <w:trHeight w:val="402" w:hRule="atLeast"/>
              </w:trPr>
              <w:tc>
                <w:tcPr>
                  <w:tcW w:w="39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126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746"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402" w:hRule="atLeast"/>
              </w:trPr>
              <w:tc>
                <w:tcPr>
                  <w:tcW w:w="394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000000"/>
                      <w:kern w:val="0"/>
                      <w:szCs w:val="21"/>
                    </w:rPr>
                  </w:pP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2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c>
                <w:tcPr>
                  <w:tcW w:w="74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r>
            <w:tr>
              <w:tblPrEx>
                <w:tblLayout w:type="fixed"/>
                <w:tblCellMar>
                  <w:top w:w="0" w:type="dxa"/>
                  <w:left w:w="108" w:type="dxa"/>
                  <w:bottom w:w="0" w:type="dxa"/>
                  <w:right w:w="108" w:type="dxa"/>
                </w:tblCellMar>
              </w:tblPrEx>
              <w:trPr>
                <w:trHeight w:val="402" w:hRule="atLeast"/>
              </w:trPr>
              <w:tc>
                <w:tcPr>
                  <w:tcW w:w="39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厉行节约保障措施</w:t>
                  </w:r>
                </w:p>
              </w:tc>
              <w:tc>
                <w:tcPr>
                  <w:tcW w:w="624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270" w:hRule="atLeast"/>
              </w:trPr>
              <w:tc>
                <w:tcPr>
                  <w:tcW w:w="3940"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c>
                <w:tcPr>
                  <w:tcW w:w="1060"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c>
                <w:tcPr>
                  <w:tcW w:w="1060"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c>
                <w:tcPr>
                  <w:tcW w:w="1060"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c>
                <w:tcPr>
                  <w:tcW w:w="1260"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c>
                <w:tcPr>
                  <w:tcW w:w="1060"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c>
                <w:tcPr>
                  <w:tcW w:w="746"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312" w:hRule="atLeast"/>
              </w:trPr>
              <w:tc>
                <w:tcPr>
                  <w:tcW w:w="10186" w:type="dxa"/>
                  <w:gridSpan w:val="7"/>
                  <w:tcBorders>
                    <w:top w:val="nil"/>
                    <w:left w:val="nil"/>
                    <w:bottom w:val="nil"/>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说明：“项目支出”需要填报基本支出以外的所有项目支出情况，“公用经费”填报基本支出中的一般商品和服务支出。</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填表人：        填报日期：          联系电话：            单位负责人签字：</w:t>
                  </w:r>
                </w:p>
              </w:tc>
            </w:tr>
          </w:tbl>
          <w:p>
            <w:pPr>
              <w:jc w:val="left"/>
              <w:rPr>
                <w:rFonts w:cs="黑体" w:asciiTheme="minorEastAsia" w:hAnsiTheme="minorEastAsia"/>
                <w:color w:val="000000"/>
                <w:kern w:val="0"/>
                <w:sz w:val="32"/>
                <w:szCs w:val="32"/>
              </w:rPr>
            </w:pPr>
          </w:p>
          <w:p>
            <w:pPr>
              <w:widowControl/>
              <w:jc w:val="left"/>
              <w:rPr>
                <w:rFonts w:hint="eastAsia" w:ascii="宋体" w:hAnsi="宋体" w:eastAsia="宋体" w:cs="宋体"/>
                <w:bCs/>
                <w:color w:val="000000"/>
                <w:kern w:val="0"/>
                <w:sz w:val="24"/>
                <w:szCs w:val="24"/>
              </w:rPr>
            </w:pPr>
          </w:p>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3</w:t>
            </w:r>
            <w:r>
              <w:rPr>
                <w:rFonts w:hint="eastAsia" w:ascii="宋体" w:hAnsi="宋体" w:eastAsia="宋体" w:cs="宋体"/>
                <w:b/>
                <w:bCs/>
                <w:color w:val="000000"/>
                <w:kern w:val="0"/>
                <w:sz w:val="28"/>
                <w:szCs w:val="28"/>
              </w:rPr>
              <w:t>年度部门整体支出绩效自评表</w:t>
            </w:r>
          </w:p>
        </w:tc>
      </w:tr>
      <w:tr>
        <w:tblPrEx>
          <w:tblLayout w:type="fixed"/>
          <w:tblCellMar>
            <w:top w:w="0" w:type="dxa"/>
            <w:left w:w="108" w:type="dxa"/>
            <w:bottom w:w="0" w:type="dxa"/>
            <w:right w:w="108" w:type="dxa"/>
          </w:tblCellMar>
        </w:tblPrEx>
        <w:trPr>
          <w:trHeight w:val="270" w:hRule="atLeast"/>
        </w:trPr>
        <w:tc>
          <w:tcPr>
            <w:tcW w:w="92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8"/>
                <w:szCs w:val="18"/>
              </w:rPr>
            </w:pPr>
          </w:p>
        </w:tc>
        <w:tc>
          <w:tcPr>
            <w:tcW w:w="129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98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6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9" w:hRule="atLeast"/>
        </w:trPr>
        <w:tc>
          <w:tcPr>
            <w:tcW w:w="925"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部门名称</w:t>
            </w:r>
          </w:p>
        </w:tc>
        <w:tc>
          <w:tcPr>
            <w:tcW w:w="9540" w:type="dxa"/>
            <w:gridSpan w:val="9"/>
            <w:tcBorders>
              <w:top w:val="single" w:color="auto" w:sz="8" w:space="0"/>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湖南省农业机械化高科技示范园</w:t>
            </w:r>
          </w:p>
        </w:tc>
      </w:tr>
      <w:tr>
        <w:tblPrEx>
          <w:tblLayout w:type="fixed"/>
          <w:tblCellMar>
            <w:top w:w="0" w:type="dxa"/>
            <w:left w:w="108" w:type="dxa"/>
            <w:bottom w:w="0" w:type="dxa"/>
            <w:right w:w="108" w:type="dxa"/>
          </w:tblCellMar>
        </w:tblPrEx>
        <w:trPr>
          <w:trHeight w:val="319" w:hRule="atLeast"/>
        </w:trPr>
        <w:tc>
          <w:tcPr>
            <w:tcW w:w="925" w:type="dxa"/>
            <w:vMerge w:val="restart"/>
            <w:tcBorders>
              <w:top w:val="nil"/>
              <w:left w:val="single" w:color="auto" w:sz="8" w:space="0"/>
              <w:bottom w:val="nil"/>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年度预算申请（万元）</w:t>
            </w:r>
          </w:p>
        </w:tc>
        <w:tc>
          <w:tcPr>
            <w:tcW w:w="2120" w:type="dxa"/>
            <w:gridSpan w:val="2"/>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60" w:type="dxa"/>
            <w:tcBorders>
              <w:top w:val="nil"/>
              <w:left w:val="nil"/>
              <w:bottom w:val="nil"/>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w:t>
            </w:r>
          </w:p>
        </w:tc>
        <w:tc>
          <w:tcPr>
            <w:tcW w:w="2120" w:type="dxa"/>
            <w:gridSpan w:val="2"/>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1299"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900"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981"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1060"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Layout w:type="fixed"/>
          <w:tblCellMar>
            <w:top w:w="0" w:type="dxa"/>
            <w:left w:w="108" w:type="dxa"/>
            <w:bottom w:w="0" w:type="dxa"/>
            <w:right w:w="108" w:type="dxa"/>
          </w:tblCellMar>
        </w:tblPrEx>
        <w:trPr>
          <w:trHeight w:val="270"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2120" w:type="dxa"/>
            <w:gridSpan w:val="2"/>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预算数</w:t>
            </w:r>
          </w:p>
        </w:tc>
        <w:tc>
          <w:tcPr>
            <w:tcW w:w="2120" w:type="dxa"/>
            <w:gridSpan w:val="2"/>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299"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981"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106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139.</w:t>
            </w:r>
            <w:r>
              <w:rPr>
                <w:rFonts w:hint="eastAsia" w:ascii="仿宋_GB2312" w:hAnsi="宋体" w:eastAsia="仿宋_GB2312" w:cs="宋体"/>
                <w:color w:val="000000"/>
                <w:kern w:val="0"/>
                <w:szCs w:val="21"/>
                <w:lang w:val="en-US" w:eastAsia="zh-CN"/>
              </w:rPr>
              <w:t>0</w:t>
            </w:r>
            <w:r>
              <w:rPr>
                <w:rFonts w:hint="eastAsia" w:ascii="仿宋_GB2312" w:hAnsi="宋体" w:eastAsia="仿宋_GB2312" w:cs="宋体"/>
                <w:color w:val="000000"/>
                <w:kern w:val="0"/>
                <w:szCs w:val="21"/>
              </w:rPr>
              <w:t>5</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145.85</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119.56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90</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81.97%</w:t>
            </w:r>
          </w:p>
        </w:tc>
        <w:tc>
          <w:tcPr>
            <w:tcW w:w="1060"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90</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5300" w:type="dxa"/>
            <w:gridSpan w:val="5"/>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按收入性质分：</w:t>
            </w:r>
          </w:p>
        </w:tc>
        <w:tc>
          <w:tcPr>
            <w:tcW w:w="4240" w:type="dxa"/>
            <w:gridSpan w:val="4"/>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按支出性质分：</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5300" w:type="dxa"/>
            <w:gridSpan w:val="5"/>
            <w:tcBorders>
              <w:top w:val="nil"/>
              <w:left w:val="nil"/>
              <w:bottom w:val="single" w:color="auto" w:sz="8" w:space="0"/>
              <w:right w:val="single" w:color="auto" w:sz="8" w:space="0"/>
            </w:tcBorders>
            <w:shd w:val="clear" w:color="auto" w:fill="auto"/>
            <w:vAlign w:val="center"/>
          </w:tcPr>
          <w:p>
            <w:pPr>
              <w:widowControl/>
              <w:jc w:val="left"/>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 xml:space="preserve">  其中：  一般公共预算：</w:t>
            </w:r>
            <w:r>
              <w:rPr>
                <w:rFonts w:hint="eastAsia" w:ascii="仿宋_GB2312" w:hAnsi="宋体" w:eastAsia="仿宋_GB2312" w:cs="宋体"/>
                <w:color w:val="000000"/>
                <w:kern w:val="0"/>
                <w:szCs w:val="21"/>
                <w:lang w:val="en-US" w:eastAsia="zh-CN"/>
              </w:rPr>
              <w:t>139.05</w:t>
            </w:r>
          </w:p>
        </w:tc>
        <w:tc>
          <w:tcPr>
            <w:tcW w:w="4240" w:type="dxa"/>
            <w:gridSpan w:val="4"/>
            <w:tcBorders>
              <w:top w:val="nil"/>
              <w:left w:val="nil"/>
              <w:bottom w:val="single" w:color="auto" w:sz="8" w:space="0"/>
              <w:right w:val="single" w:color="auto" w:sz="8" w:space="0"/>
            </w:tcBorders>
            <w:shd w:val="clear" w:color="auto" w:fill="auto"/>
            <w:vAlign w:val="center"/>
          </w:tcPr>
          <w:p>
            <w:pPr>
              <w:widowControl/>
              <w:jc w:val="left"/>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其中：基本支出：</w:t>
            </w:r>
            <w:r>
              <w:rPr>
                <w:rFonts w:hint="eastAsia" w:ascii="仿宋_GB2312" w:hAnsi="宋体" w:eastAsia="仿宋_GB2312" w:cs="宋体"/>
                <w:color w:val="000000"/>
                <w:kern w:val="0"/>
                <w:szCs w:val="21"/>
                <w:lang w:val="en-US" w:eastAsia="zh-CN"/>
              </w:rPr>
              <w:t>129.05</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5300" w:type="dxa"/>
            <w:gridSpan w:val="5"/>
            <w:tcBorders>
              <w:top w:val="nil"/>
              <w:left w:val="nil"/>
              <w:bottom w:val="single" w:color="auto" w:sz="8" w:space="0"/>
              <w:right w:val="single" w:color="auto" w:sz="8" w:space="0"/>
            </w:tcBorders>
            <w:shd w:val="clear" w:color="auto" w:fill="auto"/>
            <w:vAlign w:val="center"/>
          </w:tcPr>
          <w:p>
            <w:pPr>
              <w:widowControl/>
              <w:ind w:firstLine="840" w:firstLineChars="400"/>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政府性基金拨款：</w:t>
            </w:r>
          </w:p>
        </w:tc>
        <w:tc>
          <w:tcPr>
            <w:tcW w:w="4240" w:type="dxa"/>
            <w:gridSpan w:val="4"/>
            <w:tcBorders>
              <w:top w:val="nil"/>
              <w:left w:val="nil"/>
              <w:bottom w:val="single" w:color="auto" w:sz="8" w:space="0"/>
              <w:right w:val="single" w:color="auto" w:sz="8" w:space="0"/>
            </w:tcBorders>
            <w:shd w:val="clear" w:color="auto" w:fill="auto"/>
            <w:vAlign w:val="center"/>
          </w:tcPr>
          <w:p>
            <w:pPr>
              <w:widowControl/>
              <w:ind w:firstLine="630" w:firstLineChars="300"/>
              <w:jc w:val="left"/>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项目支出：</w:t>
            </w:r>
            <w:r>
              <w:rPr>
                <w:rFonts w:hint="eastAsia" w:ascii="仿宋_GB2312" w:hAnsi="宋体" w:eastAsia="仿宋_GB2312" w:cs="宋体"/>
                <w:color w:val="000000"/>
                <w:kern w:val="0"/>
                <w:szCs w:val="21"/>
                <w:lang w:val="en-US" w:eastAsia="zh-CN"/>
              </w:rPr>
              <w:t>10.00</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5300" w:type="dxa"/>
            <w:gridSpan w:val="5"/>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纳入专户管理的非税收入拨款：</w:t>
            </w:r>
          </w:p>
        </w:tc>
        <w:tc>
          <w:tcPr>
            <w:tcW w:w="4240" w:type="dxa"/>
            <w:gridSpan w:val="4"/>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nil"/>
              <w:right w:val="single" w:color="auto" w:sz="8" w:space="0"/>
            </w:tcBorders>
            <w:vAlign w:val="center"/>
          </w:tcPr>
          <w:p>
            <w:pPr>
              <w:widowControl/>
              <w:jc w:val="left"/>
              <w:rPr>
                <w:rFonts w:ascii="仿宋_GB2312" w:hAnsi="宋体" w:eastAsia="仿宋_GB2312" w:cs="宋体"/>
                <w:color w:val="000000"/>
                <w:kern w:val="0"/>
                <w:szCs w:val="21"/>
              </w:rPr>
            </w:pPr>
          </w:p>
        </w:tc>
        <w:tc>
          <w:tcPr>
            <w:tcW w:w="5300" w:type="dxa"/>
            <w:gridSpan w:val="5"/>
            <w:tcBorders>
              <w:top w:val="nil"/>
              <w:left w:val="nil"/>
              <w:bottom w:val="single" w:color="auto" w:sz="8" w:space="0"/>
              <w:right w:val="single" w:color="auto" w:sz="8" w:space="0"/>
            </w:tcBorders>
            <w:shd w:val="clear" w:color="auto" w:fill="auto"/>
            <w:vAlign w:val="center"/>
          </w:tcPr>
          <w:p>
            <w:pPr>
              <w:widowControl/>
              <w:ind w:firstLine="1470" w:firstLineChars="700"/>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其他资金：</w:t>
            </w:r>
          </w:p>
        </w:tc>
        <w:tc>
          <w:tcPr>
            <w:tcW w:w="4240" w:type="dxa"/>
            <w:gridSpan w:val="4"/>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5300" w:type="dxa"/>
            <w:gridSpan w:val="5"/>
            <w:tcBorders>
              <w:top w:val="nil"/>
              <w:left w:val="nil"/>
              <w:bottom w:val="single" w:color="auto" w:sz="8" w:space="0"/>
              <w:right w:val="single" w:color="000000"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4240" w:type="dxa"/>
            <w:gridSpan w:val="4"/>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Layout w:type="fixed"/>
          <w:tblCellMar>
            <w:top w:w="0" w:type="dxa"/>
            <w:left w:w="108" w:type="dxa"/>
            <w:bottom w:w="0" w:type="dxa"/>
            <w:right w:w="108" w:type="dxa"/>
          </w:tblCellMar>
        </w:tblPrEx>
        <w:trPr>
          <w:trHeight w:val="593"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5300" w:type="dxa"/>
            <w:gridSpan w:val="5"/>
            <w:tcBorders>
              <w:top w:val="nil"/>
              <w:left w:val="nil"/>
              <w:bottom w:val="single" w:color="auto" w:sz="8" w:space="0"/>
              <w:right w:val="single" w:color="000000" w:sz="8" w:space="0"/>
            </w:tcBorders>
            <w:shd w:val="clear" w:color="auto" w:fill="auto"/>
            <w:vAlign w:val="center"/>
          </w:tcPr>
          <w:p>
            <w:pPr>
              <w:widowControl/>
              <w:jc w:val="both"/>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202</w:t>
            </w:r>
            <w:r>
              <w:rPr>
                <w:rFonts w:hint="eastAsia" w:ascii="仿宋_GB2312" w:hAnsi="宋体" w:eastAsia="仿宋_GB2312" w:cs="宋体"/>
                <w:color w:val="000000"/>
                <w:kern w:val="0"/>
                <w:sz w:val="20"/>
                <w:szCs w:val="20"/>
                <w:lang w:val="en-US" w:eastAsia="zh-CN"/>
              </w:rPr>
              <w:t>3</w:t>
            </w:r>
            <w:r>
              <w:rPr>
                <w:rFonts w:hint="eastAsia" w:ascii="仿宋_GB2312" w:hAnsi="宋体" w:eastAsia="仿宋_GB2312" w:cs="宋体"/>
                <w:color w:val="000000"/>
                <w:kern w:val="0"/>
                <w:sz w:val="20"/>
                <w:szCs w:val="20"/>
              </w:rPr>
              <w:t>年1</w:t>
            </w:r>
            <w:r>
              <w:rPr>
                <w:rFonts w:hint="eastAsia" w:ascii="仿宋_GB2312" w:hAnsi="宋体" w:eastAsia="仿宋_GB2312" w:cs="宋体"/>
                <w:color w:val="000000"/>
                <w:kern w:val="0"/>
                <w:sz w:val="20"/>
                <w:szCs w:val="20"/>
                <w:lang w:val="en-US" w:eastAsia="zh-CN"/>
              </w:rPr>
              <w:t>2</w:t>
            </w:r>
            <w:r>
              <w:rPr>
                <w:rFonts w:hint="eastAsia" w:ascii="仿宋_GB2312" w:hAnsi="宋体" w:eastAsia="仿宋_GB2312" w:cs="宋体"/>
                <w:color w:val="000000"/>
                <w:kern w:val="0"/>
                <w:sz w:val="20"/>
                <w:szCs w:val="20"/>
              </w:rPr>
              <w:t>月份</w:t>
            </w:r>
            <w:r>
              <w:rPr>
                <w:rFonts w:hint="eastAsia" w:ascii="仿宋_GB2312" w:hAnsi="宋体" w:eastAsia="仿宋_GB2312" w:cs="宋体"/>
                <w:color w:val="000000"/>
                <w:kern w:val="0"/>
                <w:sz w:val="20"/>
                <w:szCs w:val="20"/>
                <w:lang w:eastAsia="zh-CN"/>
              </w:rPr>
              <w:t>前完成水肥一体化技术</w:t>
            </w:r>
            <w:r>
              <w:rPr>
                <w:rFonts w:hint="eastAsia" w:ascii="仿宋_GB2312" w:hAnsi="宋体" w:eastAsia="仿宋_GB2312" w:cs="宋体"/>
                <w:color w:val="000000"/>
                <w:kern w:val="0"/>
                <w:sz w:val="20"/>
                <w:szCs w:val="20"/>
              </w:rPr>
              <w:t>培训班</w:t>
            </w:r>
          </w:p>
        </w:tc>
        <w:tc>
          <w:tcPr>
            <w:tcW w:w="4240" w:type="dxa"/>
            <w:gridSpan w:val="4"/>
            <w:tcBorders>
              <w:top w:val="nil"/>
              <w:left w:val="nil"/>
              <w:bottom w:val="single" w:color="auto" w:sz="8" w:space="0"/>
              <w:right w:val="single" w:color="auto" w:sz="8" w:space="0"/>
            </w:tcBorders>
            <w:shd w:val="clear" w:color="auto" w:fill="auto"/>
            <w:vAlign w:val="center"/>
          </w:tcPr>
          <w:p>
            <w:pPr>
              <w:widowControl/>
              <w:jc w:val="left"/>
              <w:rPr>
                <w:rFonts w:hint="eastAsia" w:ascii="仿宋_GB2312" w:hAnsi="宋体" w:eastAsia="仿宋_GB2312" w:cs="宋体"/>
                <w:color w:val="000000"/>
                <w:kern w:val="0"/>
                <w:sz w:val="20"/>
                <w:szCs w:val="20"/>
                <w:lang w:eastAsia="zh-CN"/>
              </w:rPr>
            </w:pPr>
            <w:r>
              <w:rPr>
                <w:rFonts w:hint="eastAsia" w:ascii="仿宋_GB2312" w:hAnsi="宋体" w:eastAsia="仿宋_GB2312" w:cs="宋体"/>
                <w:color w:val="000000"/>
                <w:kern w:val="0"/>
                <w:sz w:val="20"/>
                <w:szCs w:val="20"/>
                <w:lang w:eastAsia="zh-CN"/>
              </w:rPr>
              <w:t>已按要求完成预期目标</w:t>
            </w:r>
          </w:p>
        </w:tc>
      </w:tr>
      <w:tr>
        <w:tblPrEx>
          <w:tblLayout w:type="fixed"/>
          <w:tblCellMar>
            <w:top w:w="0" w:type="dxa"/>
            <w:left w:w="108" w:type="dxa"/>
            <w:bottom w:w="0" w:type="dxa"/>
            <w:right w:w="108" w:type="dxa"/>
          </w:tblCellMar>
        </w:tblPrEx>
        <w:trPr>
          <w:trHeight w:val="319" w:hRule="atLeast"/>
        </w:trPr>
        <w:tc>
          <w:tcPr>
            <w:tcW w:w="925"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1060"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1060"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2120" w:type="dxa"/>
            <w:gridSpan w:val="2"/>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1060" w:type="dxa"/>
            <w:tcBorders>
              <w:top w:val="nil"/>
              <w:left w:val="nil"/>
              <w:bottom w:val="nil"/>
              <w:right w:val="single" w:color="auto" w:sz="8"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年度</w:t>
            </w:r>
          </w:p>
        </w:tc>
        <w:tc>
          <w:tcPr>
            <w:tcW w:w="1299" w:type="dxa"/>
            <w:vMerge w:val="restart"/>
            <w:tcBorders>
              <w:top w:val="nil"/>
              <w:left w:val="nil"/>
              <w:bottom w:val="single" w:color="auto" w:sz="8" w:space="0"/>
              <w:right w:val="single" w:color="auto" w:sz="8" w:space="0"/>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900"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981" w:type="dxa"/>
            <w:vMerge w:val="restart"/>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1060" w:type="dxa"/>
            <w:tcBorders>
              <w:top w:val="nil"/>
              <w:left w:val="nil"/>
              <w:bottom w:val="nil"/>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w:t>
            </w:r>
          </w:p>
        </w:tc>
      </w:tr>
      <w:tr>
        <w:tblPrEx>
          <w:tblLayout w:type="fixed"/>
          <w:tblCellMar>
            <w:top w:w="0" w:type="dxa"/>
            <w:left w:w="108" w:type="dxa"/>
            <w:bottom w:w="0" w:type="dxa"/>
            <w:right w:w="108" w:type="dxa"/>
          </w:tblCellMar>
        </w:tblPrEx>
        <w:trPr>
          <w:trHeight w:val="27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2120" w:type="dxa"/>
            <w:gridSpan w:val="2"/>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tcBorders>
              <w:top w:val="nil"/>
              <w:left w:val="nil"/>
              <w:bottom w:val="nil"/>
              <w:right w:val="single" w:color="auto" w:sz="8"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指标值</w:t>
            </w:r>
          </w:p>
        </w:tc>
        <w:tc>
          <w:tcPr>
            <w:tcW w:w="1299"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981"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tcBorders>
              <w:top w:val="nil"/>
              <w:left w:val="nil"/>
              <w:bottom w:val="nil"/>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分析及</w:t>
            </w:r>
          </w:p>
        </w:tc>
      </w:tr>
      <w:tr>
        <w:tblPrEx>
          <w:tblLayout w:type="fixed"/>
          <w:tblCellMar>
            <w:top w:w="0" w:type="dxa"/>
            <w:left w:w="108" w:type="dxa"/>
            <w:bottom w:w="0" w:type="dxa"/>
            <w:right w:w="108" w:type="dxa"/>
          </w:tblCellMar>
        </w:tblPrEx>
        <w:trPr>
          <w:trHeight w:val="285"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2120" w:type="dxa"/>
            <w:gridSpan w:val="2"/>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299"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981" w:type="dxa"/>
            <w:vMerge w:val="continue"/>
            <w:tcBorders>
              <w:top w:val="nil"/>
              <w:left w:val="nil"/>
              <w:bottom w:val="single" w:color="auto"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改进措施</w:t>
            </w:r>
          </w:p>
        </w:tc>
      </w:tr>
      <w:tr>
        <w:tblPrEx>
          <w:tblLayout w:type="fixed"/>
          <w:tblCellMar>
            <w:top w:w="0" w:type="dxa"/>
            <w:left w:w="108" w:type="dxa"/>
            <w:bottom w:w="0" w:type="dxa"/>
            <w:right w:w="108" w:type="dxa"/>
          </w:tblCellMar>
        </w:tblPrEx>
        <w:trPr>
          <w:trHeight w:val="90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restart"/>
            <w:tcBorders>
              <w:top w:val="nil"/>
              <w:left w:val="single" w:color="auto" w:sz="8" w:space="0"/>
              <w:bottom w:val="single" w:color="000000" w:sz="8"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产出指标(50分)</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r>
              <w:rPr>
                <w:rFonts w:hint="eastAsia" w:ascii="仿宋_GB2312" w:hAnsi="宋体" w:eastAsia="仿宋_GB2312" w:cs="宋体"/>
                <w:color w:val="000000"/>
                <w:kern w:val="0"/>
                <w:szCs w:val="21"/>
                <w:lang w:eastAsia="zh-CN"/>
              </w:rPr>
              <w:t>两次培训</w:t>
            </w:r>
            <w:r>
              <w:rPr>
                <w:rFonts w:hint="eastAsia" w:ascii="仿宋_GB2312" w:hAnsi="宋体" w:eastAsia="仿宋_GB2312" w:cs="宋体"/>
                <w:color w:val="000000"/>
                <w:kern w:val="0"/>
                <w:szCs w:val="21"/>
              </w:rPr>
              <w:t xml:space="preserve">完成技术人员培训数量 </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lang w:eastAsia="zh-CN"/>
              </w:rPr>
              <w:t>一体化水肥</w:t>
            </w:r>
            <w:r>
              <w:rPr>
                <w:rFonts w:hint="eastAsia" w:ascii="仿宋_GB2312" w:hAnsi="宋体" w:eastAsia="仿宋_GB2312" w:cs="宋体"/>
                <w:color w:val="000000"/>
                <w:kern w:val="0"/>
                <w:sz w:val="18"/>
                <w:szCs w:val="18"/>
              </w:rPr>
              <w:t>机械化技术人员</w:t>
            </w:r>
            <w:r>
              <w:rPr>
                <w:rFonts w:hint="eastAsia" w:ascii="仿宋_GB2312" w:hAnsi="宋体" w:eastAsia="仿宋_GB2312" w:cs="宋体"/>
                <w:color w:val="000000"/>
                <w:kern w:val="0"/>
                <w:sz w:val="18"/>
                <w:szCs w:val="18"/>
                <w:lang w:val="en-US" w:eastAsia="zh-CN"/>
              </w:rPr>
              <w:t>200</w:t>
            </w:r>
            <w:r>
              <w:rPr>
                <w:rFonts w:hint="eastAsia" w:ascii="仿宋_GB2312" w:hAnsi="宋体" w:eastAsia="仿宋_GB2312" w:cs="宋体"/>
                <w:color w:val="000000"/>
                <w:kern w:val="0"/>
                <w:sz w:val="18"/>
                <w:szCs w:val="18"/>
              </w:rPr>
              <w:t>人</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7</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7</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7</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指标2：人员经费及公用经费</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129.05</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w:t>
            </w:r>
            <w:r>
              <w:rPr>
                <w:rFonts w:hint="eastAsia" w:ascii="仿宋_GB2312" w:hAnsi="宋体" w:eastAsia="仿宋_GB2312" w:cs="宋体"/>
                <w:color w:val="000000"/>
                <w:kern w:val="0"/>
                <w:szCs w:val="21"/>
                <w:lang w:val="en-US" w:eastAsia="zh-CN"/>
              </w:rPr>
              <w:t>6</w:t>
            </w:r>
            <w:r>
              <w:rPr>
                <w:rFonts w:hint="eastAsia" w:ascii="仿宋_GB2312" w:hAnsi="宋体" w:eastAsia="仿宋_GB2312" w:cs="宋体"/>
                <w:color w:val="000000"/>
                <w:kern w:val="0"/>
                <w:szCs w:val="21"/>
              </w:rPr>
              <w:t>.0</w:t>
            </w:r>
            <w:r>
              <w:rPr>
                <w:rFonts w:hint="eastAsia" w:ascii="仿宋_GB2312" w:hAnsi="宋体" w:eastAsia="仿宋_GB2312" w:cs="宋体"/>
                <w:color w:val="000000"/>
                <w:kern w:val="0"/>
                <w:szCs w:val="21"/>
                <w:lang w:val="en-US" w:eastAsia="zh-CN"/>
              </w:rPr>
              <w:t>1</w:t>
            </w:r>
            <w:r>
              <w:rPr>
                <w:rFonts w:hint="eastAsia" w:ascii="仿宋_GB2312" w:hAnsi="宋体" w:eastAsia="仿宋_GB2312" w:cs="宋体"/>
                <w:color w:val="000000"/>
                <w:kern w:val="0"/>
                <w:szCs w:val="21"/>
              </w:rPr>
              <w:t>%</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4</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78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指标1：技术人员达到合格标准</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机械化技术人员达到合格标准</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7</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7</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7</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指标2：如期完成预算指标90%</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119.56</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81.97%</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4</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r>
              <w:rPr>
                <w:rFonts w:hint="eastAsia" w:ascii="仿宋_GB2312" w:hAnsi="宋体" w:eastAsia="仿宋_GB2312" w:cs="宋体"/>
                <w:color w:val="000000"/>
                <w:kern w:val="0"/>
                <w:szCs w:val="21"/>
                <w:lang w:val="en-US" w:eastAsia="zh-CN"/>
              </w:rPr>
              <w:t>年初预算人员经费绩效工资年中追加</w:t>
            </w:r>
          </w:p>
        </w:tc>
      </w:tr>
      <w:tr>
        <w:tblPrEx>
          <w:tblLayout w:type="fixed"/>
          <w:tblCellMar>
            <w:top w:w="0" w:type="dxa"/>
            <w:left w:w="108" w:type="dxa"/>
            <w:bottom w:w="0" w:type="dxa"/>
            <w:right w:w="108" w:type="dxa"/>
          </w:tblCellMar>
        </w:tblPrEx>
        <w:trPr>
          <w:trHeight w:val="107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r>
              <w:rPr>
                <w:rFonts w:hint="eastAsia" w:ascii="仿宋_GB2312" w:hAnsi="宋体" w:eastAsia="仿宋_GB2312" w:cs="宋体"/>
                <w:color w:val="000000"/>
                <w:kern w:val="0"/>
                <w:sz w:val="20"/>
                <w:szCs w:val="20"/>
              </w:rPr>
              <w:t>经作果林生产机械化培训完成时间</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202</w:t>
            </w:r>
            <w:r>
              <w:rPr>
                <w:rFonts w:hint="eastAsia" w:ascii="仿宋_GB2312" w:hAnsi="宋体" w:eastAsia="仿宋_GB2312" w:cs="宋体"/>
                <w:color w:val="000000"/>
                <w:kern w:val="0"/>
                <w:sz w:val="18"/>
                <w:szCs w:val="18"/>
                <w:lang w:val="en-US" w:eastAsia="zh-CN"/>
              </w:rPr>
              <w:t>3</w:t>
            </w:r>
            <w:r>
              <w:rPr>
                <w:rFonts w:hint="eastAsia" w:ascii="仿宋_GB2312" w:hAnsi="宋体" w:eastAsia="仿宋_GB2312" w:cs="宋体"/>
                <w:color w:val="000000"/>
                <w:kern w:val="0"/>
                <w:sz w:val="18"/>
                <w:szCs w:val="18"/>
              </w:rPr>
              <w:t>年12月前完成</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指标2：按预算要求进行合理安排</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rPr>
              <w:t>　</w:t>
            </w:r>
            <w:r>
              <w:rPr>
                <w:rFonts w:hint="eastAsia" w:ascii="仿宋_GB2312" w:hAnsi="宋体" w:eastAsia="仿宋_GB2312" w:cs="宋体"/>
                <w:color w:val="000000"/>
                <w:kern w:val="0"/>
                <w:sz w:val="18"/>
                <w:szCs w:val="18"/>
                <w:lang w:val="en-US" w:eastAsia="zh-CN"/>
              </w:rPr>
              <w:t>119.56</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81.97%</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4</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942"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指标1：控制本次培训经费</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培训经费预计成本10万元</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8" w:space="0"/>
              <w:bottom w:val="single" w:color="000000" w:sz="8"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指标2：控制好各项支出预算</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r>
              <w:rPr>
                <w:rFonts w:hint="eastAsia" w:ascii="仿宋_GB2312" w:hAnsi="宋体" w:eastAsia="仿宋_GB2312" w:cs="宋体"/>
                <w:color w:val="000000"/>
                <w:kern w:val="0"/>
                <w:sz w:val="18"/>
                <w:szCs w:val="18"/>
                <w:lang w:val="en-US" w:eastAsia="zh-CN"/>
              </w:rPr>
              <w:t>119.56</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81.97%</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6</w:t>
            </w:r>
            <w:r>
              <w:rPr>
                <w:rFonts w:hint="eastAsia" w:ascii="仿宋_GB2312" w:hAnsi="宋体" w:eastAsia="仿宋_GB2312" w:cs="宋体"/>
                <w:color w:val="000000"/>
                <w:kern w:val="0"/>
                <w:szCs w:val="21"/>
              </w:rPr>
              <w:t>　</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4</w:t>
            </w:r>
            <w:r>
              <w:rPr>
                <w:rFonts w:hint="eastAsia" w:ascii="仿宋_GB2312" w:hAnsi="宋体" w:eastAsia="仿宋_GB2312" w:cs="宋体"/>
                <w:color w:val="000000"/>
                <w:kern w:val="0"/>
                <w:szCs w:val="21"/>
              </w:rPr>
              <w:t>　</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96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restart"/>
            <w:tcBorders>
              <w:top w:val="nil"/>
              <w:left w:val="nil"/>
              <w:bottom w:val="single" w:color="000000" w:sz="8"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效益指标（30分）</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经济效</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益指标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指标1：提升</w:t>
            </w:r>
            <w:r>
              <w:rPr>
                <w:rFonts w:hint="eastAsia" w:ascii="仿宋_GB2312" w:hAnsi="宋体" w:eastAsia="仿宋_GB2312" w:cs="宋体"/>
                <w:color w:val="000000"/>
                <w:kern w:val="0"/>
                <w:sz w:val="18"/>
                <w:szCs w:val="18"/>
              </w:rPr>
              <w:t>丘陵山区机械化水平</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提升丘陵山区</w:t>
            </w:r>
            <w:r>
              <w:rPr>
                <w:rFonts w:hint="eastAsia" w:ascii="仿宋_GB2312" w:hAnsi="宋体" w:eastAsia="仿宋_GB2312" w:cs="宋体"/>
                <w:color w:val="000000"/>
                <w:kern w:val="0"/>
                <w:sz w:val="18"/>
                <w:szCs w:val="18"/>
                <w:lang w:eastAsia="zh-CN"/>
              </w:rPr>
              <w:t>水肥一体化操</w:t>
            </w:r>
            <w:bookmarkStart w:id="2" w:name="_GoBack"/>
            <w:bookmarkEnd w:id="2"/>
            <w:r>
              <w:rPr>
                <w:rFonts w:hint="eastAsia" w:ascii="仿宋_GB2312" w:hAnsi="宋体" w:eastAsia="仿宋_GB2312" w:cs="宋体"/>
                <w:color w:val="000000"/>
                <w:kern w:val="0"/>
                <w:sz w:val="18"/>
                <w:szCs w:val="18"/>
                <w:lang w:eastAsia="zh-CN"/>
              </w:rPr>
              <w:t>作</w:t>
            </w:r>
            <w:r>
              <w:rPr>
                <w:rFonts w:hint="eastAsia" w:ascii="仿宋_GB2312" w:hAnsi="宋体" w:eastAsia="仿宋_GB2312" w:cs="宋体"/>
                <w:color w:val="000000"/>
                <w:kern w:val="0"/>
                <w:sz w:val="18"/>
                <w:szCs w:val="18"/>
              </w:rPr>
              <w:t>水平</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6</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000000" w:sz="8" w:space="0"/>
              <w:right w:val="nil"/>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指标2：按时完成单位预算指标</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w:t>
            </w:r>
            <w:r>
              <w:rPr>
                <w:rFonts w:hint="eastAsia" w:ascii="仿宋_GB2312" w:hAnsi="宋体" w:eastAsia="仿宋_GB2312" w:cs="宋体"/>
                <w:color w:val="000000"/>
                <w:kern w:val="0"/>
                <w:sz w:val="18"/>
                <w:szCs w:val="18"/>
                <w:lang w:val="en-US" w:eastAsia="zh-CN"/>
              </w:rPr>
              <w:t>119.56</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lang w:val="en-US" w:eastAsia="zh-CN"/>
              </w:rPr>
              <w:t>81.97%</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4</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1422"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000000" w:sz="8" w:space="0"/>
              <w:right w:val="nil"/>
            </w:tcBorders>
            <w:vAlign w:val="center"/>
          </w:tcPr>
          <w:p>
            <w:pPr>
              <w:widowControl/>
              <w:jc w:val="left"/>
              <w:rPr>
                <w:rFonts w:ascii="仿宋_GB2312" w:hAnsi="宋体" w:eastAsia="仿宋_GB2312" w:cs="宋体"/>
                <w:color w:val="000000"/>
                <w:kern w:val="0"/>
                <w:szCs w:val="21"/>
              </w:rPr>
            </w:pPr>
          </w:p>
        </w:tc>
        <w:tc>
          <w:tcPr>
            <w:tcW w:w="10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社会效社会效</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益指标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指标1：节约成本，增加数量 </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提高技术人员操作水平，促进节本增数</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6</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108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000000" w:sz="8" w:space="0"/>
              <w:right w:val="nil"/>
            </w:tcBorders>
            <w:vAlign w:val="center"/>
          </w:tcPr>
          <w:p>
            <w:pPr>
              <w:widowControl/>
              <w:jc w:val="left"/>
              <w:rPr>
                <w:rFonts w:ascii="仿宋_GB2312" w:hAnsi="宋体" w:eastAsia="仿宋_GB2312" w:cs="宋体"/>
                <w:color w:val="000000"/>
                <w:kern w:val="0"/>
                <w:szCs w:val="21"/>
              </w:rPr>
            </w:pPr>
          </w:p>
        </w:tc>
        <w:tc>
          <w:tcPr>
            <w:tcW w:w="10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生态效益指标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指标1：提升林果业全程机械化</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通过示范带动，提升林果业种植机械化程度</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96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000000" w:sz="8" w:space="0"/>
              <w:right w:val="nil"/>
            </w:tcBorders>
            <w:vAlign w:val="center"/>
          </w:tcPr>
          <w:p>
            <w:pPr>
              <w:widowControl/>
              <w:jc w:val="left"/>
              <w:rPr>
                <w:rFonts w:ascii="仿宋_GB2312" w:hAnsi="宋体" w:eastAsia="仿宋_GB2312" w:cs="宋体"/>
                <w:color w:val="000000"/>
                <w:kern w:val="0"/>
                <w:szCs w:val="21"/>
              </w:rPr>
            </w:pPr>
          </w:p>
        </w:tc>
        <w:tc>
          <w:tcPr>
            <w:tcW w:w="10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可持续影响指标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指标1：带动周边市县实现生产机械化</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带动周边市县</w:t>
            </w:r>
            <w:r>
              <w:rPr>
                <w:rFonts w:hint="eastAsia" w:ascii="仿宋_GB2312" w:hAnsi="宋体" w:eastAsia="仿宋_GB2312" w:cs="宋体"/>
                <w:color w:val="000000"/>
                <w:kern w:val="0"/>
                <w:sz w:val="18"/>
                <w:szCs w:val="18"/>
                <w:lang w:eastAsia="zh-CN"/>
              </w:rPr>
              <w:t>水肥一体化</w:t>
            </w:r>
            <w:r>
              <w:rPr>
                <w:rFonts w:hint="eastAsia" w:ascii="仿宋_GB2312" w:hAnsi="宋体" w:eastAsia="仿宋_GB2312" w:cs="宋体"/>
                <w:color w:val="000000"/>
                <w:kern w:val="0"/>
                <w:sz w:val="18"/>
                <w:szCs w:val="18"/>
              </w:rPr>
              <w:t>机械化</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6</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p>
        </w:tc>
      </w:tr>
      <w:tr>
        <w:tblPrEx>
          <w:tblLayout w:type="fixed"/>
          <w:tblCellMar>
            <w:top w:w="0" w:type="dxa"/>
            <w:left w:w="108" w:type="dxa"/>
            <w:bottom w:w="0" w:type="dxa"/>
            <w:right w:w="108" w:type="dxa"/>
          </w:tblCellMar>
        </w:tblPrEx>
        <w:trPr>
          <w:trHeight w:val="960"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restart"/>
            <w:tcBorders>
              <w:top w:val="nil"/>
              <w:left w:val="nil"/>
              <w:bottom w:val="single" w:color="000000" w:sz="8" w:space="0"/>
              <w:right w:val="nil"/>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满意度指标（10分）</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服务对象满意度指标</w:t>
            </w: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指标1：培训对象满意度（90%）</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培训对象满意度达到90%以上</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5</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5</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5</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925" w:type="dxa"/>
            <w:vMerge w:val="continue"/>
            <w:tcBorders>
              <w:top w:val="nil"/>
              <w:left w:val="single" w:color="auto" w:sz="8" w:space="0"/>
              <w:bottom w:val="single" w:color="000000" w:sz="8" w:space="0"/>
              <w:right w:val="single" w:color="auto" w:sz="8" w:space="0"/>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nil"/>
              <w:bottom w:val="single" w:color="000000" w:sz="8" w:space="0"/>
              <w:right w:val="nil"/>
            </w:tcBorders>
            <w:vAlign w:val="center"/>
          </w:tcPr>
          <w:p>
            <w:pPr>
              <w:widowControl/>
              <w:jc w:val="left"/>
              <w:rPr>
                <w:rFonts w:ascii="仿宋_GB2312" w:hAnsi="宋体" w:eastAsia="仿宋_GB2312" w:cs="宋体"/>
                <w:color w:val="000000"/>
                <w:kern w:val="0"/>
                <w:szCs w:val="21"/>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20" w:type="dxa"/>
            <w:gridSpan w:val="2"/>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指标2：对示范园整体工作满意度（90%）</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90%以上</w:t>
            </w:r>
          </w:p>
        </w:tc>
        <w:tc>
          <w:tcPr>
            <w:tcW w:w="1299" w:type="dxa"/>
            <w:tcBorders>
              <w:top w:val="nil"/>
              <w:left w:val="nil"/>
              <w:bottom w:val="single" w:color="auto" w:sz="8" w:space="0"/>
              <w:right w:val="single" w:color="auto"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95%</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5</w:t>
            </w:r>
          </w:p>
        </w:tc>
        <w:tc>
          <w:tcPr>
            <w:tcW w:w="981" w:type="dxa"/>
            <w:tcBorders>
              <w:top w:val="nil"/>
              <w:left w:val="nil"/>
              <w:bottom w:val="single" w:color="auto" w:sz="8" w:space="0"/>
              <w:right w:val="single" w:color="auto" w:sz="8" w:space="0"/>
            </w:tcBorders>
            <w:shd w:val="clear" w:color="auto" w:fill="auto"/>
            <w:vAlign w:val="center"/>
          </w:tcPr>
          <w:p>
            <w:pPr>
              <w:widowControl/>
              <w:jc w:val="left"/>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　</w:t>
            </w:r>
            <w:r>
              <w:rPr>
                <w:rFonts w:hint="eastAsia" w:ascii="仿宋_GB2312" w:hAnsi="宋体" w:eastAsia="仿宋_GB2312" w:cs="宋体"/>
                <w:color w:val="000000"/>
                <w:kern w:val="0"/>
                <w:szCs w:val="21"/>
                <w:lang w:val="en-US" w:eastAsia="zh-CN"/>
              </w:rPr>
              <w:t>5</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r>
        <w:tblPrEx>
          <w:tblLayout w:type="fixed"/>
          <w:tblCellMar>
            <w:top w:w="0" w:type="dxa"/>
            <w:left w:w="108" w:type="dxa"/>
            <w:bottom w:w="0" w:type="dxa"/>
            <w:right w:w="108" w:type="dxa"/>
          </w:tblCellMar>
        </w:tblPrEx>
        <w:trPr>
          <w:trHeight w:val="319" w:hRule="atLeast"/>
        </w:trPr>
        <w:tc>
          <w:tcPr>
            <w:tcW w:w="7524" w:type="dxa"/>
            <w:gridSpan w:val="7"/>
            <w:tcBorders>
              <w:top w:val="nil"/>
              <w:left w:val="single" w:color="auto" w:sz="8" w:space="0"/>
              <w:bottom w:val="single" w:color="auto" w:sz="8" w:space="0"/>
              <w:right w:val="single" w:color="000000" w:sz="8"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900"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90</w:t>
            </w:r>
          </w:p>
        </w:tc>
        <w:tc>
          <w:tcPr>
            <w:tcW w:w="981" w:type="dxa"/>
            <w:tcBorders>
              <w:top w:val="nil"/>
              <w:left w:val="nil"/>
              <w:bottom w:val="single" w:color="auto" w:sz="8" w:space="0"/>
              <w:right w:val="single" w:color="auto" w:sz="8" w:space="0"/>
            </w:tcBorders>
            <w:shd w:val="clear" w:color="auto" w:fill="auto"/>
            <w:vAlign w:val="center"/>
          </w:tcPr>
          <w:p>
            <w:pPr>
              <w:widowControl/>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80</w:t>
            </w:r>
          </w:p>
        </w:tc>
        <w:tc>
          <w:tcPr>
            <w:tcW w:w="106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pPr>
        <w:spacing w:beforeLines="50" w:line="396" w:lineRule="auto"/>
        <w:ind w:right="11" w:firstLine="420" w:firstLineChars="200"/>
        <w:rPr>
          <w:rFonts w:hint="eastAsia" w:ascii="Times New Roman" w:hAnsi="Times New Roman" w:eastAsia="仿宋_GB2312" w:cs="黑体"/>
          <w:color w:val="000000"/>
          <w:kern w:val="0"/>
          <w:sz w:val="32"/>
          <w:szCs w:val="32"/>
          <w:highlight w:val="red"/>
          <w:lang w:val="en-US" w:eastAsia="zh-CN" w:bidi="ar-SA"/>
        </w:rPr>
      </w:pPr>
      <w:r>
        <w:rPr>
          <w:rFonts w:hint="eastAsia" w:ascii="仿宋_GB2312" w:hAnsi="宋体" w:eastAsia="仿宋_GB2312" w:cs="宋体"/>
          <w:color w:val="000000"/>
          <w:kern w:val="0"/>
          <w:szCs w:val="21"/>
        </w:rPr>
        <w:t>填表人：        填报日期：          联系电话：            单位负责人签字：</w:t>
      </w:r>
    </w:p>
    <w:p>
      <w:pPr>
        <w:spacing w:beforeLines="50" w:line="396" w:lineRule="auto"/>
        <w:ind w:left="14" w:leftChars="7" w:right="11" w:firstLine="640" w:firstLineChars="200"/>
        <w:rPr>
          <w:rFonts w:hint="eastAsia" w:ascii="Times New Roman" w:hAnsi="Times New Roman" w:eastAsia="仿宋_GB2312" w:cs="黑体"/>
          <w:color w:val="000000"/>
          <w:kern w:val="0"/>
          <w:sz w:val="32"/>
          <w:szCs w:val="32"/>
          <w:highlight w:val="red"/>
          <w:lang w:val="en-US" w:eastAsia="zh-CN" w:bidi="ar-SA"/>
        </w:rPr>
      </w:pPr>
    </w:p>
    <w:p>
      <w:pPr>
        <w:spacing w:beforeLines="50" w:line="396" w:lineRule="auto"/>
        <w:ind w:left="14" w:leftChars="7" w:right="11" w:firstLine="640" w:firstLineChars="200"/>
        <w:rPr>
          <w:rFonts w:hint="eastAsia" w:ascii="Times New Roman" w:hAnsi="Times New Roman" w:eastAsia="仿宋_GB2312" w:cs="黑体"/>
          <w:color w:val="000000"/>
          <w:kern w:val="0"/>
          <w:sz w:val="32"/>
          <w:szCs w:val="32"/>
          <w:highlight w:val="red"/>
          <w:lang w:val="en-US" w:eastAsia="zh-CN" w:bidi="ar-SA"/>
        </w:rPr>
      </w:pPr>
    </w:p>
    <w:p>
      <w:pPr>
        <w:spacing w:beforeLines="50" w:line="396" w:lineRule="auto"/>
        <w:ind w:left="14" w:leftChars="7" w:right="11" w:firstLine="640" w:firstLineChars="200"/>
        <w:rPr>
          <w:rFonts w:hint="eastAsia" w:ascii="Times New Roman" w:hAnsi="Times New Roman" w:eastAsia="仿宋_GB2312" w:cs="黑体"/>
          <w:color w:val="000000"/>
          <w:kern w:val="0"/>
          <w:sz w:val="32"/>
          <w:szCs w:val="32"/>
          <w:highlight w:val="red"/>
          <w:lang w:val="en-US" w:eastAsia="zh-CN" w:bidi="ar-SA"/>
        </w:rPr>
      </w:pPr>
    </w:p>
    <w:p>
      <w:pPr>
        <w:spacing w:beforeLines="50" w:line="396" w:lineRule="auto"/>
        <w:ind w:left="14" w:leftChars="7" w:right="11" w:firstLine="640" w:firstLineChars="200"/>
        <w:rPr>
          <w:rFonts w:hint="eastAsia" w:ascii="Times New Roman" w:hAnsi="Times New Roman" w:eastAsia="仿宋_GB2312" w:cs="黑体"/>
          <w:color w:val="000000"/>
          <w:kern w:val="0"/>
          <w:sz w:val="32"/>
          <w:szCs w:val="32"/>
          <w:highlight w:val="red"/>
          <w:lang w:val="en-US" w:eastAsia="zh-CN" w:bidi="ar-SA"/>
        </w:rPr>
      </w:pPr>
    </w:p>
    <w:p>
      <w:pPr>
        <w:spacing w:beforeLines="50" w:line="396" w:lineRule="auto"/>
        <w:ind w:left="14" w:leftChars="7" w:right="11" w:firstLine="640" w:firstLineChars="200"/>
        <w:rPr>
          <w:rFonts w:hint="eastAsia" w:ascii="Times New Roman" w:hAnsi="Times New Roman" w:eastAsia="仿宋_GB2312" w:cs="黑体"/>
          <w:color w:val="000000"/>
          <w:kern w:val="0"/>
          <w:sz w:val="32"/>
          <w:szCs w:val="32"/>
          <w:highlight w:val="red"/>
          <w:lang w:val="en-US" w:eastAsia="zh-CN" w:bidi="ar-SA"/>
        </w:rPr>
      </w:pPr>
    </w:p>
    <w:p>
      <w:pPr>
        <w:spacing w:beforeLines="50" w:line="396" w:lineRule="auto"/>
        <w:ind w:left="14" w:leftChars="7" w:right="11" w:firstLine="640" w:firstLineChars="200"/>
        <w:rPr>
          <w:rFonts w:hint="eastAsia" w:ascii="Times New Roman" w:hAnsi="Times New Roman" w:eastAsia="仿宋_GB2312" w:cs="黑体"/>
          <w:color w:val="000000"/>
          <w:kern w:val="0"/>
          <w:sz w:val="32"/>
          <w:szCs w:val="32"/>
          <w:highlight w:val="red"/>
          <w:lang w:val="en-US" w:eastAsia="zh-CN" w:bidi="ar-SA"/>
        </w:rPr>
      </w:pPr>
    </w:p>
    <w:p>
      <w:pPr>
        <w:spacing w:beforeLines="50" w:line="396" w:lineRule="auto"/>
        <w:ind w:right="11"/>
        <w:rPr>
          <w:rFonts w:hint="eastAsia" w:ascii="Times New Roman" w:hAnsi="Times New Roman" w:eastAsia="仿宋_GB2312" w:cs="黑体"/>
          <w:color w:val="000000"/>
          <w:kern w:val="0"/>
          <w:sz w:val="32"/>
          <w:szCs w:val="32"/>
          <w:highlight w:val="red"/>
          <w:lang w:val="en-US" w:eastAsia="zh-CN" w:bidi="ar-SA"/>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6CA015"/>
    <w:multiLevelType w:val="singleLevel"/>
    <w:tmpl w:val="856CA015"/>
    <w:lvl w:ilvl="0" w:tentative="0">
      <w:start w:val="2"/>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OGJlZDQxNDRmNDRiMjE0YmE3M2NiMjQyNjExZjIifQ=="/>
  </w:docVars>
  <w:rsids>
    <w:rsidRoot w:val="004506F9"/>
    <w:rsid w:val="0002229B"/>
    <w:rsid w:val="000225EA"/>
    <w:rsid w:val="00022AC6"/>
    <w:rsid w:val="0002638F"/>
    <w:rsid w:val="000273BD"/>
    <w:rsid w:val="00040CBC"/>
    <w:rsid w:val="000415B7"/>
    <w:rsid w:val="00041E3F"/>
    <w:rsid w:val="000454AC"/>
    <w:rsid w:val="00055DAA"/>
    <w:rsid w:val="00057635"/>
    <w:rsid w:val="00061F7B"/>
    <w:rsid w:val="000658A3"/>
    <w:rsid w:val="00074155"/>
    <w:rsid w:val="000A3F69"/>
    <w:rsid w:val="000B4DEE"/>
    <w:rsid w:val="000C3423"/>
    <w:rsid w:val="00103957"/>
    <w:rsid w:val="001438FE"/>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060BF"/>
    <w:rsid w:val="003130C4"/>
    <w:rsid w:val="00316C4B"/>
    <w:rsid w:val="0032192B"/>
    <w:rsid w:val="003479BD"/>
    <w:rsid w:val="0037197D"/>
    <w:rsid w:val="003768D5"/>
    <w:rsid w:val="003926B9"/>
    <w:rsid w:val="003C2CB0"/>
    <w:rsid w:val="003C47E6"/>
    <w:rsid w:val="003C4FC2"/>
    <w:rsid w:val="00416E61"/>
    <w:rsid w:val="0042790C"/>
    <w:rsid w:val="004506F9"/>
    <w:rsid w:val="004717A2"/>
    <w:rsid w:val="00473DF3"/>
    <w:rsid w:val="00487911"/>
    <w:rsid w:val="00491741"/>
    <w:rsid w:val="004B0CEE"/>
    <w:rsid w:val="004B138E"/>
    <w:rsid w:val="00500E5F"/>
    <w:rsid w:val="005122EF"/>
    <w:rsid w:val="0051441A"/>
    <w:rsid w:val="00517C33"/>
    <w:rsid w:val="00517D5F"/>
    <w:rsid w:val="00523644"/>
    <w:rsid w:val="0054069E"/>
    <w:rsid w:val="00544866"/>
    <w:rsid w:val="00544A6F"/>
    <w:rsid w:val="005767CC"/>
    <w:rsid w:val="00590D9F"/>
    <w:rsid w:val="00595D26"/>
    <w:rsid w:val="005A74E6"/>
    <w:rsid w:val="005B404E"/>
    <w:rsid w:val="005D4D55"/>
    <w:rsid w:val="005E2CFB"/>
    <w:rsid w:val="005F2103"/>
    <w:rsid w:val="005F3D1C"/>
    <w:rsid w:val="0062378F"/>
    <w:rsid w:val="00641842"/>
    <w:rsid w:val="00651EEC"/>
    <w:rsid w:val="00681E75"/>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37077"/>
    <w:rsid w:val="00755203"/>
    <w:rsid w:val="00787B42"/>
    <w:rsid w:val="00792D4C"/>
    <w:rsid w:val="007A0D20"/>
    <w:rsid w:val="007C4539"/>
    <w:rsid w:val="007F3657"/>
    <w:rsid w:val="00812ED5"/>
    <w:rsid w:val="00826C71"/>
    <w:rsid w:val="008277D9"/>
    <w:rsid w:val="0084478C"/>
    <w:rsid w:val="0086638C"/>
    <w:rsid w:val="008A3E8D"/>
    <w:rsid w:val="00905BF5"/>
    <w:rsid w:val="009237C4"/>
    <w:rsid w:val="00944C48"/>
    <w:rsid w:val="00950252"/>
    <w:rsid w:val="00967F5D"/>
    <w:rsid w:val="00983A20"/>
    <w:rsid w:val="009A0F95"/>
    <w:rsid w:val="009B3ADF"/>
    <w:rsid w:val="009C3B52"/>
    <w:rsid w:val="009E6817"/>
    <w:rsid w:val="009E6E9A"/>
    <w:rsid w:val="00A01D2B"/>
    <w:rsid w:val="00A07E7B"/>
    <w:rsid w:val="00A113B8"/>
    <w:rsid w:val="00A15641"/>
    <w:rsid w:val="00A42218"/>
    <w:rsid w:val="00A70249"/>
    <w:rsid w:val="00A70B02"/>
    <w:rsid w:val="00A71D9F"/>
    <w:rsid w:val="00A85EBE"/>
    <w:rsid w:val="00A92E9F"/>
    <w:rsid w:val="00AB18FF"/>
    <w:rsid w:val="00AC1B33"/>
    <w:rsid w:val="00AE046E"/>
    <w:rsid w:val="00B33BEA"/>
    <w:rsid w:val="00B57C9F"/>
    <w:rsid w:val="00B63572"/>
    <w:rsid w:val="00B64DA5"/>
    <w:rsid w:val="00B845B3"/>
    <w:rsid w:val="00B85D8B"/>
    <w:rsid w:val="00BB3C5C"/>
    <w:rsid w:val="00BB4A40"/>
    <w:rsid w:val="00BD6C3E"/>
    <w:rsid w:val="00BE3674"/>
    <w:rsid w:val="00C10681"/>
    <w:rsid w:val="00C3049A"/>
    <w:rsid w:val="00C31B1E"/>
    <w:rsid w:val="00C77645"/>
    <w:rsid w:val="00CD5521"/>
    <w:rsid w:val="00CE04C3"/>
    <w:rsid w:val="00CE76A0"/>
    <w:rsid w:val="00D11742"/>
    <w:rsid w:val="00D148C6"/>
    <w:rsid w:val="00D17A8A"/>
    <w:rsid w:val="00D268BD"/>
    <w:rsid w:val="00D415BA"/>
    <w:rsid w:val="00D63780"/>
    <w:rsid w:val="00D644EE"/>
    <w:rsid w:val="00D97D02"/>
    <w:rsid w:val="00DD06FF"/>
    <w:rsid w:val="00DD5FE9"/>
    <w:rsid w:val="00DF2EFC"/>
    <w:rsid w:val="00E00C7A"/>
    <w:rsid w:val="00E37D6C"/>
    <w:rsid w:val="00E52379"/>
    <w:rsid w:val="00E55B68"/>
    <w:rsid w:val="00E561AE"/>
    <w:rsid w:val="00E67BE6"/>
    <w:rsid w:val="00E8683C"/>
    <w:rsid w:val="00EA2B72"/>
    <w:rsid w:val="00F60C87"/>
    <w:rsid w:val="00F74360"/>
    <w:rsid w:val="00FB462F"/>
    <w:rsid w:val="00FD62B2"/>
    <w:rsid w:val="00FE16FA"/>
    <w:rsid w:val="00FE328A"/>
    <w:rsid w:val="00FE6269"/>
    <w:rsid w:val="00FF5CD6"/>
    <w:rsid w:val="04B666C5"/>
    <w:rsid w:val="0F1B02FF"/>
    <w:rsid w:val="119A73AB"/>
    <w:rsid w:val="16D74D91"/>
    <w:rsid w:val="187F2B40"/>
    <w:rsid w:val="18B26813"/>
    <w:rsid w:val="1D97DEFF"/>
    <w:rsid w:val="1DFF72E5"/>
    <w:rsid w:val="1EFC6F07"/>
    <w:rsid w:val="262074BA"/>
    <w:rsid w:val="2FDF85B8"/>
    <w:rsid w:val="2FFFEE04"/>
    <w:rsid w:val="34DF85B0"/>
    <w:rsid w:val="34F16C78"/>
    <w:rsid w:val="367421A7"/>
    <w:rsid w:val="3B8F36BC"/>
    <w:rsid w:val="40D859AC"/>
    <w:rsid w:val="489B1C20"/>
    <w:rsid w:val="491FF225"/>
    <w:rsid w:val="4DFB0ADB"/>
    <w:rsid w:val="4E3A5796"/>
    <w:rsid w:val="4FFD214C"/>
    <w:rsid w:val="5777D4F5"/>
    <w:rsid w:val="59DD8326"/>
    <w:rsid w:val="5DEF592A"/>
    <w:rsid w:val="5FC6BB1E"/>
    <w:rsid w:val="5FF720F1"/>
    <w:rsid w:val="630518AD"/>
    <w:rsid w:val="66A76486"/>
    <w:rsid w:val="67FF5C0B"/>
    <w:rsid w:val="6C0029EB"/>
    <w:rsid w:val="6CFC1221"/>
    <w:rsid w:val="6EFC0924"/>
    <w:rsid w:val="6FB74722"/>
    <w:rsid w:val="6FEF8B7E"/>
    <w:rsid w:val="703725C7"/>
    <w:rsid w:val="71A6591B"/>
    <w:rsid w:val="7231514D"/>
    <w:rsid w:val="737D59BA"/>
    <w:rsid w:val="74AB556F"/>
    <w:rsid w:val="75FDED67"/>
    <w:rsid w:val="76B03549"/>
    <w:rsid w:val="77C37683"/>
    <w:rsid w:val="79FF515B"/>
    <w:rsid w:val="7BFDD8BE"/>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6BFDB45"/>
    <w:rsid w:val="F77F1D61"/>
    <w:rsid w:val="F7F79EC7"/>
    <w:rsid w:val="F7FED3A9"/>
    <w:rsid w:val="F8C9DB26"/>
    <w:rsid w:val="F97E8EAE"/>
    <w:rsid w:val="FB36E1A6"/>
    <w:rsid w:val="FB3BE134"/>
    <w:rsid w:val="FCFF4275"/>
    <w:rsid w:val="FD7FEEEA"/>
    <w:rsid w:val="FDBBC263"/>
    <w:rsid w:val="FDFFB577"/>
    <w:rsid w:val="FEEA50FE"/>
    <w:rsid w:val="FF7D47A9"/>
    <w:rsid w:val="FFBEF406"/>
    <w:rsid w:val="FFCF21CB"/>
    <w:rsid w:val="FFFF1C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outlineLvl w:val="1"/>
    </w:pPr>
    <w:rPr>
      <w:rFonts w:eastAsia="黑体"/>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paragraph" w:customStyle="1" w:styleId="19">
    <w:name w:val="无间隔1"/>
    <w:next w:val="1"/>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0">
    <w:name w:val="font71"/>
    <w:basedOn w:val="10"/>
    <w:qFormat/>
    <w:uiPriority w:val="0"/>
    <w:rPr>
      <w:rFonts w:hint="eastAsia" w:ascii="Times New Roman" w:eastAsia="楷体_GB2312" w:cs="楷体_GB2312"/>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10863</Words>
  <Characters>12719</Characters>
  <Lines>84</Lines>
  <Paragraphs>23</Paragraphs>
  <TotalTime>1</TotalTime>
  <ScaleCrop>false</ScaleCrop>
  <LinksUpToDate>false</LinksUpToDate>
  <CharactersWithSpaces>13697</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2024-08-29T00:44:00Z</dcterms:created>
  <dc:creator>李航 null</dc:creator>
  <cp:lastModifiedBy>lenovo</cp:lastModifiedBy>
  <cp:lastPrinted>2024-08-09T02:20:00Z</cp:lastPrinted>
  <dcterms:modified xsi:type="dcterms:W3CDTF">2024-09-06T07:04:42Z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91810DF5592144C8A06D5DC8B1044C99_13</vt:lpwstr>
  </property>
</Properties>
</file>