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color w:val="auto"/>
          <w:sz w:val="56"/>
          <w:szCs w:val="56"/>
        </w:rPr>
      </w:pPr>
    </w:p>
    <w:p>
      <w:pPr>
        <w:pStyle w:val="14"/>
        <w:jc w:val="center"/>
        <w:rPr>
          <w:color w:val="auto"/>
          <w:sz w:val="56"/>
          <w:szCs w:val="56"/>
        </w:rPr>
      </w:pPr>
    </w:p>
    <w:p>
      <w:pPr>
        <w:pStyle w:val="14"/>
        <w:jc w:val="center"/>
        <w:rPr>
          <w:color w:val="auto"/>
          <w:sz w:val="84"/>
          <w:szCs w:val="84"/>
        </w:rPr>
      </w:pPr>
    </w:p>
    <w:p>
      <w:pPr>
        <w:pStyle w:val="14"/>
        <w:jc w:val="center"/>
        <w:rPr>
          <w:color w:val="auto"/>
          <w:sz w:val="84"/>
          <w:szCs w:val="84"/>
        </w:rPr>
      </w:pPr>
    </w:p>
    <w:p>
      <w:pPr>
        <w:pStyle w:val="14"/>
        <w:jc w:val="center"/>
        <w:rPr>
          <w:rFonts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2023年度</w:t>
      </w:r>
    </w:p>
    <w:p>
      <w:pPr>
        <w:pStyle w:val="14"/>
        <w:jc w:val="center"/>
        <w:rPr>
          <w:rFonts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湖南省农业对外经济合作中心部门决算</w:t>
      </w:r>
    </w:p>
    <w:p>
      <w:pPr>
        <w:pStyle w:val="14"/>
        <w:jc w:val="center"/>
        <w:rPr>
          <w:rFonts w:ascii="方正小标宋_GBK" w:hAnsi="方正小标宋_GBK" w:eastAsia="方正小标宋_GBK" w:cs="方正小标宋_GBK"/>
          <w:color w:val="auto"/>
          <w:sz w:val="56"/>
          <w:szCs w:val="56"/>
        </w:rPr>
      </w:pPr>
    </w:p>
    <w:p>
      <w:pPr>
        <w:pStyle w:val="14"/>
        <w:jc w:val="center"/>
        <w:rPr>
          <w:color w:val="auto"/>
          <w:sz w:val="56"/>
          <w:szCs w:val="56"/>
        </w:rPr>
      </w:pPr>
    </w:p>
    <w:p>
      <w:pPr>
        <w:pStyle w:val="14"/>
        <w:jc w:val="center"/>
        <w:rPr>
          <w:color w:val="auto"/>
          <w:sz w:val="56"/>
          <w:szCs w:val="56"/>
        </w:rPr>
      </w:pPr>
    </w:p>
    <w:p>
      <w:pPr>
        <w:pStyle w:val="14"/>
        <w:jc w:val="center"/>
        <w:rPr>
          <w:color w:val="auto"/>
          <w:sz w:val="56"/>
          <w:szCs w:val="56"/>
        </w:rPr>
      </w:pPr>
    </w:p>
    <w:p>
      <w:pPr>
        <w:pStyle w:val="14"/>
        <w:jc w:val="center"/>
        <w:rPr>
          <w:color w:val="auto"/>
          <w:sz w:val="32"/>
          <w:szCs w:val="32"/>
        </w:rPr>
      </w:pPr>
    </w:p>
    <w:p>
      <w:pPr>
        <w:pStyle w:val="14"/>
        <w:jc w:val="center"/>
        <w:rPr>
          <w:color w:val="auto"/>
          <w:sz w:val="32"/>
          <w:szCs w:val="32"/>
        </w:rPr>
      </w:pPr>
    </w:p>
    <w:p>
      <w:pPr>
        <w:pStyle w:val="14"/>
        <w:jc w:val="center"/>
        <w:rPr>
          <w:color w:val="auto"/>
          <w:sz w:val="32"/>
          <w:szCs w:val="32"/>
        </w:rPr>
      </w:pPr>
    </w:p>
    <w:p>
      <w:pPr>
        <w:pStyle w:val="14"/>
        <w:spacing w:line="500" w:lineRule="exact"/>
        <w:jc w:val="center"/>
        <w:rPr>
          <w:b/>
          <w:color w:val="auto"/>
          <w:sz w:val="36"/>
          <w:szCs w:val="28"/>
        </w:rPr>
      </w:pPr>
      <w:r>
        <w:rPr>
          <w:rFonts w:hint="eastAsia"/>
          <w:b/>
          <w:color w:val="auto"/>
          <w:sz w:val="36"/>
          <w:szCs w:val="28"/>
        </w:rPr>
        <w:t>目录</w:t>
      </w:r>
    </w:p>
    <w:p>
      <w:pPr>
        <w:pStyle w:val="14"/>
        <w:spacing w:line="500" w:lineRule="exact"/>
        <w:rPr>
          <w:rFonts w:hAnsi="黑体"/>
          <w:bCs/>
          <w:color w:val="auto"/>
          <w:sz w:val="28"/>
          <w:szCs w:val="28"/>
        </w:rPr>
      </w:pPr>
      <w:r>
        <w:rPr>
          <w:rFonts w:hint="eastAsia" w:hAnsi="黑体"/>
          <w:bCs/>
          <w:color w:val="auto"/>
          <w:sz w:val="28"/>
          <w:szCs w:val="28"/>
        </w:rPr>
        <w:t>第一部分 湖南省农业对外经济合作中心概况</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一、部门职责</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二、机构设置</w:t>
      </w:r>
    </w:p>
    <w:p>
      <w:pPr>
        <w:pStyle w:val="14"/>
        <w:spacing w:line="500" w:lineRule="exact"/>
        <w:rPr>
          <w:rFonts w:hAnsi="黑体"/>
          <w:bCs/>
          <w:color w:val="auto"/>
          <w:sz w:val="28"/>
          <w:szCs w:val="28"/>
        </w:rPr>
      </w:pPr>
      <w:r>
        <w:rPr>
          <w:rFonts w:hint="eastAsia" w:hAnsi="黑体"/>
          <w:bCs/>
          <w:color w:val="auto"/>
          <w:sz w:val="28"/>
          <w:szCs w:val="28"/>
        </w:rPr>
        <w:t>第二部分 部门决算表</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一、收入支出决算总表</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二、收入决算表</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三、支出决算表</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四、财政拨款收入支出决算总表</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五、一般公共预算财政拨款支出决算表</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六、一般公共预算财政拨款基本支出决算明细表</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七、政府性基金预算财政拨款收入支出决算表</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八、国有资本经营预算财政拨款支出决算表</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九、财政拨款“三公”经费支出决算表</w:t>
      </w:r>
    </w:p>
    <w:p>
      <w:pPr>
        <w:pStyle w:val="14"/>
        <w:spacing w:line="500" w:lineRule="exact"/>
        <w:rPr>
          <w:rFonts w:hAnsi="黑体"/>
          <w:bCs/>
          <w:color w:val="auto"/>
          <w:sz w:val="28"/>
          <w:szCs w:val="28"/>
        </w:rPr>
      </w:pPr>
      <w:r>
        <w:rPr>
          <w:rFonts w:hint="eastAsia" w:hAnsi="黑体"/>
          <w:bCs/>
          <w:color w:val="auto"/>
          <w:sz w:val="28"/>
          <w:szCs w:val="28"/>
        </w:rPr>
        <w:t>第三部分 部门决算情况说明</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一、收入支出决算总体情况说明</w:t>
      </w:r>
    </w:p>
    <w:p>
      <w:pPr>
        <w:spacing w:line="500" w:lineRule="exact"/>
        <w:ind w:firstLine="700" w:firstLineChars="250"/>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二、收入决算情况说明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七、财政拨款三公经费支出决算情况说明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八、政府性基金预算收入支出决算情况</w:t>
      </w:r>
    </w:p>
    <w:p>
      <w:pPr>
        <w:autoSpaceDE w:val="0"/>
        <w:autoSpaceDN w:val="0"/>
        <w:adjustRightInd w:val="0"/>
        <w:spacing w:line="500" w:lineRule="exact"/>
        <w:ind w:firstLine="700" w:firstLineChars="25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九、关于机关运行经费支出说明</w:t>
      </w:r>
    </w:p>
    <w:p>
      <w:pPr>
        <w:autoSpaceDE w:val="0"/>
        <w:autoSpaceDN w:val="0"/>
        <w:adjustRightInd w:val="0"/>
        <w:spacing w:line="500" w:lineRule="exact"/>
        <w:ind w:firstLine="700" w:firstLineChars="25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十一、关于政府采购支出说明</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十二、关于国有资产占用情况说明</w:t>
      </w:r>
    </w:p>
    <w:p>
      <w:pPr>
        <w:pStyle w:val="14"/>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十三、关于</w:t>
      </w:r>
      <w:r>
        <w:rPr>
          <w:rFonts w:ascii="Times New Roman" w:hAnsi="Times New Roman" w:eastAsia="仿宋_GB2312" w:cs="Times New Roman"/>
          <w:color w:val="auto"/>
          <w:sz w:val="28"/>
          <w:szCs w:val="28"/>
        </w:rPr>
        <w:t>2023</w:t>
      </w:r>
      <w:r>
        <w:rPr>
          <w:rFonts w:hint="eastAsia" w:ascii="仿宋_GB2312" w:hAnsi="仿宋_GB2312" w:eastAsia="仿宋_GB2312" w:cs="仿宋_GB2312"/>
          <w:color w:val="auto"/>
          <w:sz w:val="28"/>
          <w:szCs w:val="28"/>
        </w:rPr>
        <w:t>年度预算绩效情况的说明</w:t>
      </w:r>
    </w:p>
    <w:p>
      <w:pPr>
        <w:pStyle w:val="14"/>
        <w:spacing w:line="500" w:lineRule="exact"/>
        <w:rPr>
          <w:rFonts w:hAnsi="黑体"/>
          <w:bCs/>
          <w:color w:val="auto"/>
          <w:sz w:val="28"/>
          <w:szCs w:val="28"/>
        </w:rPr>
      </w:pPr>
      <w:r>
        <w:rPr>
          <w:rFonts w:hint="eastAsia" w:hAnsi="黑体"/>
          <w:bCs/>
          <w:color w:val="auto"/>
          <w:sz w:val="28"/>
          <w:szCs w:val="28"/>
        </w:rPr>
        <w:t>第四部分 名词解释</w:t>
      </w:r>
    </w:p>
    <w:p>
      <w:pPr>
        <w:pStyle w:val="14"/>
        <w:spacing w:line="500" w:lineRule="exact"/>
        <w:rPr>
          <w:rFonts w:hAnsi="黑体"/>
          <w:bCs/>
          <w:color w:val="auto"/>
          <w:sz w:val="28"/>
          <w:szCs w:val="28"/>
        </w:rPr>
      </w:pPr>
      <w:r>
        <w:rPr>
          <w:rFonts w:hint="eastAsia" w:hAnsi="黑体"/>
          <w:bCs/>
          <w:color w:val="auto"/>
          <w:sz w:val="28"/>
          <w:szCs w:val="28"/>
        </w:rPr>
        <w:t>第五部分 附件</w:t>
      </w:r>
    </w:p>
    <w:p>
      <w:pPr>
        <w:pStyle w:val="14"/>
        <w:spacing w:line="500" w:lineRule="exact"/>
        <w:rPr>
          <w:rFonts w:hAnsi="黑体"/>
          <w:bCs/>
          <w:color w:val="auto"/>
          <w:sz w:val="28"/>
          <w:szCs w:val="28"/>
        </w:rPr>
      </w:pP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rPr>
          <w:rFonts w:ascii="方正小标宋_GBK" w:hAnsi="方正小标宋_GBK" w:eastAsia="方正小标宋_GBK" w:cs="方正小标宋_GBK"/>
          <w:color w:val="auto"/>
          <w:sz w:val="72"/>
          <w:szCs w:val="72"/>
        </w:rPr>
      </w:pPr>
    </w:p>
    <w:p>
      <w:pPr>
        <w:pStyle w:val="14"/>
        <w:jc w:val="center"/>
        <w:rPr>
          <w:rFonts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 xml:space="preserve">第一部分 </w:t>
      </w:r>
    </w:p>
    <w:p>
      <w:pPr>
        <w:pStyle w:val="14"/>
        <w:jc w:val="center"/>
        <w:rPr>
          <w:rFonts w:ascii="方正小标宋_GBK" w:hAnsi="方正小标宋_GBK" w:eastAsia="方正小标宋_GBK" w:cs="方正小标宋_GBK"/>
          <w:color w:val="auto"/>
          <w:sz w:val="84"/>
          <w:szCs w:val="84"/>
        </w:rPr>
      </w:pPr>
    </w:p>
    <w:p>
      <w:pPr>
        <w:pStyle w:val="14"/>
        <w:jc w:val="center"/>
        <w:rPr>
          <w:rFonts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湖南省农业对外经济合作中心概况</w:t>
      </w:r>
    </w:p>
    <w:p>
      <w:pPr>
        <w:jc w:val="center"/>
        <w:rPr>
          <w:rFonts w:ascii="方正小标宋_GBK" w:hAnsi="方正小标宋_GBK" w:eastAsia="方正小标宋_GBK" w:cs="方正小标宋_GBK"/>
          <w:color w:val="auto"/>
          <w:sz w:val="72"/>
          <w:szCs w:val="72"/>
        </w:rPr>
      </w:pPr>
    </w:p>
    <w:p>
      <w:pPr>
        <w:jc w:val="center"/>
        <w:rPr>
          <w:rFonts w:ascii="方正小标宋_GBK" w:hAnsi="方正小标宋_GBK" w:eastAsia="方正小标宋_GBK" w:cs="方正小标宋_GBK"/>
          <w:color w:val="auto"/>
          <w:sz w:val="72"/>
          <w:szCs w:val="72"/>
        </w:rPr>
      </w:pPr>
    </w:p>
    <w:p>
      <w:pPr>
        <w:jc w:val="center"/>
        <w:rPr>
          <w:color w:val="auto"/>
          <w:sz w:val="72"/>
          <w:szCs w:val="72"/>
        </w:rPr>
      </w:pPr>
    </w:p>
    <w:p>
      <w:pPr>
        <w:pStyle w:val="15"/>
        <w:numPr>
          <w:ilvl w:val="0"/>
          <w:numId w:val="1"/>
        </w:numPr>
        <w:ind w:firstLineChars="0"/>
        <w:jc w:val="left"/>
        <w:rPr>
          <w:rFonts w:ascii="黑体" w:hAnsi="黑体" w:eastAsia="黑体" w:cs="黑体"/>
          <w:color w:val="auto"/>
          <w:sz w:val="32"/>
          <w:szCs w:val="32"/>
        </w:rPr>
      </w:pPr>
      <w:r>
        <w:rPr>
          <w:rFonts w:hint="eastAsia" w:ascii="黑体" w:hAnsi="黑体" w:eastAsia="黑体" w:cs="黑体"/>
          <w:color w:val="auto"/>
          <w:sz w:val="32"/>
          <w:szCs w:val="32"/>
        </w:rPr>
        <w:t>部门职责</w:t>
      </w:r>
    </w:p>
    <w:p>
      <w:pPr>
        <w:ind w:firstLine="480" w:firstLineChars="150"/>
        <w:rPr>
          <w:rFonts w:eastAsia="仿宋_GB2312"/>
          <w:color w:val="auto"/>
          <w:sz w:val="32"/>
          <w:szCs w:val="32"/>
        </w:rPr>
      </w:pPr>
      <w:r>
        <w:rPr>
          <w:rFonts w:hint="eastAsia" w:eastAsia="仿宋_GB2312"/>
          <w:color w:val="auto"/>
          <w:sz w:val="32"/>
          <w:szCs w:val="32"/>
        </w:rPr>
        <w:t>（一）受委托负责管理农业利用外资项目和农业对外援助项目，承办项目的编制申报、前期论证考察、组织实施等工作。</w:t>
      </w:r>
    </w:p>
    <w:p>
      <w:pPr>
        <w:ind w:firstLine="480" w:firstLineChars="150"/>
        <w:rPr>
          <w:rFonts w:eastAsia="仿宋_GB2312"/>
          <w:color w:val="auto"/>
          <w:sz w:val="32"/>
          <w:szCs w:val="32"/>
        </w:rPr>
      </w:pPr>
      <w:r>
        <w:rPr>
          <w:rFonts w:hint="eastAsia" w:eastAsia="仿宋_GB2312"/>
          <w:color w:val="auto"/>
          <w:sz w:val="32"/>
          <w:szCs w:val="32"/>
        </w:rPr>
        <w:t>（二）承担农业对外经济交流合作服务。</w:t>
      </w:r>
    </w:p>
    <w:p>
      <w:pPr>
        <w:ind w:firstLine="480" w:firstLineChars="150"/>
        <w:rPr>
          <w:rFonts w:eastAsia="仿宋_GB2312"/>
          <w:color w:val="auto"/>
          <w:sz w:val="32"/>
          <w:szCs w:val="32"/>
        </w:rPr>
      </w:pPr>
      <w:r>
        <w:rPr>
          <w:rFonts w:hint="eastAsia" w:eastAsia="仿宋_GB2312"/>
          <w:color w:val="auto"/>
          <w:sz w:val="32"/>
          <w:szCs w:val="32"/>
        </w:rPr>
        <w:t>（三）承担农业援外专家的选派、培训和服务工作。</w:t>
      </w:r>
    </w:p>
    <w:p>
      <w:pPr>
        <w:ind w:firstLine="480" w:firstLineChars="150"/>
        <w:rPr>
          <w:rFonts w:eastAsia="仿宋_GB2312"/>
          <w:color w:val="auto"/>
          <w:sz w:val="32"/>
          <w:szCs w:val="32"/>
        </w:rPr>
      </w:pPr>
      <w:r>
        <w:rPr>
          <w:rFonts w:hint="eastAsia" w:eastAsia="仿宋_GB2312"/>
          <w:color w:val="auto"/>
          <w:sz w:val="32"/>
          <w:szCs w:val="32"/>
        </w:rPr>
        <w:t>（四）承担农业涉外培训的组织、协调和服务工作。</w:t>
      </w:r>
    </w:p>
    <w:p>
      <w:pPr>
        <w:ind w:firstLine="480" w:firstLineChars="150"/>
        <w:rPr>
          <w:rFonts w:eastAsia="仿宋_GB2312"/>
          <w:color w:val="auto"/>
          <w:sz w:val="32"/>
          <w:szCs w:val="32"/>
        </w:rPr>
      </w:pPr>
      <w:r>
        <w:rPr>
          <w:rFonts w:hint="eastAsia" w:eastAsia="仿宋_GB2312"/>
          <w:color w:val="auto"/>
          <w:sz w:val="32"/>
          <w:szCs w:val="32"/>
        </w:rPr>
        <w:t>（五）承担有关农业国际合作的信息咨询。</w:t>
      </w:r>
    </w:p>
    <w:p>
      <w:pPr>
        <w:ind w:firstLine="480" w:firstLineChars="150"/>
        <w:rPr>
          <w:rFonts w:eastAsia="仿宋_GB2312"/>
          <w:color w:val="auto"/>
          <w:sz w:val="32"/>
          <w:szCs w:val="32"/>
        </w:rPr>
      </w:pPr>
      <w:r>
        <w:rPr>
          <w:rFonts w:hint="eastAsia" w:eastAsia="仿宋_GB2312"/>
          <w:color w:val="auto"/>
          <w:sz w:val="32"/>
          <w:szCs w:val="32"/>
        </w:rPr>
        <w:t>（六）承担农产品贸易促进相关工作。</w:t>
      </w:r>
    </w:p>
    <w:p>
      <w:pPr>
        <w:ind w:firstLine="480" w:firstLineChars="150"/>
        <w:rPr>
          <w:rFonts w:eastAsia="仿宋_GB2312"/>
          <w:color w:val="auto"/>
          <w:sz w:val="32"/>
          <w:szCs w:val="32"/>
        </w:rPr>
      </w:pPr>
      <w:r>
        <w:rPr>
          <w:rFonts w:hint="eastAsia" w:eastAsia="仿宋_GB2312"/>
          <w:color w:val="auto"/>
          <w:sz w:val="32"/>
          <w:szCs w:val="32"/>
        </w:rPr>
        <w:t>（七）湖南省农业农村厅党组交办的其他工作。</w:t>
      </w:r>
    </w:p>
    <w:p>
      <w:pPr>
        <w:widowControl/>
        <w:spacing w:line="600" w:lineRule="exact"/>
        <w:ind w:firstLine="800" w:firstLineChars="250"/>
        <w:rPr>
          <w:rFonts w:ascii="黑体" w:hAnsi="黑体" w:eastAsia="黑体"/>
          <w:bCs/>
          <w:color w:val="auto"/>
          <w:kern w:val="0"/>
          <w:sz w:val="32"/>
          <w:szCs w:val="32"/>
        </w:rPr>
      </w:pPr>
      <w:r>
        <w:rPr>
          <w:rFonts w:hint="eastAsia" w:ascii="黑体" w:hAnsi="黑体" w:eastAsia="黑体"/>
          <w:bCs/>
          <w:color w:val="auto"/>
          <w:kern w:val="0"/>
          <w:sz w:val="32"/>
          <w:szCs w:val="32"/>
        </w:rPr>
        <w:t>二、机构设置及决算单位构成</w:t>
      </w:r>
    </w:p>
    <w:p>
      <w:pPr>
        <w:widowControl/>
        <w:spacing w:line="600" w:lineRule="exact"/>
        <w:ind w:firstLine="627" w:firstLineChars="196"/>
        <w:jc w:val="left"/>
        <w:rPr>
          <w:rFonts w:eastAsia="仿宋_GB2312"/>
          <w:color w:val="auto"/>
          <w:sz w:val="32"/>
          <w:szCs w:val="32"/>
        </w:rPr>
      </w:pPr>
      <w:r>
        <w:rPr>
          <w:rFonts w:hint="eastAsia" w:eastAsia="仿宋_GB2312"/>
          <w:color w:val="auto"/>
          <w:sz w:val="32"/>
          <w:szCs w:val="32"/>
        </w:rPr>
        <w:t>（一）内设机构设置。湖南省农业对外经济合作中心内设机构包括综合科、财务科、外资利用科、海外项目科、贸易促进科、交流服务科。</w:t>
      </w:r>
    </w:p>
    <w:p>
      <w:pPr>
        <w:widowControl/>
        <w:spacing w:line="600" w:lineRule="exact"/>
        <w:ind w:firstLine="640" w:firstLineChars="200"/>
        <w:rPr>
          <w:rFonts w:eastAsia="仿宋_GB2312"/>
          <w:color w:val="auto"/>
          <w:sz w:val="32"/>
          <w:szCs w:val="32"/>
        </w:rPr>
      </w:pPr>
      <w:r>
        <w:rPr>
          <w:rFonts w:hint="eastAsia" w:eastAsia="仿宋_GB2312"/>
          <w:color w:val="auto"/>
          <w:sz w:val="32"/>
          <w:szCs w:val="32"/>
        </w:rPr>
        <w:t>（二）决算单位构成。湖南省农业对外经济合作中心2023年决算单位构成：湖南省农业对外经济合作中心本级。</w:t>
      </w: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pStyle w:val="14"/>
        <w:jc w:val="center"/>
        <w:rPr>
          <w:rFonts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第二部分</w:t>
      </w:r>
    </w:p>
    <w:p>
      <w:pPr>
        <w:pStyle w:val="14"/>
        <w:jc w:val="center"/>
        <w:rPr>
          <w:rFonts w:ascii="方正小标宋_GBK" w:hAnsi="方正小标宋_GBK" w:eastAsia="方正小标宋_GBK" w:cs="方正小标宋_GBK"/>
          <w:color w:val="auto"/>
          <w:sz w:val="84"/>
          <w:szCs w:val="84"/>
        </w:rPr>
      </w:pPr>
    </w:p>
    <w:p>
      <w:pPr>
        <w:pStyle w:val="14"/>
        <w:jc w:val="center"/>
        <w:rPr>
          <w:rFonts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部门决算表</w:t>
      </w: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jc w:val="left"/>
        <w:rPr>
          <w:color w:val="auto"/>
          <w:sz w:val="32"/>
          <w:szCs w:val="32"/>
        </w:rPr>
      </w:pPr>
    </w:p>
    <w:p>
      <w:pPr>
        <w:jc w:val="left"/>
        <w:rPr>
          <w:rFonts w:asciiTheme="minorEastAsia" w:hAnsiTheme="minorEastAsia"/>
          <w:color w:val="auto"/>
          <w:sz w:val="32"/>
          <w:szCs w:val="32"/>
        </w:rPr>
        <w:sectPr>
          <w:pgSz w:w="11906" w:h="16838"/>
          <w:pgMar w:top="720" w:right="720" w:bottom="720" w:left="720" w:header="851" w:footer="992" w:gutter="0"/>
          <w:cols w:space="425" w:num="1"/>
          <w:docGrid w:type="lines" w:linePitch="312" w:charSpace="0"/>
        </w:sectPr>
      </w:pPr>
    </w:p>
    <w:tbl>
      <w:tblPr>
        <w:tblStyle w:val="10"/>
        <w:tblW w:w="13602" w:type="dxa"/>
        <w:tblInd w:w="597" w:type="dxa"/>
        <w:tblLayout w:type="fixed"/>
        <w:tblCellMar>
          <w:top w:w="0" w:type="dxa"/>
          <w:left w:w="0" w:type="dxa"/>
          <w:bottom w:w="0" w:type="dxa"/>
          <w:right w:w="0" w:type="dxa"/>
        </w:tblCellMar>
      </w:tblPr>
      <w:tblGrid>
        <w:gridCol w:w="4889"/>
        <w:gridCol w:w="591"/>
        <w:gridCol w:w="1157"/>
        <w:gridCol w:w="4630"/>
        <w:gridCol w:w="591"/>
        <w:gridCol w:w="1744"/>
      </w:tblGrid>
      <w:tr>
        <w:tblPrEx>
          <w:tblLayout w:type="fixed"/>
          <w:tblCellMar>
            <w:top w:w="0" w:type="dxa"/>
            <w:left w:w="0" w:type="dxa"/>
            <w:bottom w:w="0" w:type="dxa"/>
            <w:right w:w="0" w:type="dxa"/>
          </w:tblCellMar>
        </w:tblPrEx>
        <w:trPr>
          <w:trHeight w:val="660" w:hRule="atLeast"/>
        </w:trPr>
        <w:tc>
          <w:tcPr>
            <w:tcW w:w="13602" w:type="dxa"/>
            <w:gridSpan w:val="6"/>
            <w:tcBorders>
              <w:top w:val="nil"/>
              <w:left w:val="nil"/>
              <w:bottom w:val="nil"/>
              <w:right w:val="nil"/>
            </w:tcBorders>
            <w:shd w:val="clear" w:color="auto" w:fill="auto"/>
            <w:noWrap/>
            <w:tcMar>
              <w:top w:w="10" w:type="dxa"/>
              <w:left w:w="10" w:type="dxa"/>
              <w:right w:w="10" w:type="dxa"/>
            </w:tcMar>
            <w:vAlign w:val="center"/>
          </w:tcPr>
          <w:p>
            <w:pPr>
              <w:widowControl/>
              <w:jc w:val="center"/>
              <w:rPr>
                <w:rFonts w:ascii="宋体" w:hAnsi="宋体" w:eastAsia="宋体" w:cs="宋体"/>
                <w:b/>
                <w:color w:val="auto"/>
                <w:sz w:val="24"/>
                <w:szCs w:val="24"/>
              </w:rPr>
            </w:pPr>
            <w:r>
              <w:rPr>
                <w:rFonts w:ascii="Times New Roman" w:hAnsi="Times New Roman" w:eastAsia="黑体" w:cs="Times New Roman"/>
                <w:bCs/>
                <w:color w:val="auto"/>
                <w:kern w:val="0"/>
                <w:sz w:val="30"/>
                <w:szCs w:val="30"/>
              </w:rPr>
              <w:br w:type="page"/>
            </w:r>
            <w:r>
              <w:rPr>
                <w:rFonts w:hint="eastAsia" w:ascii="宋体" w:hAnsi="宋体" w:eastAsia="宋体" w:cs="宋体"/>
                <w:b/>
                <w:color w:val="auto"/>
                <w:kern w:val="0"/>
                <w:sz w:val="30"/>
                <w:szCs w:val="30"/>
              </w:rPr>
              <w:t>收入支出决算总表</w:t>
            </w:r>
          </w:p>
        </w:tc>
      </w:tr>
      <w:tr>
        <w:tblPrEx>
          <w:tblLayout w:type="fixed"/>
          <w:tblCellMar>
            <w:top w:w="0" w:type="dxa"/>
            <w:left w:w="0" w:type="dxa"/>
            <w:bottom w:w="0" w:type="dxa"/>
            <w:right w:w="0" w:type="dxa"/>
          </w:tblCellMar>
        </w:tblPrEx>
        <w:trPr>
          <w:trHeight w:val="280" w:hRule="atLeast"/>
        </w:trPr>
        <w:tc>
          <w:tcPr>
            <w:tcW w:w="4889"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591"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157"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4630"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591"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744"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公开01表</w:t>
            </w:r>
          </w:p>
        </w:tc>
      </w:tr>
      <w:tr>
        <w:tblPrEx>
          <w:tblLayout w:type="fixed"/>
          <w:tblCellMar>
            <w:top w:w="0" w:type="dxa"/>
            <w:left w:w="0" w:type="dxa"/>
            <w:bottom w:w="0" w:type="dxa"/>
            <w:right w:w="0" w:type="dxa"/>
          </w:tblCellMar>
        </w:tblPrEx>
        <w:trPr>
          <w:trHeight w:val="280" w:hRule="atLeast"/>
        </w:trPr>
        <w:tc>
          <w:tcPr>
            <w:tcW w:w="4889" w:type="dxa"/>
            <w:tcBorders>
              <w:top w:val="nil"/>
              <w:left w:val="nil"/>
              <w:bottom w:val="nil"/>
              <w:right w:val="nil"/>
            </w:tcBorders>
            <w:shd w:val="clear" w:color="auto" w:fill="auto"/>
            <w:noWrap/>
            <w:tcMar>
              <w:top w:w="10" w:type="dxa"/>
              <w:left w:w="10" w:type="dxa"/>
              <w:right w:w="10" w:type="dxa"/>
            </w:tcMar>
            <w:vAlign w:val="bottom"/>
          </w:tcPr>
          <w:p>
            <w:pPr>
              <w:widowControl/>
              <w:jc w:val="left"/>
              <w:textAlignment w:val="bottom"/>
              <w:rPr>
                <w:rFonts w:ascii="宋体" w:hAnsi="宋体" w:eastAsia="宋体" w:cs="宋体"/>
                <w:color w:val="auto"/>
                <w:sz w:val="22"/>
              </w:rPr>
            </w:pPr>
            <w:r>
              <w:rPr>
                <w:rFonts w:hint="eastAsia" w:ascii="宋体" w:hAnsi="宋体" w:eastAsia="宋体" w:cs="宋体"/>
                <w:color w:val="auto"/>
                <w:kern w:val="0"/>
                <w:sz w:val="22"/>
              </w:rPr>
              <w:t>部门：湖南省农业对外经济合作中心</w:t>
            </w:r>
          </w:p>
        </w:tc>
        <w:tc>
          <w:tcPr>
            <w:tcW w:w="591"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157"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4630"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591"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744"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单位：万元</w:t>
            </w:r>
          </w:p>
        </w:tc>
      </w:tr>
      <w:tr>
        <w:tblPrEx>
          <w:tblLayout w:type="fixed"/>
          <w:tblCellMar>
            <w:top w:w="0" w:type="dxa"/>
            <w:left w:w="0" w:type="dxa"/>
            <w:bottom w:w="0" w:type="dxa"/>
            <w:right w:w="0" w:type="dxa"/>
          </w:tblCellMar>
        </w:tblPrEx>
        <w:trPr>
          <w:trHeight w:val="300" w:hRule="atLeast"/>
        </w:trPr>
        <w:tc>
          <w:tcPr>
            <w:tcW w:w="663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收入</w:t>
            </w:r>
          </w:p>
        </w:tc>
        <w:tc>
          <w:tcPr>
            <w:tcW w:w="696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支出</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项目</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行次</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金额</w:t>
            </w: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项目</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行次</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金额</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栏次</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w:t>
            </w: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栏次</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一、一般公共预算财政拨款收入</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760.90</w:t>
            </w: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一、一般公共服务支出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32</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130.11</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二、政府性基金预算财政拨款收入</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二、外交支出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33</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三、国有资本经营预算财政拨款收入</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三、国防支出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34</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四、上级补助收入</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四、公共安全支出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35</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五、事业收入</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354.65</w:t>
            </w: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五、教育支出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36</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六、经营收入</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六、科学技术支出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37</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七、附属单位上缴收入</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7</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七、文化旅游体育与传媒支出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38</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八、其他收入</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8</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17.17</w:t>
            </w: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八、社会保障和就业支出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39</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9</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九、卫生健康支出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40</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10</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十、节能环保支出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41</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11</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十一、城乡社区支出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42</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12</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十二、农林水支出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43</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1,168.38</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13</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十三、交通运输支出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44</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14</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十四、资源勘探工业信息等支出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45</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15</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十五、商业服务业等支出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46</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16</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十六、金融支出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47</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17</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十七、援助其他地区支出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48</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18</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十八、自然资源海洋气象等支出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49</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19</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十九、住房保障支出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50</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20</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二十、粮油物资储备支出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51</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21</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二十一、国有资本经营预算支出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52</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22</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二十二、灾害防治及应急管理支出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53</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23</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二十三、其他支出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54</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b/>
                <w:color w:val="auto"/>
                <w:sz w:val="20"/>
                <w:szCs w:val="20"/>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24</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二十四、债务还本支出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55</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0"/>
                <w:szCs w:val="20"/>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25</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二十五、债务付息支出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56</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0"/>
                <w:szCs w:val="20"/>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26</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二十六、抗疫特别国债安排的支出</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57</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2"/>
              </w:rPr>
            </w:pPr>
            <w:r>
              <w:rPr>
                <w:rFonts w:hint="eastAsia" w:ascii="宋体" w:hAnsi="宋体" w:eastAsia="宋体" w:cs="宋体"/>
                <w:b/>
                <w:color w:val="auto"/>
                <w:kern w:val="0"/>
                <w:sz w:val="22"/>
              </w:rPr>
              <w:t>本年收入合计</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27</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1,132.72</w:t>
            </w: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2"/>
              </w:rPr>
            </w:pPr>
            <w:r>
              <w:rPr>
                <w:rFonts w:hint="eastAsia" w:ascii="宋体" w:hAnsi="宋体" w:eastAsia="宋体" w:cs="宋体"/>
                <w:b/>
                <w:color w:val="auto"/>
                <w:kern w:val="0"/>
                <w:sz w:val="22"/>
              </w:rPr>
              <w:t>本年支出合计</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58</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1,359.34</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使用非财政拨款结余和专用结余</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28</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0.42</w:t>
            </w: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结余分配</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59</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年初结转和结余</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29</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1,204.11</w:t>
            </w: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年末结转和结余</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60</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977.91</w:t>
            </w: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30</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61</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00" w:hRule="atLeast"/>
        </w:trPr>
        <w:tc>
          <w:tcPr>
            <w:tcW w:w="48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2"/>
              </w:rPr>
            </w:pPr>
            <w:r>
              <w:rPr>
                <w:rFonts w:hint="eastAsia" w:ascii="宋体" w:hAnsi="宋体" w:eastAsia="宋体" w:cs="宋体"/>
                <w:b/>
                <w:color w:val="auto"/>
                <w:kern w:val="0"/>
                <w:sz w:val="22"/>
              </w:rPr>
              <w:t>总计</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31</w:t>
            </w: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2,337.25</w:t>
            </w:r>
          </w:p>
        </w:tc>
        <w:tc>
          <w:tcPr>
            <w:tcW w:w="46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2"/>
              </w:rPr>
            </w:pPr>
            <w:r>
              <w:rPr>
                <w:rFonts w:hint="eastAsia" w:ascii="宋体" w:hAnsi="宋体" w:eastAsia="宋体" w:cs="宋体"/>
                <w:b/>
                <w:color w:val="auto"/>
                <w:kern w:val="0"/>
                <w:sz w:val="22"/>
              </w:rPr>
              <w:t>总计</w:t>
            </w:r>
          </w:p>
        </w:tc>
        <w:tc>
          <w:tcPr>
            <w:tcW w:w="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62</w:t>
            </w:r>
          </w:p>
        </w:tc>
        <w:tc>
          <w:tcPr>
            <w:tcW w:w="17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2,337.25</w:t>
            </w:r>
          </w:p>
        </w:tc>
      </w:tr>
      <w:tr>
        <w:tblPrEx>
          <w:tblLayout w:type="fixed"/>
          <w:tblCellMar>
            <w:top w:w="0" w:type="dxa"/>
            <w:left w:w="0" w:type="dxa"/>
            <w:bottom w:w="0" w:type="dxa"/>
            <w:right w:w="0" w:type="dxa"/>
          </w:tblCellMar>
        </w:tblPrEx>
        <w:trPr>
          <w:trHeight w:val="300" w:hRule="atLeast"/>
        </w:trPr>
        <w:tc>
          <w:tcPr>
            <w:tcW w:w="13602" w:type="dxa"/>
            <w:gridSpan w:val="6"/>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注：1.本表反映部门本年度的总收支和年末结转结余情况。</w:t>
            </w:r>
          </w:p>
        </w:tc>
      </w:tr>
      <w:tr>
        <w:tblPrEx>
          <w:tblLayout w:type="fixed"/>
          <w:tblCellMar>
            <w:top w:w="0" w:type="dxa"/>
            <w:left w:w="0" w:type="dxa"/>
            <w:bottom w:w="0" w:type="dxa"/>
            <w:right w:w="0" w:type="dxa"/>
          </w:tblCellMar>
        </w:tblPrEx>
        <w:trPr>
          <w:trHeight w:val="300" w:hRule="atLeast"/>
        </w:trPr>
        <w:tc>
          <w:tcPr>
            <w:tcW w:w="13602" w:type="dxa"/>
            <w:gridSpan w:val="6"/>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 xml:space="preserve">    2.本套报表金额单位转换时可能存在尾数误差。</w:t>
            </w:r>
          </w:p>
        </w:tc>
      </w:tr>
    </w:tbl>
    <w:p>
      <w:pPr>
        <w:widowControl/>
        <w:jc w:val="left"/>
        <w:rPr>
          <w:rFonts w:ascii="Times New Roman" w:hAnsi="Times New Roman" w:eastAsia="黑体" w:cs="Times New Roman"/>
          <w:bCs/>
          <w:color w:val="auto"/>
          <w:kern w:val="0"/>
          <w:sz w:val="32"/>
          <w:szCs w:val="32"/>
        </w:rPr>
      </w:pPr>
    </w:p>
    <w:p>
      <w:pPr>
        <w:widowControl/>
        <w:rPr>
          <w:rFonts w:ascii="Times New Roman" w:hAnsi="Times New Roman" w:eastAsia="方正小标宋_GBK" w:cs="Times New Roman"/>
          <w:color w:val="auto"/>
          <w:kern w:val="0"/>
          <w:sz w:val="36"/>
          <w:szCs w:val="36"/>
        </w:rPr>
      </w:pPr>
    </w:p>
    <w:p>
      <w:pPr>
        <w:widowControl/>
        <w:rPr>
          <w:rFonts w:ascii="Times New Roman" w:hAnsi="Times New Roman" w:eastAsia="方正小标宋_GBK" w:cs="Times New Roman"/>
          <w:color w:val="auto"/>
          <w:kern w:val="0"/>
          <w:sz w:val="36"/>
          <w:szCs w:val="21"/>
        </w:rPr>
      </w:pPr>
    </w:p>
    <w:p>
      <w:pPr>
        <w:pStyle w:val="2"/>
        <w:ind w:firstLine="720"/>
        <w:rPr>
          <w:rFonts w:ascii="Times New Roman" w:hAnsi="Times New Roman" w:eastAsia="方正小标宋_GBK" w:cs="Times New Roman"/>
          <w:color w:val="auto"/>
          <w:sz w:val="36"/>
          <w:szCs w:val="21"/>
        </w:rPr>
      </w:pPr>
    </w:p>
    <w:p>
      <w:pPr>
        <w:rPr>
          <w:rFonts w:ascii="Times New Roman" w:hAnsi="Times New Roman" w:eastAsia="方正小标宋_GBK" w:cs="Times New Roman"/>
          <w:color w:val="auto"/>
          <w:kern w:val="0"/>
          <w:sz w:val="36"/>
          <w:szCs w:val="21"/>
        </w:rPr>
      </w:pPr>
    </w:p>
    <w:p>
      <w:pPr>
        <w:pStyle w:val="2"/>
        <w:ind w:firstLine="720"/>
        <w:rPr>
          <w:rFonts w:ascii="Times New Roman" w:hAnsi="Times New Roman" w:eastAsia="方正小标宋_GBK" w:cs="Times New Roman"/>
          <w:color w:val="auto"/>
          <w:sz w:val="36"/>
          <w:szCs w:val="21"/>
        </w:rPr>
      </w:pPr>
    </w:p>
    <w:p>
      <w:pPr>
        <w:rPr>
          <w:rFonts w:ascii="Times New Roman" w:hAnsi="Times New Roman" w:eastAsia="方正小标宋_GBK" w:cs="Times New Roman"/>
          <w:color w:val="auto"/>
          <w:kern w:val="0"/>
          <w:sz w:val="36"/>
          <w:szCs w:val="21"/>
        </w:rPr>
      </w:pPr>
    </w:p>
    <w:p>
      <w:pPr>
        <w:pStyle w:val="2"/>
        <w:ind w:firstLine="720"/>
        <w:rPr>
          <w:rFonts w:ascii="Times New Roman" w:hAnsi="Times New Roman" w:eastAsia="方正小标宋_GBK" w:cs="Times New Roman"/>
          <w:color w:val="auto"/>
          <w:sz w:val="36"/>
          <w:szCs w:val="21"/>
        </w:rPr>
      </w:pPr>
    </w:p>
    <w:p>
      <w:pPr>
        <w:rPr>
          <w:rFonts w:ascii="Times New Roman" w:hAnsi="Times New Roman" w:eastAsia="方正小标宋_GBK" w:cs="Times New Roman"/>
          <w:color w:val="auto"/>
          <w:kern w:val="0"/>
          <w:sz w:val="36"/>
          <w:szCs w:val="21"/>
        </w:rPr>
      </w:pPr>
    </w:p>
    <w:p>
      <w:pPr>
        <w:pStyle w:val="2"/>
        <w:ind w:firstLine="720"/>
        <w:rPr>
          <w:rFonts w:ascii="Times New Roman" w:hAnsi="Times New Roman" w:eastAsia="方正小标宋_GBK" w:cs="Times New Roman"/>
          <w:color w:val="auto"/>
          <w:sz w:val="36"/>
          <w:szCs w:val="21"/>
        </w:rPr>
      </w:pPr>
    </w:p>
    <w:p>
      <w:pPr>
        <w:rPr>
          <w:color w:val="auto"/>
        </w:rPr>
      </w:pPr>
    </w:p>
    <w:tbl>
      <w:tblPr>
        <w:tblStyle w:val="10"/>
        <w:tblW w:w="15781" w:type="dxa"/>
        <w:tblInd w:w="0" w:type="dxa"/>
        <w:tblLayout w:type="fixed"/>
        <w:tblCellMar>
          <w:top w:w="0" w:type="dxa"/>
          <w:left w:w="0" w:type="dxa"/>
          <w:bottom w:w="0" w:type="dxa"/>
          <w:right w:w="0" w:type="dxa"/>
        </w:tblCellMar>
      </w:tblPr>
      <w:tblGrid>
        <w:gridCol w:w="264"/>
        <w:gridCol w:w="264"/>
        <w:gridCol w:w="536"/>
        <w:gridCol w:w="4161"/>
        <w:gridCol w:w="1751"/>
        <w:gridCol w:w="1599"/>
        <w:gridCol w:w="1447"/>
        <w:gridCol w:w="1599"/>
        <w:gridCol w:w="1447"/>
        <w:gridCol w:w="1447"/>
        <w:gridCol w:w="1266"/>
      </w:tblGrid>
      <w:tr>
        <w:tblPrEx>
          <w:tblLayout w:type="fixed"/>
          <w:tblCellMar>
            <w:top w:w="0" w:type="dxa"/>
            <w:left w:w="0" w:type="dxa"/>
            <w:bottom w:w="0" w:type="dxa"/>
            <w:right w:w="0" w:type="dxa"/>
          </w:tblCellMar>
        </w:tblPrEx>
        <w:trPr>
          <w:trHeight w:val="660" w:hRule="atLeast"/>
        </w:trPr>
        <w:tc>
          <w:tcPr>
            <w:tcW w:w="15781" w:type="dxa"/>
            <w:gridSpan w:val="11"/>
            <w:tcBorders>
              <w:top w:val="nil"/>
              <w:left w:val="nil"/>
              <w:bottom w:val="nil"/>
              <w:right w:val="nil"/>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8"/>
                <w:szCs w:val="28"/>
              </w:rPr>
            </w:pPr>
            <w:bookmarkStart w:id="0" w:name="RANGE!A1:I22"/>
            <w:bookmarkEnd w:id="0"/>
            <w:bookmarkStart w:id="1" w:name="RANGE!A1:F16"/>
            <w:r>
              <w:rPr>
                <w:rFonts w:hint="eastAsia" w:ascii="宋体" w:hAnsi="宋体" w:eastAsia="宋体" w:cs="宋体"/>
                <w:b/>
                <w:color w:val="auto"/>
                <w:kern w:val="0"/>
                <w:sz w:val="28"/>
                <w:szCs w:val="28"/>
              </w:rPr>
              <w:t>收入决算表</w:t>
            </w:r>
          </w:p>
        </w:tc>
      </w:tr>
      <w:tr>
        <w:tblPrEx>
          <w:tblLayout w:type="fixed"/>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536"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4161"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751"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599"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599"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266"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公开02表</w:t>
            </w:r>
          </w:p>
        </w:tc>
      </w:tr>
      <w:tr>
        <w:tblPrEx>
          <w:tblLayout w:type="fixed"/>
          <w:tblCellMar>
            <w:top w:w="0" w:type="dxa"/>
            <w:left w:w="0" w:type="dxa"/>
            <w:bottom w:w="0" w:type="dxa"/>
            <w:right w:w="0" w:type="dxa"/>
          </w:tblCellMar>
        </w:tblPrEx>
        <w:trPr>
          <w:trHeight w:val="280" w:hRule="atLeast"/>
        </w:trPr>
        <w:tc>
          <w:tcPr>
            <w:tcW w:w="6976" w:type="dxa"/>
            <w:gridSpan w:val="5"/>
            <w:tcBorders>
              <w:top w:val="nil"/>
              <w:left w:val="nil"/>
              <w:bottom w:val="nil"/>
              <w:right w:val="nil"/>
            </w:tcBorders>
            <w:shd w:val="clear" w:color="auto" w:fill="auto"/>
            <w:noWrap/>
            <w:tcMar>
              <w:top w:w="10" w:type="dxa"/>
              <w:left w:w="10" w:type="dxa"/>
              <w:right w:w="10" w:type="dxa"/>
            </w:tcMar>
            <w:vAlign w:val="bottom"/>
          </w:tcPr>
          <w:p>
            <w:pPr>
              <w:widowControl/>
              <w:jc w:val="left"/>
              <w:textAlignment w:val="bottom"/>
              <w:rPr>
                <w:rFonts w:ascii="宋体" w:hAnsi="宋体" w:eastAsia="宋体" w:cs="宋体"/>
                <w:color w:val="auto"/>
                <w:sz w:val="22"/>
              </w:rPr>
            </w:pPr>
            <w:r>
              <w:rPr>
                <w:rFonts w:hint="eastAsia" w:ascii="宋体" w:hAnsi="宋体" w:eastAsia="宋体" w:cs="宋体"/>
                <w:color w:val="auto"/>
                <w:kern w:val="0"/>
                <w:sz w:val="22"/>
              </w:rPr>
              <w:t>部门：湖南省农业对外经济合作中心</w:t>
            </w:r>
          </w:p>
        </w:tc>
        <w:tc>
          <w:tcPr>
            <w:tcW w:w="1599"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599"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447"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266"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单位：万元</w:t>
            </w:r>
          </w:p>
        </w:tc>
      </w:tr>
      <w:tr>
        <w:tblPrEx>
          <w:tblLayout w:type="fixed"/>
          <w:tblCellMar>
            <w:top w:w="0" w:type="dxa"/>
            <w:left w:w="0" w:type="dxa"/>
            <w:bottom w:w="0" w:type="dxa"/>
            <w:right w:w="0" w:type="dxa"/>
          </w:tblCellMar>
        </w:tblPrEx>
        <w:trPr>
          <w:trHeight w:val="300" w:hRule="atLeast"/>
        </w:trPr>
        <w:tc>
          <w:tcPr>
            <w:tcW w:w="522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项目</w:t>
            </w:r>
          </w:p>
        </w:tc>
        <w:tc>
          <w:tcPr>
            <w:tcW w:w="175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本年收入合计</w:t>
            </w:r>
          </w:p>
        </w:tc>
        <w:tc>
          <w:tcPr>
            <w:tcW w:w="159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财政拨款收入</w:t>
            </w:r>
          </w:p>
        </w:tc>
        <w:tc>
          <w:tcPr>
            <w:tcW w:w="144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上级补助收入</w:t>
            </w:r>
          </w:p>
        </w:tc>
        <w:tc>
          <w:tcPr>
            <w:tcW w:w="159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事业收入</w:t>
            </w:r>
          </w:p>
        </w:tc>
        <w:tc>
          <w:tcPr>
            <w:tcW w:w="144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经营收入</w:t>
            </w:r>
          </w:p>
        </w:tc>
        <w:tc>
          <w:tcPr>
            <w:tcW w:w="144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附属单位上缴收入</w:t>
            </w:r>
          </w:p>
        </w:tc>
        <w:tc>
          <w:tcPr>
            <w:tcW w:w="126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其他收入</w:t>
            </w:r>
          </w:p>
        </w:tc>
      </w:tr>
      <w:tr>
        <w:tblPrEx>
          <w:tblLayout w:type="fixed"/>
          <w:tblCellMar>
            <w:top w:w="0" w:type="dxa"/>
            <w:left w:w="0" w:type="dxa"/>
            <w:bottom w:w="0" w:type="dxa"/>
            <w:right w:w="0" w:type="dxa"/>
          </w:tblCellMar>
        </w:tblPrEx>
        <w:trPr>
          <w:trHeight w:val="312" w:hRule="atLeast"/>
        </w:trPr>
        <w:tc>
          <w:tcPr>
            <w:tcW w:w="106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科目代码</w:t>
            </w:r>
          </w:p>
        </w:tc>
        <w:tc>
          <w:tcPr>
            <w:tcW w:w="416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ind w:left="418" w:hanging="418" w:hangingChars="190"/>
              <w:jc w:val="center"/>
              <w:textAlignment w:val="center"/>
              <w:rPr>
                <w:rFonts w:ascii="宋体" w:hAnsi="宋体" w:eastAsia="宋体" w:cs="宋体"/>
                <w:color w:val="auto"/>
                <w:sz w:val="22"/>
              </w:rPr>
            </w:pPr>
            <w:r>
              <w:rPr>
                <w:rFonts w:hint="eastAsia" w:ascii="宋体" w:hAnsi="宋体" w:eastAsia="宋体" w:cs="宋体"/>
                <w:color w:val="auto"/>
                <w:kern w:val="0"/>
                <w:sz w:val="22"/>
              </w:rPr>
              <w:t>科目名称</w:t>
            </w:r>
          </w:p>
        </w:tc>
        <w:tc>
          <w:tcPr>
            <w:tcW w:w="1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2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12" w:hRule="atLeast"/>
        </w:trPr>
        <w:tc>
          <w:tcPr>
            <w:tcW w:w="10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416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1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2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12" w:hRule="atLeast"/>
        </w:trPr>
        <w:tc>
          <w:tcPr>
            <w:tcW w:w="106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416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17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2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00" w:hRule="atLeast"/>
        </w:trPr>
        <w:tc>
          <w:tcPr>
            <w:tcW w:w="522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栏次</w:t>
            </w:r>
          </w:p>
        </w:tc>
        <w:tc>
          <w:tcPr>
            <w:tcW w:w="175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w:t>
            </w:r>
          </w:p>
        </w:tc>
        <w:tc>
          <w:tcPr>
            <w:tcW w:w="15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w:t>
            </w:r>
          </w:p>
        </w:tc>
        <w:tc>
          <w:tcPr>
            <w:tcW w:w="15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7</w:t>
            </w:r>
          </w:p>
        </w:tc>
      </w:tr>
      <w:tr>
        <w:tblPrEx>
          <w:tblLayout w:type="fixed"/>
          <w:tblCellMar>
            <w:top w:w="0" w:type="dxa"/>
            <w:left w:w="0" w:type="dxa"/>
            <w:bottom w:w="0" w:type="dxa"/>
            <w:right w:w="0" w:type="dxa"/>
          </w:tblCellMar>
        </w:tblPrEx>
        <w:trPr>
          <w:trHeight w:val="300" w:hRule="atLeast"/>
        </w:trPr>
        <w:tc>
          <w:tcPr>
            <w:tcW w:w="522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合计</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1,132.72</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760.90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354.65</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0.00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17.17</w:t>
            </w:r>
          </w:p>
        </w:tc>
      </w:tr>
      <w:tr>
        <w:tblPrEx>
          <w:tblLayout w:type="fixed"/>
          <w:tblCellMar>
            <w:top w:w="0" w:type="dxa"/>
            <w:left w:w="0" w:type="dxa"/>
            <w:bottom w:w="0" w:type="dxa"/>
            <w:right w:w="0" w:type="dxa"/>
          </w:tblCellMar>
        </w:tblPrEx>
        <w:trPr>
          <w:trHeight w:val="300" w:hRule="atLeast"/>
        </w:trPr>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201</w:t>
            </w:r>
          </w:p>
        </w:tc>
        <w:tc>
          <w:tcPr>
            <w:tcW w:w="41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一般公共服务支出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20106</w:t>
            </w:r>
          </w:p>
        </w:tc>
        <w:tc>
          <w:tcPr>
            <w:tcW w:w="41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财政事务</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2010699</w:t>
            </w:r>
          </w:p>
        </w:tc>
        <w:tc>
          <w:tcPr>
            <w:tcW w:w="41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其他财政事务支出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w:t>
            </w:r>
          </w:p>
        </w:tc>
        <w:tc>
          <w:tcPr>
            <w:tcW w:w="41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社会保障和就业支出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20805</w:t>
            </w:r>
          </w:p>
        </w:tc>
        <w:tc>
          <w:tcPr>
            <w:tcW w:w="41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行政事业单位养老支出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2080505</w:t>
            </w:r>
          </w:p>
        </w:tc>
        <w:tc>
          <w:tcPr>
            <w:tcW w:w="41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机关事业单位基本养老保险缴费支出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w:t>
            </w:r>
          </w:p>
        </w:tc>
        <w:tc>
          <w:tcPr>
            <w:tcW w:w="41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农林水支出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948.87</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577.05</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354.65</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17.17</w:t>
            </w:r>
          </w:p>
        </w:tc>
      </w:tr>
      <w:tr>
        <w:tblPrEx>
          <w:tblLayout w:type="fixed"/>
          <w:tblCellMar>
            <w:top w:w="0" w:type="dxa"/>
            <w:left w:w="0" w:type="dxa"/>
            <w:bottom w:w="0" w:type="dxa"/>
            <w:right w:w="0" w:type="dxa"/>
          </w:tblCellMar>
        </w:tblPrEx>
        <w:trPr>
          <w:trHeight w:val="300" w:hRule="atLeast"/>
        </w:trPr>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w:t>
            </w:r>
          </w:p>
        </w:tc>
        <w:tc>
          <w:tcPr>
            <w:tcW w:w="41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农业农村</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948.87</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577.05</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354.65</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17.17</w:t>
            </w:r>
          </w:p>
        </w:tc>
      </w:tr>
      <w:tr>
        <w:tblPrEx>
          <w:tblLayout w:type="fixed"/>
          <w:tblCellMar>
            <w:top w:w="0" w:type="dxa"/>
            <w:left w:w="0" w:type="dxa"/>
            <w:bottom w:w="0" w:type="dxa"/>
            <w:right w:w="0" w:type="dxa"/>
          </w:tblCellMar>
        </w:tblPrEx>
        <w:trPr>
          <w:trHeight w:val="300" w:hRule="atLeast"/>
        </w:trPr>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2130101</w:t>
            </w:r>
          </w:p>
        </w:tc>
        <w:tc>
          <w:tcPr>
            <w:tcW w:w="41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行政运行</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73.11</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73.11</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2130104</w:t>
            </w:r>
          </w:p>
        </w:tc>
        <w:tc>
          <w:tcPr>
            <w:tcW w:w="41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事业运行</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390.04</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387.94</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2.10</w:t>
            </w:r>
          </w:p>
        </w:tc>
      </w:tr>
      <w:tr>
        <w:tblPrEx>
          <w:tblLayout w:type="fixed"/>
          <w:tblCellMar>
            <w:top w:w="0" w:type="dxa"/>
            <w:left w:w="0" w:type="dxa"/>
            <w:bottom w:w="0" w:type="dxa"/>
            <w:right w:w="0" w:type="dxa"/>
          </w:tblCellMar>
        </w:tblPrEx>
        <w:trPr>
          <w:trHeight w:val="300" w:hRule="atLeast"/>
        </w:trPr>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2130114</w:t>
            </w:r>
          </w:p>
        </w:tc>
        <w:tc>
          <w:tcPr>
            <w:tcW w:w="41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对外交流与合作</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115.79</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110.00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5.79</w:t>
            </w:r>
          </w:p>
        </w:tc>
      </w:tr>
      <w:tr>
        <w:tblPrEx>
          <w:tblLayout w:type="fixed"/>
          <w:tblCellMar>
            <w:top w:w="0" w:type="dxa"/>
            <w:left w:w="0" w:type="dxa"/>
            <w:bottom w:w="0" w:type="dxa"/>
            <w:right w:w="0" w:type="dxa"/>
          </w:tblCellMar>
        </w:tblPrEx>
        <w:trPr>
          <w:trHeight w:val="300" w:hRule="atLeast"/>
        </w:trPr>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2130122</w:t>
            </w:r>
          </w:p>
        </w:tc>
        <w:tc>
          <w:tcPr>
            <w:tcW w:w="41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农业生产发展</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6.00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6.00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2130199</w:t>
            </w:r>
          </w:p>
        </w:tc>
        <w:tc>
          <w:tcPr>
            <w:tcW w:w="41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其他农业农村支出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363.93</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354.65</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9.29</w:t>
            </w:r>
          </w:p>
        </w:tc>
      </w:tr>
      <w:tr>
        <w:tblPrEx>
          <w:tblLayout w:type="fixed"/>
          <w:tblCellMar>
            <w:top w:w="0" w:type="dxa"/>
            <w:left w:w="0" w:type="dxa"/>
            <w:bottom w:w="0" w:type="dxa"/>
            <w:right w:w="0" w:type="dxa"/>
          </w:tblCellMar>
        </w:tblPrEx>
        <w:trPr>
          <w:trHeight w:val="300" w:hRule="atLeast"/>
        </w:trPr>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216</w:t>
            </w:r>
          </w:p>
        </w:tc>
        <w:tc>
          <w:tcPr>
            <w:tcW w:w="41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商业服务业等支出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21606</w:t>
            </w:r>
          </w:p>
        </w:tc>
        <w:tc>
          <w:tcPr>
            <w:tcW w:w="41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涉外发展服务支出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2160699</w:t>
            </w:r>
          </w:p>
        </w:tc>
        <w:tc>
          <w:tcPr>
            <w:tcW w:w="41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其他涉外发展服务支出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221</w:t>
            </w:r>
          </w:p>
        </w:tc>
        <w:tc>
          <w:tcPr>
            <w:tcW w:w="41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住房保障支出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22102</w:t>
            </w:r>
          </w:p>
        </w:tc>
        <w:tc>
          <w:tcPr>
            <w:tcW w:w="41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住房改革支出</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06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2210201</w:t>
            </w:r>
          </w:p>
        </w:tc>
        <w:tc>
          <w:tcPr>
            <w:tcW w:w="41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住房公积金</w:t>
            </w:r>
          </w:p>
        </w:tc>
        <w:tc>
          <w:tcPr>
            <w:tcW w:w="17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5781" w:type="dxa"/>
            <w:gridSpan w:val="11"/>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注：本表反映部门本年度取得的各项收入情况。</w:t>
            </w:r>
          </w:p>
        </w:tc>
      </w:tr>
    </w:tbl>
    <w:p>
      <w:pPr>
        <w:widowControl/>
        <w:jc w:val="center"/>
        <w:rPr>
          <w:rFonts w:ascii="Times New Roman" w:hAnsi="Times New Roman" w:eastAsia="方正小标宋_GBK" w:cs="Times New Roman"/>
          <w:color w:val="auto"/>
          <w:kern w:val="0"/>
          <w:sz w:val="36"/>
          <w:szCs w:val="36"/>
        </w:rPr>
      </w:pPr>
    </w:p>
    <w:bookmarkEnd w:id="1"/>
    <w:p>
      <w:pPr>
        <w:widowControl/>
        <w:jc w:val="left"/>
        <w:rPr>
          <w:rFonts w:ascii="Times New Roman" w:hAnsi="Times New Roman" w:eastAsia="仿宋_GB2312" w:cs="Times New Roman"/>
          <w:bCs/>
          <w:color w:val="auto"/>
          <w:kern w:val="0"/>
          <w:szCs w:val="21"/>
        </w:rPr>
        <w:sectPr>
          <w:pgSz w:w="16838" w:h="11906" w:orient="landscape"/>
          <w:pgMar w:top="720" w:right="720" w:bottom="720" w:left="720" w:header="851" w:footer="992" w:gutter="0"/>
          <w:cols w:space="425" w:num="1"/>
          <w:docGrid w:type="lines" w:linePitch="312" w:charSpace="0"/>
        </w:sectPr>
      </w:pPr>
    </w:p>
    <w:tbl>
      <w:tblPr>
        <w:tblStyle w:val="10"/>
        <w:tblW w:w="14997" w:type="dxa"/>
        <w:tblInd w:w="0" w:type="dxa"/>
        <w:tblLayout w:type="fixed"/>
        <w:tblCellMar>
          <w:top w:w="0" w:type="dxa"/>
          <w:left w:w="0" w:type="dxa"/>
          <w:bottom w:w="0" w:type="dxa"/>
          <w:right w:w="0" w:type="dxa"/>
        </w:tblCellMar>
      </w:tblPr>
      <w:tblGrid>
        <w:gridCol w:w="258"/>
        <w:gridCol w:w="258"/>
        <w:gridCol w:w="715"/>
        <w:gridCol w:w="4682"/>
        <w:gridCol w:w="1692"/>
        <w:gridCol w:w="1545"/>
        <w:gridCol w:w="1545"/>
        <w:gridCol w:w="1399"/>
        <w:gridCol w:w="1399"/>
        <w:gridCol w:w="1504"/>
      </w:tblGrid>
      <w:tr>
        <w:tblPrEx>
          <w:tblLayout w:type="fixed"/>
          <w:tblCellMar>
            <w:top w:w="0" w:type="dxa"/>
            <w:left w:w="0" w:type="dxa"/>
            <w:bottom w:w="0" w:type="dxa"/>
            <w:right w:w="0" w:type="dxa"/>
          </w:tblCellMar>
        </w:tblPrEx>
        <w:trPr>
          <w:trHeight w:val="660" w:hRule="atLeast"/>
        </w:trPr>
        <w:tc>
          <w:tcPr>
            <w:tcW w:w="14997" w:type="dxa"/>
            <w:gridSpan w:val="10"/>
            <w:tcBorders>
              <w:top w:val="nil"/>
              <w:left w:val="nil"/>
              <w:bottom w:val="nil"/>
              <w:right w:val="nil"/>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8"/>
                <w:szCs w:val="28"/>
              </w:rPr>
            </w:pPr>
            <w:r>
              <w:rPr>
                <w:rFonts w:hint="eastAsia" w:ascii="宋体" w:hAnsi="宋体" w:eastAsia="宋体" w:cs="宋体"/>
                <w:b/>
                <w:color w:val="auto"/>
                <w:kern w:val="0"/>
                <w:sz w:val="28"/>
                <w:szCs w:val="28"/>
              </w:rPr>
              <w:t>支出决算表</w:t>
            </w:r>
          </w:p>
        </w:tc>
      </w:tr>
      <w:tr>
        <w:tblPrEx>
          <w:tblLayout w:type="fixed"/>
          <w:tblCellMar>
            <w:top w:w="0" w:type="dxa"/>
            <w:left w:w="0" w:type="dxa"/>
            <w:bottom w:w="0" w:type="dxa"/>
            <w:right w:w="0" w:type="dxa"/>
          </w:tblCellMar>
        </w:tblPrEx>
        <w:trPr>
          <w:trHeight w:val="280" w:hRule="atLeast"/>
        </w:trPr>
        <w:tc>
          <w:tcPr>
            <w:tcW w:w="258"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258"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715"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4682"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692"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545"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1545"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399"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399"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504"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公开03表</w:t>
            </w:r>
          </w:p>
        </w:tc>
      </w:tr>
      <w:tr>
        <w:tblPrEx>
          <w:tblLayout w:type="fixed"/>
          <w:tblCellMar>
            <w:top w:w="0" w:type="dxa"/>
            <w:left w:w="0" w:type="dxa"/>
            <w:bottom w:w="0" w:type="dxa"/>
            <w:right w:w="0" w:type="dxa"/>
          </w:tblCellMar>
        </w:tblPrEx>
        <w:trPr>
          <w:trHeight w:val="280" w:hRule="atLeast"/>
        </w:trPr>
        <w:tc>
          <w:tcPr>
            <w:tcW w:w="7605" w:type="dxa"/>
            <w:gridSpan w:val="5"/>
            <w:tcBorders>
              <w:top w:val="nil"/>
              <w:left w:val="nil"/>
              <w:bottom w:val="nil"/>
              <w:right w:val="nil"/>
            </w:tcBorders>
            <w:shd w:val="clear" w:color="auto" w:fill="auto"/>
            <w:noWrap/>
            <w:tcMar>
              <w:top w:w="10" w:type="dxa"/>
              <w:left w:w="10" w:type="dxa"/>
              <w:right w:w="10" w:type="dxa"/>
            </w:tcMar>
            <w:vAlign w:val="bottom"/>
          </w:tcPr>
          <w:p>
            <w:pPr>
              <w:widowControl/>
              <w:jc w:val="left"/>
              <w:textAlignment w:val="bottom"/>
              <w:rPr>
                <w:rFonts w:ascii="宋体" w:hAnsi="宋体" w:eastAsia="宋体" w:cs="宋体"/>
                <w:color w:val="auto"/>
                <w:sz w:val="22"/>
              </w:rPr>
            </w:pPr>
            <w:r>
              <w:rPr>
                <w:rFonts w:hint="eastAsia" w:ascii="宋体" w:hAnsi="宋体" w:eastAsia="宋体" w:cs="宋体"/>
                <w:color w:val="auto"/>
                <w:kern w:val="0"/>
                <w:sz w:val="22"/>
              </w:rPr>
              <w:t>部门：湖南省农业对外经济合作中心</w:t>
            </w:r>
          </w:p>
        </w:tc>
        <w:tc>
          <w:tcPr>
            <w:tcW w:w="1545"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1545"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399"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399"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504"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单位：万元</w:t>
            </w:r>
          </w:p>
        </w:tc>
      </w:tr>
      <w:tr>
        <w:tblPrEx>
          <w:tblLayout w:type="fixed"/>
          <w:tblCellMar>
            <w:top w:w="0" w:type="dxa"/>
            <w:left w:w="0" w:type="dxa"/>
            <w:bottom w:w="0" w:type="dxa"/>
            <w:right w:w="0" w:type="dxa"/>
          </w:tblCellMar>
        </w:tblPrEx>
        <w:trPr>
          <w:trHeight w:val="300" w:hRule="atLeast"/>
        </w:trPr>
        <w:tc>
          <w:tcPr>
            <w:tcW w:w="5913"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项目</w:t>
            </w:r>
          </w:p>
        </w:tc>
        <w:tc>
          <w:tcPr>
            <w:tcW w:w="169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本年支出合计</w:t>
            </w:r>
          </w:p>
        </w:tc>
        <w:tc>
          <w:tcPr>
            <w:tcW w:w="154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基本支出</w:t>
            </w:r>
          </w:p>
        </w:tc>
        <w:tc>
          <w:tcPr>
            <w:tcW w:w="154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项目支出</w:t>
            </w:r>
          </w:p>
        </w:tc>
        <w:tc>
          <w:tcPr>
            <w:tcW w:w="139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上缴上级支出</w:t>
            </w:r>
          </w:p>
        </w:tc>
        <w:tc>
          <w:tcPr>
            <w:tcW w:w="139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经营支出</w:t>
            </w:r>
          </w:p>
        </w:tc>
        <w:tc>
          <w:tcPr>
            <w:tcW w:w="150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对附属单位补助支出</w:t>
            </w:r>
          </w:p>
        </w:tc>
      </w:tr>
      <w:tr>
        <w:tblPrEx>
          <w:tblLayout w:type="fixed"/>
          <w:tblCellMar>
            <w:top w:w="0" w:type="dxa"/>
            <w:left w:w="0" w:type="dxa"/>
            <w:bottom w:w="0" w:type="dxa"/>
            <w:right w:w="0" w:type="dxa"/>
          </w:tblCellMar>
        </w:tblPrEx>
        <w:trPr>
          <w:trHeight w:val="312" w:hRule="atLeast"/>
        </w:trPr>
        <w:tc>
          <w:tcPr>
            <w:tcW w:w="123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科目代码</w:t>
            </w:r>
          </w:p>
        </w:tc>
        <w:tc>
          <w:tcPr>
            <w:tcW w:w="468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科目名称</w:t>
            </w:r>
          </w:p>
        </w:tc>
        <w:tc>
          <w:tcPr>
            <w:tcW w:w="16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12" w:hRule="atLeast"/>
        </w:trPr>
        <w:tc>
          <w:tcPr>
            <w:tcW w:w="123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468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12" w:hRule="atLeast"/>
        </w:trPr>
        <w:tc>
          <w:tcPr>
            <w:tcW w:w="123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468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00" w:hRule="atLeast"/>
        </w:trPr>
        <w:tc>
          <w:tcPr>
            <w:tcW w:w="5913"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栏次</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w:t>
            </w:r>
          </w:p>
        </w:tc>
        <w:tc>
          <w:tcPr>
            <w:tcW w:w="13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w:t>
            </w:r>
          </w:p>
        </w:tc>
        <w:tc>
          <w:tcPr>
            <w:tcW w:w="13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w:t>
            </w:r>
          </w:p>
        </w:tc>
        <w:tc>
          <w:tcPr>
            <w:tcW w:w="150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w:t>
            </w:r>
          </w:p>
        </w:tc>
      </w:tr>
      <w:tr>
        <w:tblPrEx>
          <w:tblLayout w:type="fixed"/>
          <w:tblCellMar>
            <w:top w:w="0" w:type="dxa"/>
            <w:left w:w="0" w:type="dxa"/>
            <w:bottom w:w="0" w:type="dxa"/>
            <w:right w:w="0" w:type="dxa"/>
          </w:tblCellMar>
        </w:tblPrEx>
        <w:trPr>
          <w:trHeight w:val="300" w:hRule="atLeast"/>
        </w:trPr>
        <w:tc>
          <w:tcPr>
            <w:tcW w:w="5913"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合计</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1,359.34</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506.80</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852.54</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0.00</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0.00</w:t>
            </w:r>
          </w:p>
        </w:tc>
      </w:tr>
      <w:tr>
        <w:tblPrEx>
          <w:tblLayout w:type="fixed"/>
          <w:tblCellMar>
            <w:top w:w="0" w:type="dxa"/>
            <w:left w:w="0" w:type="dxa"/>
            <w:bottom w:w="0" w:type="dxa"/>
            <w:right w:w="0" w:type="dxa"/>
          </w:tblCellMar>
        </w:tblPrEx>
        <w:trPr>
          <w:trHeight w:val="300" w:hRule="atLeast"/>
        </w:trPr>
        <w:tc>
          <w:tcPr>
            <w:tcW w:w="12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201</w:t>
            </w:r>
          </w:p>
        </w:tc>
        <w:tc>
          <w:tcPr>
            <w:tcW w:w="46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一般公共服务支出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130.11</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130.11</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2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20106</w:t>
            </w:r>
          </w:p>
        </w:tc>
        <w:tc>
          <w:tcPr>
            <w:tcW w:w="46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财政事务</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130.11</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130.11</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2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2010699</w:t>
            </w:r>
          </w:p>
        </w:tc>
        <w:tc>
          <w:tcPr>
            <w:tcW w:w="46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其他财政事务支出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130.11</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130.11</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2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w:t>
            </w:r>
          </w:p>
        </w:tc>
        <w:tc>
          <w:tcPr>
            <w:tcW w:w="46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社会保障和就业支出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2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20805</w:t>
            </w:r>
          </w:p>
        </w:tc>
        <w:tc>
          <w:tcPr>
            <w:tcW w:w="46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行政事业单位养老支出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2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2080505</w:t>
            </w:r>
          </w:p>
        </w:tc>
        <w:tc>
          <w:tcPr>
            <w:tcW w:w="46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机关事业单位基本养老保险缴费支出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2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w:t>
            </w:r>
          </w:p>
        </w:tc>
        <w:tc>
          <w:tcPr>
            <w:tcW w:w="46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农林水支出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1,168.38</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445.95</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722.44</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2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w:t>
            </w:r>
          </w:p>
        </w:tc>
        <w:tc>
          <w:tcPr>
            <w:tcW w:w="46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农业农村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1,168.38</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445.95</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722.44</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2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2130101</w:t>
            </w:r>
          </w:p>
        </w:tc>
        <w:tc>
          <w:tcPr>
            <w:tcW w:w="46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行政运行</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64.63</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64.63</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2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2130104</w:t>
            </w:r>
          </w:p>
        </w:tc>
        <w:tc>
          <w:tcPr>
            <w:tcW w:w="46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事业运行</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381.31</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381.31</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2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2130114</w:t>
            </w:r>
          </w:p>
        </w:tc>
        <w:tc>
          <w:tcPr>
            <w:tcW w:w="46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对外交流与合作</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141.20</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141.20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2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2130122</w:t>
            </w:r>
          </w:p>
        </w:tc>
        <w:tc>
          <w:tcPr>
            <w:tcW w:w="46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农业生产发展</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5.89</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5.89</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2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2130199</w:t>
            </w:r>
          </w:p>
        </w:tc>
        <w:tc>
          <w:tcPr>
            <w:tcW w:w="46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其他农业农村支出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575.35</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575.35</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2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221</w:t>
            </w:r>
          </w:p>
        </w:tc>
        <w:tc>
          <w:tcPr>
            <w:tcW w:w="46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住房保障支出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2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22102</w:t>
            </w:r>
          </w:p>
        </w:tc>
        <w:tc>
          <w:tcPr>
            <w:tcW w:w="46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住房改革支出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23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2210201</w:t>
            </w:r>
          </w:p>
        </w:tc>
        <w:tc>
          <w:tcPr>
            <w:tcW w:w="46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住房公积金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4997" w:type="dxa"/>
            <w:gridSpan w:val="10"/>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注：本表反映部门本年度各项支出情况。</w:t>
            </w:r>
          </w:p>
        </w:tc>
      </w:tr>
    </w:tbl>
    <w:p>
      <w:pPr>
        <w:pStyle w:val="2"/>
        <w:ind w:firstLine="480"/>
        <w:rPr>
          <w:color w:val="auto"/>
        </w:rPr>
        <w:sectPr>
          <w:pgSz w:w="16838" w:h="11906" w:orient="landscape"/>
          <w:pgMar w:top="720" w:right="720" w:bottom="720" w:left="720" w:header="851" w:footer="992" w:gutter="0"/>
          <w:cols w:space="425" w:num="1"/>
          <w:docGrid w:type="lines" w:linePitch="312" w:charSpace="0"/>
        </w:sectPr>
      </w:pPr>
    </w:p>
    <w:tbl>
      <w:tblPr>
        <w:tblStyle w:val="10"/>
        <w:tblW w:w="15064" w:type="dxa"/>
        <w:tblInd w:w="0" w:type="dxa"/>
        <w:tblLayout w:type="fixed"/>
        <w:tblCellMar>
          <w:top w:w="0" w:type="dxa"/>
          <w:left w:w="0" w:type="dxa"/>
          <w:bottom w:w="0" w:type="dxa"/>
          <w:right w:w="0" w:type="dxa"/>
        </w:tblCellMar>
      </w:tblPr>
      <w:tblGrid>
        <w:gridCol w:w="3702"/>
        <w:gridCol w:w="456"/>
        <w:gridCol w:w="1326"/>
        <w:gridCol w:w="3986"/>
        <w:gridCol w:w="456"/>
        <w:gridCol w:w="1083"/>
        <w:gridCol w:w="1326"/>
        <w:gridCol w:w="1194"/>
        <w:gridCol w:w="1535"/>
      </w:tblGrid>
      <w:tr>
        <w:tblPrEx>
          <w:tblLayout w:type="fixed"/>
          <w:tblCellMar>
            <w:top w:w="0" w:type="dxa"/>
            <w:left w:w="0" w:type="dxa"/>
            <w:bottom w:w="0" w:type="dxa"/>
            <w:right w:w="0" w:type="dxa"/>
          </w:tblCellMar>
        </w:tblPrEx>
        <w:trPr>
          <w:trHeight w:val="660" w:hRule="atLeast"/>
        </w:trPr>
        <w:tc>
          <w:tcPr>
            <w:tcW w:w="15064" w:type="dxa"/>
            <w:gridSpan w:val="9"/>
            <w:tcBorders>
              <w:top w:val="nil"/>
              <w:left w:val="nil"/>
              <w:bottom w:val="nil"/>
              <w:right w:val="nil"/>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8"/>
                <w:szCs w:val="28"/>
              </w:rPr>
            </w:pPr>
            <w:r>
              <w:rPr>
                <w:rFonts w:hint="eastAsia" w:ascii="宋体" w:hAnsi="宋体" w:eastAsia="宋体" w:cs="宋体"/>
                <w:b/>
                <w:color w:val="auto"/>
                <w:kern w:val="0"/>
                <w:sz w:val="28"/>
                <w:szCs w:val="28"/>
              </w:rPr>
              <w:t>财政拨款收入支出决算总表</w:t>
            </w:r>
          </w:p>
        </w:tc>
      </w:tr>
      <w:tr>
        <w:tblPrEx>
          <w:tblLayout w:type="fixed"/>
          <w:tblCellMar>
            <w:top w:w="0" w:type="dxa"/>
            <w:left w:w="0" w:type="dxa"/>
            <w:bottom w:w="0" w:type="dxa"/>
            <w:right w:w="0" w:type="dxa"/>
          </w:tblCellMar>
        </w:tblPrEx>
        <w:trPr>
          <w:trHeight w:val="280" w:hRule="atLeast"/>
        </w:trPr>
        <w:tc>
          <w:tcPr>
            <w:tcW w:w="3702"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456"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326"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3986"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456"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083"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1326"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194"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535"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公开04表</w:t>
            </w:r>
          </w:p>
        </w:tc>
      </w:tr>
      <w:tr>
        <w:tblPrEx>
          <w:tblLayout w:type="fixed"/>
          <w:tblCellMar>
            <w:top w:w="0" w:type="dxa"/>
            <w:left w:w="0" w:type="dxa"/>
            <w:bottom w:w="0" w:type="dxa"/>
            <w:right w:w="0" w:type="dxa"/>
          </w:tblCellMar>
        </w:tblPrEx>
        <w:trPr>
          <w:trHeight w:val="280" w:hRule="atLeast"/>
        </w:trPr>
        <w:tc>
          <w:tcPr>
            <w:tcW w:w="5484" w:type="dxa"/>
            <w:gridSpan w:val="3"/>
            <w:tcBorders>
              <w:top w:val="nil"/>
              <w:left w:val="nil"/>
              <w:bottom w:val="nil"/>
              <w:right w:val="nil"/>
            </w:tcBorders>
            <w:shd w:val="clear" w:color="auto" w:fill="auto"/>
            <w:noWrap/>
            <w:tcMar>
              <w:top w:w="10" w:type="dxa"/>
              <w:left w:w="10" w:type="dxa"/>
              <w:right w:w="10" w:type="dxa"/>
            </w:tcMar>
            <w:vAlign w:val="bottom"/>
          </w:tcPr>
          <w:p>
            <w:pPr>
              <w:widowControl/>
              <w:jc w:val="left"/>
              <w:textAlignment w:val="bottom"/>
              <w:rPr>
                <w:rFonts w:ascii="宋体" w:hAnsi="宋体" w:eastAsia="宋体" w:cs="宋体"/>
                <w:color w:val="auto"/>
                <w:sz w:val="22"/>
              </w:rPr>
            </w:pPr>
            <w:r>
              <w:rPr>
                <w:rFonts w:hint="eastAsia" w:ascii="宋体" w:hAnsi="宋体" w:eastAsia="宋体" w:cs="宋体"/>
                <w:color w:val="auto"/>
                <w:kern w:val="0"/>
                <w:sz w:val="22"/>
              </w:rPr>
              <w:t>部门：湖南省农业对外经济合作中心</w:t>
            </w:r>
          </w:p>
        </w:tc>
        <w:tc>
          <w:tcPr>
            <w:tcW w:w="3986"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456"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1083"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1326"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194" w:type="dxa"/>
            <w:tcBorders>
              <w:top w:val="nil"/>
              <w:left w:val="nil"/>
              <w:bottom w:val="nil"/>
              <w:right w:val="nil"/>
            </w:tcBorders>
            <w:shd w:val="clear" w:color="auto" w:fill="auto"/>
            <w:noWrap/>
            <w:tcMar>
              <w:top w:w="10" w:type="dxa"/>
              <w:left w:w="10" w:type="dxa"/>
              <w:right w:w="10" w:type="dxa"/>
            </w:tcMar>
            <w:vAlign w:val="center"/>
          </w:tcPr>
          <w:p>
            <w:pPr>
              <w:rPr>
                <w:rFonts w:ascii="宋体" w:hAnsi="宋体" w:eastAsia="宋体" w:cs="宋体"/>
                <w:color w:val="auto"/>
                <w:sz w:val="22"/>
              </w:rPr>
            </w:pPr>
          </w:p>
        </w:tc>
        <w:tc>
          <w:tcPr>
            <w:tcW w:w="1535"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单位：万元</w:t>
            </w:r>
          </w:p>
        </w:tc>
      </w:tr>
      <w:tr>
        <w:tblPrEx>
          <w:tblLayout w:type="fixed"/>
          <w:tblCellMar>
            <w:top w:w="0" w:type="dxa"/>
            <w:left w:w="0" w:type="dxa"/>
            <w:bottom w:w="0" w:type="dxa"/>
            <w:right w:w="0" w:type="dxa"/>
          </w:tblCellMar>
        </w:tblPrEx>
        <w:trPr>
          <w:trHeight w:val="300" w:hRule="atLeast"/>
        </w:trPr>
        <w:tc>
          <w:tcPr>
            <w:tcW w:w="54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收     入</w:t>
            </w:r>
          </w:p>
        </w:tc>
        <w:tc>
          <w:tcPr>
            <w:tcW w:w="9580"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支     出</w:t>
            </w:r>
          </w:p>
        </w:tc>
      </w:tr>
      <w:tr>
        <w:tblPrEx>
          <w:tblLayout w:type="fixed"/>
          <w:tblCellMar>
            <w:top w:w="0" w:type="dxa"/>
            <w:left w:w="0" w:type="dxa"/>
            <w:bottom w:w="0" w:type="dxa"/>
            <w:right w:w="0" w:type="dxa"/>
          </w:tblCellMar>
        </w:tblPrEx>
        <w:trPr>
          <w:trHeight w:val="312" w:hRule="atLeast"/>
        </w:trPr>
        <w:tc>
          <w:tcPr>
            <w:tcW w:w="370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项目</w:t>
            </w:r>
          </w:p>
        </w:tc>
        <w:tc>
          <w:tcPr>
            <w:tcW w:w="45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行次</w:t>
            </w:r>
          </w:p>
        </w:tc>
        <w:tc>
          <w:tcPr>
            <w:tcW w:w="13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金额</w:t>
            </w:r>
          </w:p>
        </w:tc>
        <w:tc>
          <w:tcPr>
            <w:tcW w:w="3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项目</w:t>
            </w:r>
          </w:p>
        </w:tc>
        <w:tc>
          <w:tcPr>
            <w:tcW w:w="45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行次</w:t>
            </w:r>
          </w:p>
        </w:tc>
        <w:tc>
          <w:tcPr>
            <w:tcW w:w="108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合计</w:t>
            </w:r>
          </w:p>
        </w:tc>
        <w:tc>
          <w:tcPr>
            <w:tcW w:w="13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一般公共预算财政拨款</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政府性基金预算财政拨款</w:t>
            </w:r>
          </w:p>
        </w:tc>
        <w:tc>
          <w:tcPr>
            <w:tcW w:w="153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国有资本经营预算财政拨款</w:t>
            </w:r>
          </w:p>
        </w:tc>
      </w:tr>
      <w:tr>
        <w:tblPrEx>
          <w:tblLayout w:type="fixed"/>
          <w:tblCellMar>
            <w:top w:w="0" w:type="dxa"/>
            <w:left w:w="0" w:type="dxa"/>
            <w:bottom w:w="0" w:type="dxa"/>
            <w:right w:w="0" w:type="dxa"/>
          </w:tblCellMar>
        </w:tblPrEx>
        <w:trPr>
          <w:trHeight w:val="600" w:hRule="atLeast"/>
        </w:trPr>
        <w:tc>
          <w:tcPr>
            <w:tcW w:w="3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4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3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3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4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13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15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栏次</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栏次</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一、一般公共预算财政拨款</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760.90</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一、一般公共服务支出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33</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130.11</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130.11</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9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二、政府性基金预算财政拨款</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二、外交支出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34</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三、国有资本经营预算财政拨款</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三、国防支出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35</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四、公共安全支出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36</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五、教育支出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37</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六、科学技术支出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38</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7</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七、文化旅游体育与传媒支出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39</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8</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八、社会保障和就业支出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40</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9</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九、卫生健康支出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41</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十、节能环保支出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42</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11</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十一、城乡社区支出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43</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12</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十二、农林水支出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44</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569.31</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569.31</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13</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十三、交通运输支出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45</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14</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十四、资源勘探工业信息等支出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46</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15</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十五、商业服务业等支出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47</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16</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十六、金融支出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48</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17</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十七、援助其他地区支出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49</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18</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十八、自然资源海洋气象等支出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50</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19</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十九、住房保障支出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51</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二十、粮油物资储备支出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52</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21</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二十一、国有资本经营预算支出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53</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22</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二十二、灾害防治及应急管理支出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54</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23</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二十三、其他支出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55</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b/>
                <w:color w:val="auto"/>
                <w:sz w:val="20"/>
                <w:szCs w:val="20"/>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24</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二十四、债务还本支出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56</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0"/>
                <w:szCs w:val="20"/>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25</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二十五、债务付息支出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57</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0"/>
                <w:szCs w:val="20"/>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26</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二十六、抗疫特别国债安排的支出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58</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2"/>
              </w:rPr>
            </w:pPr>
            <w:r>
              <w:rPr>
                <w:rFonts w:hint="eastAsia" w:ascii="宋体" w:hAnsi="宋体" w:eastAsia="宋体" w:cs="宋体"/>
                <w:b/>
                <w:color w:val="auto"/>
                <w:kern w:val="0"/>
                <w:sz w:val="22"/>
              </w:rPr>
              <w:t>本年收入合计</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27</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760.90</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2"/>
              </w:rPr>
            </w:pPr>
            <w:r>
              <w:rPr>
                <w:rFonts w:hint="eastAsia" w:ascii="宋体" w:hAnsi="宋体" w:eastAsia="宋体" w:cs="宋体"/>
                <w:b/>
                <w:color w:val="auto"/>
                <w:kern w:val="0"/>
                <w:sz w:val="22"/>
              </w:rPr>
              <w:t>本年支出合计</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59</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760.27</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760.27</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年初财政拨款结转和结余</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28</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77.24</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年末财政拨款结转和结余</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60</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77.87</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77.87</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 xml:space="preserve">  一般公共预算财政拨款</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29</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77.24</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61</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 xml:space="preserve">  政府性基金预算财政拨款</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62</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 xml:space="preserve">  国有资本经营预算财政拨款</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31</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eastAsia="宋体" w:cs="宋体"/>
                <w:color w:val="auto"/>
                <w:sz w:val="22"/>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63</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2"/>
              </w:rPr>
            </w:pPr>
            <w:r>
              <w:rPr>
                <w:rFonts w:hint="eastAsia" w:ascii="宋体" w:hAnsi="宋体" w:eastAsia="宋体" w:cs="宋体"/>
                <w:b/>
                <w:color w:val="auto"/>
                <w:kern w:val="0"/>
                <w:sz w:val="22"/>
              </w:rPr>
              <w:t>总计</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32</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838.14</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2"/>
              </w:rPr>
            </w:pPr>
            <w:r>
              <w:rPr>
                <w:rFonts w:hint="eastAsia" w:ascii="宋体" w:hAnsi="宋体" w:eastAsia="宋体" w:cs="宋体"/>
                <w:b/>
                <w:color w:val="auto"/>
                <w:kern w:val="0"/>
                <w:sz w:val="22"/>
              </w:rPr>
              <w:t>总计</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64</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838.14</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838.14</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3529" w:type="dxa"/>
            <w:gridSpan w:val="8"/>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注：本表反映部门本年度一般公共预算财政拨款、政府性基金预算财政拨款和国有资本经营预算财政拨款的总收支和年末结转结余情况。</w:t>
            </w:r>
          </w:p>
        </w:tc>
        <w:tc>
          <w:tcPr>
            <w:tcW w:w="1535" w:type="dxa"/>
            <w:tcBorders>
              <w:top w:val="nil"/>
              <w:left w:val="nil"/>
              <w:bottom w:val="nil"/>
              <w:right w:val="nil"/>
            </w:tcBorders>
            <w:shd w:val="clear" w:color="auto" w:fill="FFFFFF"/>
            <w:noWrap/>
            <w:tcMar>
              <w:top w:w="10" w:type="dxa"/>
              <w:left w:w="10" w:type="dxa"/>
              <w:right w:w="10" w:type="dxa"/>
            </w:tcMar>
            <w:vAlign w:val="center"/>
          </w:tcPr>
          <w:p>
            <w:pPr>
              <w:jc w:val="left"/>
              <w:rPr>
                <w:rFonts w:ascii="宋体" w:hAnsi="宋体" w:eastAsia="宋体" w:cs="宋体"/>
                <w:color w:val="auto"/>
                <w:sz w:val="20"/>
                <w:szCs w:val="20"/>
              </w:rPr>
            </w:pPr>
          </w:p>
        </w:tc>
      </w:tr>
    </w:tbl>
    <w:p>
      <w:pPr>
        <w:rPr>
          <w:color w:val="auto"/>
        </w:rPr>
        <w:sectPr>
          <w:pgSz w:w="16838" w:h="11906" w:orient="landscape"/>
          <w:pgMar w:top="720" w:right="720" w:bottom="720" w:left="720" w:header="851" w:footer="992" w:gutter="0"/>
          <w:cols w:space="425" w:num="1"/>
          <w:docGrid w:type="lines" w:linePitch="312" w:charSpace="0"/>
        </w:sectPr>
      </w:pPr>
    </w:p>
    <w:p>
      <w:pPr>
        <w:rPr>
          <w:color w:val="auto"/>
        </w:rPr>
      </w:pPr>
    </w:p>
    <w:tbl>
      <w:tblPr>
        <w:tblStyle w:val="10"/>
        <w:tblW w:w="12685" w:type="dxa"/>
        <w:tblInd w:w="792" w:type="dxa"/>
        <w:tblLayout w:type="fixed"/>
        <w:tblCellMar>
          <w:top w:w="0" w:type="dxa"/>
          <w:left w:w="0" w:type="dxa"/>
          <w:bottom w:w="0" w:type="dxa"/>
          <w:right w:w="0" w:type="dxa"/>
        </w:tblCellMar>
      </w:tblPr>
      <w:tblGrid>
        <w:gridCol w:w="264"/>
        <w:gridCol w:w="264"/>
        <w:gridCol w:w="789"/>
        <w:gridCol w:w="4768"/>
        <w:gridCol w:w="2120"/>
        <w:gridCol w:w="2180"/>
        <w:gridCol w:w="2300"/>
      </w:tblGrid>
      <w:tr>
        <w:tblPrEx>
          <w:tblLayout w:type="fixed"/>
          <w:tblCellMar>
            <w:top w:w="0" w:type="dxa"/>
            <w:left w:w="0" w:type="dxa"/>
            <w:bottom w:w="0" w:type="dxa"/>
            <w:right w:w="0" w:type="dxa"/>
          </w:tblCellMar>
        </w:tblPrEx>
        <w:trPr>
          <w:trHeight w:val="560" w:hRule="atLeast"/>
        </w:trPr>
        <w:tc>
          <w:tcPr>
            <w:tcW w:w="12685" w:type="dxa"/>
            <w:gridSpan w:val="7"/>
            <w:tcBorders>
              <w:top w:val="nil"/>
              <w:left w:val="nil"/>
              <w:bottom w:val="nil"/>
              <w:right w:val="nil"/>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b/>
                <w:color w:val="auto"/>
                <w:sz w:val="28"/>
                <w:szCs w:val="28"/>
              </w:rPr>
            </w:pPr>
            <w:r>
              <w:rPr>
                <w:rFonts w:hint="eastAsia" w:ascii="宋体" w:hAnsi="宋体" w:eastAsia="宋体" w:cs="宋体"/>
                <w:b/>
                <w:color w:val="auto"/>
                <w:kern w:val="0"/>
                <w:sz w:val="28"/>
                <w:szCs w:val="28"/>
              </w:rPr>
              <w:t>一般公共预算财政拨款支出决算表</w:t>
            </w:r>
          </w:p>
        </w:tc>
      </w:tr>
      <w:tr>
        <w:tblPrEx>
          <w:tblLayout w:type="fixed"/>
          <w:tblCellMar>
            <w:top w:w="0" w:type="dxa"/>
            <w:left w:w="0" w:type="dxa"/>
            <w:bottom w:w="0" w:type="dxa"/>
            <w:right w:w="0" w:type="dxa"/>
          </w:tblCellMar>
        </w:tblPrEx>
        <w:trPr>
          <w:trHeight w:val="56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789"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4768"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2120" w:type="dxa"/>
            <w:tcBorders>
              <w:top w:val="nil"/>
              <w:left w:val="nil"/>
              <w:bottom w:val="nil"/>
              <w:right w:val="nil"/>
            </w:tcBorders>
            <w:shd w:val="clear" w:color="auto" w:fill="auto"/>
            <w:noWrap/>
            <w:tcMar>
              <w:top w:w="10" w:type="dxa"/>
              <w:left w:w="10" w:type="dxa"/>
              <w:right w:w="10" w:type="dxa"/>
            </w:tcMar>
            <w:vAlign w:val="bottom"/>
          </w:tcPr>
          <w:p>
            <w:pPr>
              <w:rPr>
                <w:rFonts w:ascii="宋体" w:hAnsi="宋体" w:eastAsia="宋体" w:cs="宋体"/>
                <w:color w:val="auto"/>
                <w:sz w:val="22"/>
              </w:rPr>
            </w:pPr>
          </w:p>
        </w:tc>
        <w:tc>
          <w:tcPr>
            <w:tcW w:w="2180"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2300"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公开05表</w:t>
            </w:r>
          </w:p>
        </w:tc>
      </w:tr>
      <w:tr>
        <w:tblPrEx>
          <w:tblLayout w:type="fixed"/>
          <w:tblCellMar>
            <w:top w:w="0" w:type="dxa"/>
            <w:left w:w="0" w:type="dxa"/>
            <w:bottom w:w="0" w:type="dxa"/>
            <w:right w:w="0" w:type="dxa"/>
          </w:tblCellMar>
        </w:tblPrEx>
        <w:trPr>
          <w:trHeight w:val="560" w:hRule="atLeast"/>
        </w:trPr>
        <w:tc>
          <w:tcPr>
            <w:tcW w:w="8205" w:type="dxa"/>
            <w:gridSpan w:val="5"/>
            <w:tcBorders>
              <w:top w:val="nil"/>
              <w:left w:val="nil"/>
              <w:bottom w:val="nil"/>
              <w:right w:val="nil"/>
            </w:tcBorders>
            <w:shd w:val="clear" w:color="auto" w:fill="auto"/>
            <w:noWrap/>
            <w:tcMar>
              <w:top w:w="10" w:type="dxa"/>
              <w:left w:w="10" w:type="dxa"/>
              <w:right w:w="10" w:type="dxa"/>
            </w:tcMar>
            <w:vAlign w:val="bottom"/>
          </w:tcPr>
          <w:p>
            <w:pPr>
              <w:widowControl/>
              <w:jc w:val="left"/>
              <w:textAlignment w:val="bottom"/>
              <w:rPr>
                <w:rFonts w:ascii="宋体" w:hAnsi="宋体" w:eastAsia="宋体" w:cs="宋体"/>
                <w:color w:val="auto"/>
                <w:sz w:val="22"/>
              </w:rPr>
            </w:pPr>
            <w:r>
              <w:rPr>
                <w:rFonts w:hint="eastAsia" w:ascii="宋体" w:hAnsi="宋体" w:eastAsia="宋体" w:cs="宋体"/>
                <w:color w:val="auto"/>
                <w:kern w:val="0"/>
                <w:sz w:val="22"/>
              </w:rPr>
              <w:t>部门：湖南省农业对外经济合作中心</w:t>
            </w:r>
          </w:p>
        </w:tc>
        <w:tc>
          <w:tcPr>
            <w:tcW w:w="2180" w:type="dxa"/>
            <w:tcBorders>
              <w:top w:val="nil"/>
              <w:left w:val="nil"/>
              <w:bottom w:val="nil"/>
              <w:right w:val="nil"/>
            </w:tcBorders>
            <w:shd w:val="clear" w:color="auto" w:fill="auto"/>
            <w:noWrap/>
            <w:tcMar>
              <w:top w:w="10" w:type="dxa"/>
              <w:left w:w="10" w:type="dxa"/>
              <w:right w:w="10" w:type="dxa"/>
            </w:tcMar>
            <w:vAlign w:val="center"/>
          </w:tcPr>
          <w:p>
            <w:pPr>
              <w:jc w:val="right"/>
              <w:rPr>
                <w:rFonts w:ascii="宋体" w:hAnsi="宋体" w:eastAsia="宋体" w:cs="宋体"/>
                <w:color w:val="auto"/>
                <w:sz w:val="20"/>
                <w:szCs w:val="20"/>
              </w:rPr>
            </w:pPr>
          </w:p>
        </w:tc>
        <w:tc>
          <w:tcPr>
            <w:tcW w:w="2300" w:type="dxa"/>
            <w:tcBorders>
              <w:top w:val="nil"/>
              <w:left w:val="nil"/>
              <w:bottom w:val="nil"/>
              <w:right w:val="nil"/>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单位：万元</w:t>
            </w:r>
          </w:p>
        </w:tc>
      </w:tr>
      <w:tr>
        <w:tblPrEx>
          <w:tblLayout w:type="fixed"/>
          <w:tblCellMar>
            <w:top w:w="0" w:type="dxa"/>
            <w:left w:w="0" w:type="dxa"/>
            <w:bottom w:w="0" w:type="dxa"/>
            <w:right w:w="0" w:type="dxa"/>
          </w:tblCellMar>
        </w:tblPrEx>
        <w:trPr>
          <w:trHeight w:val="300" w:hRule="atLeast"/>
        </w:trPr>
        <w:tc>
          <w:tcPr>
            <w:tcW w:w="608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项目</w:t>
            </w:r>
          </w:p>
        </w:tc>
        <w:tc>
          <w:tcPr>
            <w:tcW w:w="660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本年支出</w:t>
            </w:r>
          </w:p>
        </w:tc>
      </w:tr>
      <w:tr>
        <w:tblPrEx>
          <w:tblLayout w:type="fixed"/>
          <w:tblCellMar>
            <w:top w:w="0" w:type="dxa"/>
            <w:left w:w="0" w:type="dxa"/>
            <w:bottom w:w="0" w:type="dxa"/>
            <w:right w:w="0" w:type="dxa"/>
          </w:tblCellMar>
        </w:tblPrEx>
        <w:trPr>
          <w:trHeight w:val="312" w:hRule="atLeast"/>
        </w:trPr>
        <w:tc>
          <w:tcPr>
            <w:tcW w:w="131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科目代码</w:t>
            </w:r>
          </w:p>
        </w:tc>
        <w:tc>
          <w:tcPr>
            <w:tcW w:w="476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科目名称</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小计</w:t>
            </w:r>
          </w:p>
        </w:tc>
        <w:tc>
          <w:tcPr>
            <w:tcW w:w="218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基本支出</w:t>
            </w:r>
          </w:p>
        </w:tc>
        <w:tc>
          <w:tcPr>
            <w:tcW w:w="23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项目支出</w:t>
            </w:r>
          </w:p>
        </w:tc>
      </w:tr>
      <w:tr>
        <w:tblPrEx>
          <w:tblLayout w:type="fixed"/>
          <w:tblCellMar>
            <w:top w:w="0" w:type="dxa"/>
            <w:left w:w="0" w:type="dxa"/>
            <w:bottom w:w="0" w:type="dxa"/>
            <w:right w:w="0" w:type="dxa"/>
          </w:tblCellMar>
        </w:tblPrEx>
        <w:trPr>
          <w:trHeight w:val="312" w:hRule="atLeast"/>
        </w:trPr>
        <w:tc>
          <w:tcPr>
            <w:tcW w:w="131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47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21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2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12" w:hRule="atLeast"/>
        </w:trPr>
        <w:tc>
          <w:tcPr>
            <w:tcW w:w="131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47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eastAsia="宋体" w:cs="宋体"/>
                <w:color w:val="auto"/>
                <w:sz w:val="22"/>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21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c>
          <w:tcPr>
            <w:tcW w:w="2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eastAsia="宋体" w:cs="宋体"/>
                <w:color w:val="auto"/>
                <w:sz w:val="22"/>
              </w:rPr>
            </w:pPr>
          </w:p>
        </w:tc>
      </w:tr>
      <w:tr>
        <w:tblPrEx>
          <w:tblLayout w:type="fixed"/>
          <w:tblCellMar>
            <w:top w:w="0" w:type="dxa"/>
            <w:left w:w="0" w:type="dxa"/>
            <w:bottom w:w="0" w:type="dxa"/>
            <w:right w:w="0" w:type="dxa"/>
          </w:tblCellMar>
        </w:tblPrEx>
        <w:trPr>
          <w:trHeight w:val="300" w:hRule="atLeast"/>
        </w:trPr>
        <w:tc>
          <w:tcPr>
            <w:tcW w:w="608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栏次</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w:t>
            </w:r>
          </w:p>
        </w:tc>
        <w:tc>
          <w:tcPr>
            <w:tcW w:w="2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w:t>
            </w:r>
          </w:p>
        </w:tc>
      </w:tr>
      <w:tr>
        <w:tblPrEx>
          <w:tblLayout w:type="fixed"/>
          <w:tblCellMar>
            <w:top w:w="0" w:type="dxa"/>
            <w:left w:w="0" w:type="dxa"/>
            <w:bottom w:w="0" w:type="dxa"/>
            <w:right w:w="0" w:type="dxa"/>
          </w:tblCellMar>
        </w:tblPrEx>
        <w:trPr>
          <w:trHeight w:val="300" w:hRule="atLeast"/>
        </w:trPr>
        <w:tc>
          <w:tcPr>
            <w:tcW w:w="608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合计</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760.27</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504.28</w:t>
            </w:r>
          </w:p>
        </w:tc>
        <w:tc>
          <w:tcPr>
            <w:tcW w:w="2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b/>
                <w:color w:val="auto"/>
                <w:sz w:val="22"/>
              </w:rPr>
            </w:pPr>
            <w:r>
              <w:rPr>
                <w:rFonts w:hint="eastAsia" w:ascii="宋体" w:hAnsi="宋体" w:eastAsia="宋体" w:cs="宋体"/>
                <w:b/>
                <w:color w:val="auto"/>
                <w:kern w:val="0"/>
                <w:sz w:val="22"/>
              </w:rPr>
              <w:t>255.99</w:t>
            </w:r>
          </w:p>
        </w:tc>
      </w:tr>
      <w:tr>
        <w:tblPrEx>
          <w:tblLayout w:type="fixed"/>
          <w:tblCellMar>
            <w:top w:w="0" w:type="dxa"/>
            <w:left w:w="0" w:type="dxa"/>
            <w:bottom w:w="0" w:type="dxa"/>
            <w:right w:w="0" w:type="dxa"/>
          </w:tblCellMar>
        </w:tblPrEx>
        <w:trPr>
          <w:trHeight w:val="300" w:hRule="atLeast"/>
        </w:trPr>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201</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一般公共服务支出</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130.11</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130.11</w:t>
            </w:r>
          </w:p>
        </w:tc>
      </w:tr>
      <w:tr>
        <w:tblPrEx>
          <w:tblLayout w:type="fixed"/>
          <w:tblCellMar>
            <w:top w:w="0" w:type="dxa"/>
            <w:left w:w="0" w:type="dxa"/>
            <w:bottom w:w="0" w:type="dxa"/>
            <w:right w:w="0" w:type="dxa"/>
          </w:tblCellMar>
        </w:tblPrEx>
        <w:trPr>
          <w:trHeight w:val="300" w:hRule="atLeast"/>
        </w:trPr>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20106</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财政事务</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130.11</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130.11</w:t>
            </w:r>
          </w:p>
        </w:tc>
      </w:tr>
      <w:tr>
        <w:tblPrEx>
          <w:tblLayout w:type="fixed"/>
          <w:tblCellMar>
            <w:top w:w="0" w:type="dxa"/>
            <w:left w:w="0" w:type="dxa"/>
            <w:bottom w:w="0" w:type="dxa"/>
            <w:right w:w="0" w:type="dxa"/>
          </w:tblCellMar>
        </w:tblPrEx>
        <w:trPr>
          <w:trHeight w:val="300" w:hRule="atLeast"/>
        </w:trPr>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2010699</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其他财政事务支出</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130.11</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130.11</w:t>
            </w:r>
          </w:p>
        </w:tc>
      </w:tr>
      <w:tr>
        <w:tblPrEx>
          <w:tblLayout w:type="fixed"/>
          <w:tblCellMar>
            <w:top w:w="0" w:type="dxa"/>
            <w:left w:w="0" w:type="dxa"/>
            <w:bottom w:w="0" w:type="dxa"/>
            <w:right w:w="0" w:type="dxa"/>
          </w:tblCellMar>
        </w:tblPrEx>
        <w:trPr>
          <w:trHeight w:val="300" w:hRule="atLeast"/>
        </w:trPr>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社会保障和就业支出</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c>
          <w:tcPr>
            <w:tcW w:w="2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20805</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行政事业单位养老支出</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c>
          <w:tcPr>
            <w:tcW w:w="2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2080505</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机关事业单位基本养老保险缴费支出</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29.92</w:t>
            </w:r>
          </w:p>
        </w:tc>
        <w:tc>
          <w:tcPr>
            <w:tcW w:w="2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农林水支出</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569.31</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443.42</w:t>
            </w:r>
          </w:p>
        </w:tc>
        <w:tc>
          <w:tcPr>
            <w:tcW w:w="2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125.89</w:t>
            </w:r>
          </w:p>
        </w:tc>
      </w:tr>
      <w:tr>
        <w:tblPrEx>
          <w:tblLayout w:type="fixed"/>
          <w:tblCellMar>
            <w:top w:w="0" w:type="dxa"/>
            <w:left w:w="0" w:type="dxa"/>
            <w:bottom w:w="0" w:type="dxa"/>
            <w:right w:w="0" w:type="dxa"/>
          </w:tblCellMar>
        </w:tblPrEx>
        <w:trPr>
          <w:trHeight w:val="300" w:hRule="atLeast"/>
        </w:trPr>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农业农村</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569.31</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443.42</w:t>
            </w:r>
          </w:p>
        </w:tc>
        <w:tc>
          <w:tcPr>
            <w:tcW w:w="2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125.89</w:t>
            </w:r>
          </w:p>
        </w:tc>
      </w:tr>
      <w:tr>
        <w:tblPrEx>
          <w:tblLayout w:type="fixed"/>
          <w:tblCellMar>
            <w:top w:w="0" w:type="dxa"/>
            <w:left w:w="0" w:type="dxa"/>
            <w:bottom w:w="0" w:type="dxa"/>
            <w:right w:w="0" w:type="dxa"/>
          </w:tblCellMar>
        </w:tblPrEx>
        <w:trPr>
          <w:trHeight w:val="300" w:hRule="atLeast"/>
        </w:trPr>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2130101</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行政运行</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64.63</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64.63</w:t>
            </w:r>
          </w:p>
        </w:tc>
        <w:tc>
          <w:tcPr>
            <w:tcW w:w="2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2130104</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事业运行</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378.79</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378.79</w:t>
            </w:r>
          </w:p>
        </w:tc>
        <w:tc>
          <w:tcPr>
            <w:tcW w:w="2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2130114</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对外交流与合作</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120.00</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120.00</w:t>
            </w:r>
          </w:p>
        </w:tc>
      </w:tr>
      <w:tr>
        <w:tblPrEx>
          <w:tblLayout w:type="fixed"/>
          <w:tblCellMar>
            <w:top w:w="0" w:type="dxa"/>
            <w:left w:w="0" w:type="dxa"/>
            <w:bottom w:w="0" w:type="dxa"/>
            <w:right w:w="0" w:type="dxa"/>
          </w:tblCellMar>
        </w:tblPrEx>
        <w:trPr>
          <w:trHeight w:val="300" w:hRule="atLeast"/>
        </w:trPr>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2130122</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农业生产发展</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5.89</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5.89</w:t>
            </w:r>
          </w:p>
        </w:tc>
      </w:tr>
      <w:tr>
        <w:tblPrEx>
          <w:tblLayout w:type="fixed"/>
          <w:tblCellMar>
            <w:top w:w="0" w:type="dxa"/>
            <w:left w:w="0" w:type="dxa"/>
            <w:bottom w:w="0" w:type="dxa"/>
            <w:right w:w="0" w:type="dxa"/>
          </w:tblCellMar>
        </w:tblPrEx>
        <w:trPr>
          <w:trHeight w:val="300" w:hRule="atLeast"/>
        </w:trPr>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216</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商业服务业等支出</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21606</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涉外发展服务支出</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2160699</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其他涉外发展服务支出</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2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221</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住房保障支出</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c>
          <w:tcPr>
            <w:tcW w:w="2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22102</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住房改革支出</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c>
          <w:tcPr>
            <w:tcW w:w="2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2210201</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住房公积金</w:t>
            </w:r>
          </w:p>
        </w:tc>
        <w:tc>
          <w:tcPr>
            <w:tcW w:w="21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c>
          <w:tcPr>
            <w:tcW w:w="2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30.94</w:t>
            </w:r>
          </w:p>
        </w:tc>
        <w:tc>
          <w:tcPr>
            <w:tcW w:w="2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r>
      <w:tr>
        <w:tblPrEx>
          <w:tblLayout w:type="fixed"/>
          <w:tblCellMar>
            <w:top w:w="0" w:type="dxa"/>
            <w:left w:w="0" w:type="dxa"/>
            <w:bottom w:w="0" w:type="dxa"/>
            <w:right w:w="0" w:type="dxa"/>
          </w:tblCellMar>
        </w:tblPrEx>
        <w:trPr>
          <w:trHeight w:val="300" w:hRule="atLeast"/>
        </w:trPr>
        <w:tc>
          <w:tcPr>
            <w:tcW w:w="12685" w:type="dxa"/>
            <w:gridSpan w:val="7"/>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color w:val="auto"/>
                <w:sz w:val="22"/>
              </w:rPr>
            </w:pPr>
            <w:r>
              <w:rPr>
                <w:rFonts w:hint="eastAsia" w:ascii="宋体" w:hAnsi="宋体" w:eastAsia="宋体" w:cs="宋体"/>
                <w:color w:val="auto"/>
                <w:kern w:val="0"/>
                <w:sz w:val="22"/>
              </w:rPr>
              <w:t>注：本表反映部门本年度一般公共预算财政拨款支出情况。</w:t>
            </w:r>
          </w:p>
        </w:tc>
      </w:tr>
    </w:tbl>
    <w:p>
      <w:pPr>
        <w:widowControl/>
        <w:jc w:val="left"/>
        <w:rPr>
          <w:rFonts w:ascii="Times New Roman" w:hAnsi="Times New Roman" w:eastAsia="仿宋_GB2312" w:cs="Times New Roman"/>
          <w:bCs/>
          <w:color w:val="auto"/>
          <w:kern w:val="0"/>
          <w:szCs w:val="21"/>
        </w:rPr>
      </w:pPr>
      <w:r>
        <w:rPr>
          <w:rFonts w:ascii="Times New Roman" w:hAnsi="Times New Roman" w:eastAsia="仿宋_GB2312" w:cs="Times New Roman"/>
          <w:bCs/>
          <w:color w:val="auto"/>
          <w:kern w:val="0"/>
          <w:szCs w:val="21"/>
        </w:rPr>
        <w:br w:type="page"/>
      </w:r>
      <w:r>
        <w:rPr>
          <w:color w:val="auto"/>
        </w:rPr>
        <w:drawing>
          <wp:inline distT="0" distB="0" distL="114300" distR="114300">
            <wp:extent cx="9771380" cy="5997575"/>
            <wp:effectExtent l="0" t="0" r="762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cstate="print"/>
                    <a:stretch>
                      <a:fillRect/>
                    </a:stretch>
                  </pic:blipFill>
                  <pic:spPr>
                    <a:xfrm>
                      <a:off x="0" y="0"/>
                      <a:ext cx="9771380" cy="5997575"/>
                    </a:xfrm>
                    <a:prstGeom prst="rect">
                      <a:avLst/>
                    </a:prstGeom>
                    <a:noFill/>
                    <a:ln>
                      <a:noFill/>
                    </a:ln>
                  </pic:spPr>
                </pic:pic>
              </a:graphicData>
            </a:graphic>
          </wp:inline>
        </w:drawing>
      </w:r>
    </w:p>
    <w:tbl>
      <w:tblPr>
        <w:tblStyle w:val="10"/>
        <w:tblW w:w="15360" w:type="dxa"/>
        <w:tblInd w:w="0" w:type="dxa"/>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tblGrid>
      <w:tr>
        <w:tblPrEx>
          <w:tblLayout w:type="fixed"/>
          <w:tblCellMar>
            <w:top w:w="0" w:type="dxa"/>
            <w:left w:w="108" w:type="dxa"/>
            <w:bottom w:w="0" w:type="dxa"/>
            <w:right w:w="108" w:type="dxa"/>
          </w:tblCellMar>
        </w:tblPrEx>
        <w:trPr>
          <w:trHeight w:val="690" w:hRule="atLeast"/>
        </w:trPr>
        <w:tc>
          <w:tcPr>
            <w:tcW w:w="15360" w:type="dxa"/>
            <w:gridSpan w:val="9"/>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auto"/>
                <w:kern w:val="0"/>
                <w:sz w:val="32"/>
                <w:szCs w:val="32"/>
              </w:rPr>
            </w:pPr>
          </w:p>
          <w:p>
            <w:pPr>
              <w:widowControl/>
              <w:jc w:val="center"/>
              <w:textAlignment w:val="center"/>
              <w:rPr>
                <w:rFonts w:ascii="华文中宋" w:hAnsi="华文中宋" w:eastAsia="华文中宋" w:cs="华文中宋"/>
                <w:color w:val="auto"/>
                <w:sz w:val="32"/>
                <w:szCs w:val="32"/>
              </w:rPr>
            </w:pPr>
            <w:r>
              <w:rPr>
                <w:rFonts w:hint="eastAsia" w:ascii="华文中宋" w:hAnsi="华文中宋" w:eastAsia="华文中宋" w:cs="华文中宋"/>
                <w:color w:val="auto"/>
                <w:kern w:val="0"/>
                <w:sz w:val="32"/>
                <w:szCs w:val="32"/>
              </w:rPr>
              <w:t>政府性基金预算财政拨款收入支出决算表</w:t>
            </w:r>
          </w:p>
        </w:tc>
      </w:tr>
      <w:tr>
        <w:tblPrEx>
          <w:tblLayout w:type="fixed"/>
          <w:tblCellMar>
            <w:top w:w="0" w:type="dxa"/>
            <w:left w:w="108" w:type="dxa"/>
            <w:bottom w:w="0" w:type="dxa"/>
            <w:right w:w="108" w:type="dxa"/>
          </w:tblCellMar>
        </w:tblPrEx>
        <w:trPr>
          <w:trHeight w:val="345" w:hRule="atLeast"/>
        </w:trPr>
        <w:tc>
          <w:tcPr>
            <w:tcW w:w="1003" w:type="dxa"/>
            <w:tcBorders>
              <w:top w:val="nil"/>
              <w:left w:val="nil"/>
              <w:bottom w:val="nil"/>
              <w:right w:val="nil"/>
            </w:tcBorders>
            <w:shd w:val="clear" w:color="auto" w:fill="FFFFFF"/>
            <w:vAlign w:val="center"/>
          </w:tcPr>
          <w:p>
            <w:pPr>
              <w:jc w:val="center"/>
              <w:rPr>
                <w:rFonts w:ascii="宋体" w:hAnsi="宋体" w:eastAsia="宋体" w:cs="宋体"/>
                <w:color w:val="auto"/>
                <w:sz w:val="20"/>
                <w:szCs w:val="20"/>
              </w:rPr>
            </w:pPr>
          </w:p>
        </w:tc>
        <w:tc>
          <w:tcPr>
            <w:tcW w:w="240" w:type="dxa"/>
            <w:tcBorders>
              <w:top w:val="nil"/>
              <w:left w:val="nil"/>
              <w:bottom w:val="nil"/>
              <w:right w:val="nil"/>
            </w:tcBorders>
            <w:shd w:val="clear" w:color="auto" w:fill="FFFFFF"/>
            <w:vAlign w:val="center"/>
          </w:tcPr>
          <w:p>
            <w:pPr>
              <w:jc w:val="center"/>
              <w:rPr>
                <w:rFonts w:ascii="宋体" w:hAnsi="宋体" w:eastAsia="宋体" w:cs="宋体"/>
                <w:color w:val="auto"/>
                <w:sz w:val="20"/>
                <w:szCs w:val="20"/>
              </w:rPr>
            </w:pPr>
          </w:p>
        </w:tc>
        <w:tc>
          <w:tcPr>
            <w:tcW w:w="1402" w:type="dxa"/>
            <w:tcBorders>
              <w:top w:val="nil"/>
              <w:left w:val="nil"/>
              <w:bottom w:val="nil"/>
              <w:right w:val="nil"/>
            </w:tcBorders>
            <w:shd w:val="clear" w:color="auto" w:fill="FFFFFF"/>
            <w:vAlign w:val="center"/>
          </w:tcPr>
          <w:p>
            <w:pPr>
              <w:jc w:val="center"/>
              <w:rPr>
                <w:rFonts w:ascii="宋体" w:hAnsi="宋体" w:eastAsia="宋体" w:cs="宋体"/>
                <w:color w:val="auto"/>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212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公开07表</w:t>
            </w:r>
          </w:p>
        </w:tc>
      </w:tr>
      <w:tr>
        <w:tblPrEx>
          <w:tblLayout w:type="fixed"/>
          <w:tblCellMar>
            <w:top w:w="0" w:type="dxa"/>
            <w:left w:w="108" w:type="dxa"/>
            <w:bottom w:w="0" w:type="dxa"/>
            <w:right w:w="108" w:type="dxa"/>
          </w:tblCellMar>
        </w:tblPrEx>
        <w:trPr>
          <w:trHeight w:val="690" w:hRule="atLeast"/>
        </w:trPr>
        <w:tc>
          <w:tcPr>
            <w:tcW w:w="4764" w:type="dxa"/>
            <w:gridSpan w:val="4"/>
            <w:tcBorders>
              <w:top w:val="nil"/>
              <w:left w:val="nil"/>
              <w:bottom w:val="nil"/>
              <w:right w:val="nil"/>
            </w:tcBorders>
            <w:shd w:val="clear" w:color="auto" w:fill="FFFFFF"/>
            <w:noWrap/>
            <w:vAlign w:val="center"/>
          </w:tcPr>
          <w:p>
            <w:pPr>
              <w:rPr>
                <w:rFonts w:ascii="宋体" w:hAnsi="宋体" w:eastAsia="宋体" w:cs="宋体"/>
                <w:color w:val="auto"/>
                <w:sz w:val="20"/>
                <w:szCs w:val="20"/>
              </w:rPr>
            </w:pPr>
            <w:r>
              <w:rPr>
                <w:rFonts w:hint="eastAsia" w:ascii="宋体" w:hAnsi="宋体" w:eastAsia="宋体" w:cs="宋体"/>
                <w:color w:val="auto"/>
                <w:kern w:val="0"/>
                <w:sz w:val="22"/>
              </w:rPr>
              <w:t>部门：湖南省农业对外经济合作中心</w:t>
            </w:r>
          </w:p>
        </w:tc>
        <w:tc>
          <w:tcPr>
            <w:tcW w:w="2119"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2119"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212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单位：万元</w:t>
            </w:r>
          </w:p>
        </w:tc>
      </w:tr>
      <w:tr>
        <w:tblPrEx>
          <w:tblLayout w:type="fixed"/>
          <w:tblCellMar>
            <w:top w:w="0" w:type="dxa"/>
            <w:left w:w="108" w:type="dxa"/>
            <w:bottom w:w="0" w:type="dxa"/>
            <w:right w:w="108" w:type="dxa"/>
          </w:tblCellMar>
        </w:tblPrEx>
        <w:trPr>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 xml:space="preserve">项 </w:t>
            </w:r>
            <w:r>
              <w:rPr>
                <w:rStyle w:val="17"/>
                <w:rFonts w:hint="default"/>
                <w:color w:val="auto"/>
              </w:rPr>
              <w:t xml:space="preserve">   </w:t>
            </w:r>
            <w:r>
              <w:rPr>
                <w:rStyle w:val="18"/>
                <w:rFonts w:hint="default"/>
                <w:color w:val="auto"/>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年末结转和结余</w:t>
            </w:r>
          </w:p>
        </w:tc>
      </w:tr>
      <w:tr>
        <w:tblPrEx>
          <w:tblLayout w:type="fixed"/>
          <w:tblCellMar>
            <w:top w:w="0" w:type="dxa"/>
            <w:left w:w="108" w:type="dxa"/>
            <w:bottom w:w="0" w:type="dxa"/>
            <w:right w:w="108" w:type="dxa"/>
          </w:tblCellMar>
        </w:tblPrEx>
        <w:trPr>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6</w:t>
            </w:r>
          </w:p>
        </w:tc>
      </w:tr>
      <w:tr>
        <w:tblPrEx>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0"/>
                <w:szCs w:val="20"/>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0"/>
                <w:szCs w:val="20"/>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725" w:hRule="atLeast"/>
        </w:trPr>
        <w:tc>
          <w:tcPr>
            <w:tcW w:w="15360" w:type="dxa"/>
            <w:gridSpan w:val="9"/>
            <w:tcBorders>
              <w:top w:val="nil"/>
              <w:left w:val="nil"/>
              <w:bottom w:val="nil"/>
              <w:right w:val="nil"/>
            </w:tcBorders>
            <w:shd w:val="clear" w:color="auto" w:fill="auto"/>
            <w:vAlign w:val="center"/>
          </w:tcPr>
          <w:p>
            <w:pPr>
              <w:widowControl/>
              <w:jc w:val="left"/>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注：本表反映部门本年度政府性基金预算财政拨款收入、支出及结转和结余情况。</w:t>
            </w:r>
          </w:p>
          <w:p>
            <w:pPr>
              <w:widowControl/>
              <w:jc w:val="left"/>
              <w:textAlignment w:val="center"/>
              <w:rPr>
                <w:rFonts w:ascii="宋体" w:hAnsi="宋体" w:eastAsia="宋体" w:cs="宋体"/>
                <w:color w:val="auto"/>
                <w:kern w:val="0"/>
                <w:sz w:val="24"/>
                <w:szCs w:val="24"/>
              </w:rPr>
            </w:pPr>
          </w:p>
          <w:p>
            <w:pPr>
              <w:widowControl/>
              <w:jc w:val="left"/>
              <w:textAlignment w:val="center"/>
              <w:rPr>
                <w:rFonts w:ascii="宋体" w:hAnsi="宋体" w:eastAsia="宋体" w:cs="宋体"/>
                <w:color w:val="auto"/>
                <w:kern w:val="0"/>
                <w:sz w:val="24"/>
                <w:szCs w:val="24"/>
              </w:rPr>
            </w:pPr>
            <w:r>
              <w:rPr>
                <w:rFonts w:hint="eastAsia" w:ascii="楷体" w:hAnsi="楷体" w:eastAsia="楷体" w:cs="楷体"/>
                <w:b/>
                <w:bCs/>
                <w:color w:val="auto"/>
                <w:kern w:val="0"/>
                <w:sz w:val="24"/>
                <w:szCs w:val="24"/>
              </w:rPr>
              <w:t>说明：我单位没有政府性基金收入，也没有使用政府性基金安排的支出，故本表无数据。</w:t>
            </w:r>
          </w:p>
        </w:tc>
      </w:tr>
    </w:tbl>
    <w:p>
      <w:pPr>
        <w:widowControl/>
        <w:jc w:val="center"/>
        <w:rPr>
          <w:rFonts w:ascii="Times New Roman" w:hAnsi="Times New Roman" w:eastAsia="方正小标宋_GBK" w:cs="Times New Roman"/>
          <w:color w:val="auto"/>
          <w:kern w:val="0"/>
          <w:sz w:val="36"/>
          <w:szCs w:val="36"/>
        </w:rPr>
      </w:pPr>
    </w:p>
    <w:p>
      <w:pPr>
        <w:widowControl/>
        <w:jc w:val="center"/>
        <w:rPr>
          <w:rFonts w:ascii="Times New Roman" w:hAnsi="Times New Roman" w:eastAsia="方正小标宋_GBK" w:cs="Times New Roman"/>
          <w:color w:val="auto"/>
          <w:kern w:val="0"/>
          <w:sz w:val="36"/>
          <w:szCs w:val="36"/>
        </w:rPr>
      </w:pPr>
    </w:p>
    <w:tbl>
      <w:tblPr>
        <w:tblStyle w:val="10"/>
        <w:tblW w:w="15120" w:type="dxa"/>
        <w:tblInd w:w="93" w:type="dxa"/>
        <w:tblLayout w:type="fixed"/>
        <w:tblCellMar>
          <w:top w:w="0" w:type="dxa"/>
          <w:left w:w="108" w:type="dxa"/>
          <w:bottom w:w="0" w:type="dxa"/>
          <w:right w:w="108" w:type="dxa"/>
        </w:tblCellMar>
      </w:tblPr>
      <w:tblGrid>
        <w:gridCol w:w="1326"/>
        <w:gridCol w:w="701"/>
        <w:gridCol w:w="2292"/>
        <w:gridCol w:w="3315"/>
        <w:gridCol w:w="3315"/>
        <w:gridCol w:w="4171"/>
      </w:tblGrid>
      <w:tr>
        <w:tblPrEx>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auto"/>
                <w:sz w:val="32"/>
                <w:szCs w:val="32"/>
              </w:rPr>
            </w:pPr>
            <w:r>
              <w:rPr>
                <w:rFonts w:hint="eastAsia" w:ascii="华文中宋" w:hAnsi="华文中宋" w:eastAsia="华文中宋" w:cs="华文中宋"/>
                <w:color w:val="auto"/>
                <w:kern w:val="0"/>
                <w:sz w:val="32"/>
                <w:szCs w:val="32"/>
              </w:rPr>
              <w:t>国有资本经营预算财政拨款支出决算表</w:t>
            </w:r>
          </w:p>
        </w:tc>
      </w:tr>
      <w:tr>
        <w:tblPrEx>
          <w:tblLayout w:type="fixed"/>
        </w:tblPrEx>
        <w:trPr>
          <w:trHeight w:val="417" w:hRule="atLeast"/>
        </w:trPr>
        <w:tc>
          <w:tcPr>
            <w:tcW w:w="1326" w:type="dxa"/>
            <w:tcBorders>
              <w:top w:val="nil"/>
              <w:left w:val="nil"/>
              <w:bottom w:val="nil"/>
              <w:right w:val="nil"/>
            </w:tcBorders>
            <w:shd w:val="clear" w:color="auto" w:fill="FFFFFF"/>
            <w:vAlign w:val="center"/>
          </w:tcPr>
          <w:p>
            <w:pPr>
              <w:jc w:val="center"/>
              <w:rPr>
                <w:rFonts w:ascii="宋体" w:hAnsi="宋体" w:eastAsia="宋体" w:cs="宋体"/>
                <w:color w:val="auto"/>
                <w:sz w:val="20"/>
                <w:szCs w:val="20"/>
              </w:rPr>
            </w:pPr>
          </w:p>
        </w:tc>
        <w:tc>
          <w:tcPr>
            <w:tcW w:w="701" w:type="dxa"/>
            <w:tcBorders>
              <w:top w:val="nil"/>
              <w:left w:val="nil"/>
              <w:bottom w:val="nil"/>
              <w:right w:val="nil"/>
            </w:tcBorders>
            <w:shd w:val="clear" w:color="auto" w:fill="FFFFFF"/>
            <w:vAlign w:val="center"/>
          </w:tcPr>
          <w:p>
            <w:pPr>
              <w:jc w:val="center"/>
              <w:rPr>
                <w:rFonts w:ascii="宋体" w:hAnsi="宋体" w:eastAsia="宋体" w:cs="宋体"/>
                <w:color w:val="auto"/>
                <w:sz w:val="20"/>
                <w:szCs w:val="20"/>
              </w:rPr>
            </w:pPr>
          </w:p>
        </w:tc>
        <w:tc>
          <w:tcPr>
            <w:tcW w:w="2292" w:type="dxa"/>
            <w:tcBorders>
              <w:top w:val="nil"/>
              <w:left w:val="nil"/>
              <w:bottom w:val="nil"/>
              <w:right w:val="nil"/>
            </w:tcBorders>
            <w:shd w:val="clear" w:color="auto" w:fill="FFFFFF"/>
            <w:vAlign w:val="center"/>
          </w:tcPr>
          <w:p>
            <w:pPr>
              <w:jc w:val="center"/>
              <w:rPr>
                <w:rFonts w:ascii="宋体" w:hAnsi="宋体" w:eastAsia="宋体" w:cs="宋体"/>
                <w:color w:val="auto"/>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4171"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公开08表</w:t>
            </w:r>
          </w:p>
        </w:tc>
      </w:tr>
      <w:tr>
        <w:tblPrEx>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ascii="宋体" w:hAnsi="宋体" w:eastAsia="宋体" w:cs="宋体"/>
                <w:color w:val="auto"/>
                <w:sz w:val="20"/>
                <w:szCs w:val="20"/>
              </w:rPr>
            </w:pPr>
            <w:r>
              <w:rPr>
                <w:rFonts w:hint="eastAsia" w:ascii="宋体" w:hAnsi="宋体" w:eastAsia="宋体" w:cs="宋体"/>
                <w:color w:val="auto"/>
                <w:kern w:val="0"/>
                <w:sz w:val="22"/>
              </w:rPr>
              <w:t>部门：湖南省农业对外经济合作中心</w:t>
            </w:r>
          </w:p>
        </w:tc>
        <w:tc>
          <w:tcPr>
            <w:tcW w:w="3315"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4171"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单位：万元</w:t>
            </w: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 xml:space="preserve">项 </w:t>
            </w:r>
            <w:r>
              <w:rPr>
                <w:rFonts w:hint="eastAsia" w:ascii="宋体" w:hAnsi="宋体" w:eastAsia="宋体" w:cs="宋体"/>
                <w:color w:val="auto"/>
                <w:kern w:val="0"/>
                <w:sz w:val="22"/>
              </w:rPr>
              <w:t xml:space="preserve">   </w:t>
            </w:r>
            <w:r>
              <w:rPr>
                <w:rStyle w:val="19"/>
                <w:rFonts w:hint="default"/>
                <w:color w:val="auto"/>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本年支出</w:t>
            </w:r>
          </w:p>
        </w:tc>
      </w:tr>
      <w:tr>
        <w:tblPrEx>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项目支出</w:t>
            </w:r>
          </w:p>
        </w:tc>
      </w:tr>
      <w:tr>
        <w:tblPrEx>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3</w:t>
            </w: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auto"/>
                <w:sz w:val="24"/>
                <w:szCs w:val="24"/>
              </w:rPr>
            </w:pPr>
          </w:p>
        </w:tc>
      </w:tr>
      <w:tr>
        <w:tblPrEx>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widowControl/>
              <w:jc w:val="left"/>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注：本表反映部门本年度国有资本经营预算财政拨款支出情况。</w:t>
            </w:r>
          </w:p>
          <w:p>
            <w:pPr>
              <w:widowControl/>
              <w:jc w:val="left"/>
              <w:textAlignment w:val="center"/>
              <w:rPr>
                <w:rFonts w:ascii="宋体" w:hAnsi="宋体" w:eastAsia="宋体" w:cs="宋体"/>
                <w:color w:val="auto"/>
                <w:kern w:val="0"/>
                <w:sz w:val="24"/>
                <w:szCs w:val="24"/>
              </w:rPr>
            </w:pPr>
          </w:p>
          <w:p>
            <w:pPr>
              <w:widowControl/>
              <w:jc w:val="left"/>
              <w:textAlignment w:val="center"/>
              <w:rPr>
                <w:rFonts w:ascii="宋体" w:hAnsi="宋体" w:eastAsia="宋体" w:cs="宋体"/>
                <w:color w:val="auto"/>
                <w:kern w:val="0"/>
                <w:sz w:val="24"/>
                <w:szCs w:val="24"/>
              </w:rPr>
            </w:pPr>
            <w:r>
              <w:rPr>
                <w:rFonts w:hint="eastAsia" w:ascii="楷体" w:hAnsi="楷体" w:eastAsia="楷体" w:cs="楷体"/>
                <w:b/>
                <w:bCs/>
                <w:color w:val="auto"/>
                <w:kern w:val="0"/>
                <w:sz w:val="24"/>
                <w:szCs w:val="24"/>
              </w:rPr>
              <w:t>说明：我单位没有使用国有资本经营预算安排的支出，故本表无数据。</w:t>
            </w:r>
          </w:p>
        </w:tc>
      </w:tr>
    </w:tbl>
    <w:p>
      <w:pPr>
        <w:widowControl/>
        <w:jc w:val="center"/>
        <w:rPr>
          <w:rFonts w:ascii="Times New Roman" w:hAnsi="Times New Roman" w:eastAsia="方正小标宋_GBK" w:cs="Times New Roman"/>
          <w:color w:val="auto"/>
          <w:kern w:val="0"/>
          <w:sz w:val="36"/>
          <w:szCs w:val="36"/>
        </w:rPr>
      </w:pPr>
    </w:p>
    <w:tbl>
      <w:tblPr>
        <w:tblStyle w:val="10"/>
        <w:tblW w:w="15140" w:type="dxa"/>
        <w:tblInd w:w="93" w:type="dxa"/>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auto"/>
                <w:kern w:val="0"/>
                <w:sz w:val="32"/>
                <w:szCs w:val="32"/>
              </w:rPr>
            </w:pPr>
          </w:p>
          <w:p>
            <w:pPr>
              <w:widowControl/>
              <w:jc w:val="center"/>
              <w:textAlignment w:val="center"/>
              <w:rPr>
                <w:rFonts w:ascii="华文中宋" w:hAnsi="华文中宋" w:eastAsia="华文中宋" w:cs="华文中宋"/>
                <w:color w:val="auto"/>
                <w:sz w:val="32"/>
                <w:szCs w:val="32"/>
              </w:rPr>
            </w:pPr>
            <w:r>
              <w:rPr>
                <w:rFonts w:hint="eastAsia" w:ascii="华文中宋" w:hAnsi="华文中宋" w:eastAsia="华文中宋" w:cs="华文中宋"/>
                <w:color w:val="auto"/>
                <w:kern w:val="0"/>
                <w:sz w:val="32"/>
                <w:szCs w:val="32"/>
              </w:rPr>
              <w:t>财政拨款“三公”经费支出决算表</w:t>
            </w:r>
          </w:p>
        </w:tc>
      </w:tr>
      <w:tr>
        <w:tblPrEx>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公开09表</w:t>
            </w:r>
          </w:p>
        </w:tc>
      </w:tr>
      <w:tr>
        <w:tblPrEx>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ascii="宋体" w:hAnsi="宋体" w:eastAsia="宋体" w:cs="宋体"/>
                <w:color w:val="auto"/>
                <w:sz w:val="20"/>
                <w:szCs w:val="20"/>
              </w:rPr>
            </w:pPr>
            <w:r>
              <w:rPr>
                <w:rFonts w:hint="eastAsia" w:ascii="宋体" w:hAnsi="宋体" w:eastAsia="宋体" w:cs="宋体"/>
                <w:color w:val="auto"/>
                <w:kern w:val="0"/>
                <w:sz w:val="22"/>
              </w:rPr>
              <w:t>部门：湖南省农业对外经济合作中心</w:t>
            </w: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auto"/>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auto"/>
                <w:sz w:val="20"/>
                <w:szCs w:val="20"/>
              </w:rPr>
            </w:pPr>
            <w:r>
              <w:rPr>
                <w:rFonts w:hint="eastAsia" w:ascii="宋体" w:hAnsi="宋体" w:eastAsia="宋体" w:cs="宋体"/>
                <w:color w:val="auto"/>
                <w:kern w:val="0"/>
                <w:sz w:val="20"/>
                <w:szCs w:val="20"/>
              </w:rPr>
              <w:t>单位：万元</w:t>
            </w:r>
          </w:p>
        </w:tc>
      </w:tr>
      <w:tr>
        <w:tblPrEx>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决算数</w:t>
            </w:r>
          </w:p>
        </w:tc>
      </w:tr>
      <w:tr>
        <w:tblPrEx>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公务接待费</w:t>
            </w:r>
          </w:p>
        </w:tc>
      </w:tr>
      <w:tr>
        <w:tblPrEx>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公务用车</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公务用车</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公务用车</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公务用车</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rPr>
            </w:pPr>
          </w:p>
        </w:tc>
      </w:tr>
      <w:tr>
        <w:tblPrEx>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2"/>
              </w:rPr>
            </w:pPr>
            <w:r>
              <w:rPr>
                <w:rFonts w:hint="eastAsia" w:ascii="宋体" w:hAnsi="宋体" w:eastAsia="宋体" w:cs="宋体"/>
                <w:color w:val="auto"/>
                <w:kern w:val="0"/>
                <w:sz w:val="22"/>
              </w:rPr>
              <w:t>12</w:t>
            </w:r>
          </w:p>
        </w:tc>
      </w:tr>
      <w:tr>
        <w:tblPrEx>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19.00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15.00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4.00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18.45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14.80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color w:val="auto"/>
                <w:sz w:val="22"/>
              </w:rPr>
            </w:pPr>
            <w:r>
              <w:rPr>
                <w:rFonts w:hint="eastAsia" w:ascii="宋体" w:hAnsi="宋体" w:eastAsia="宋体" w:cs="宋体"/>
                <w:color w:val="auto"/>
                <w:kern w:val="0"/>
                <w:sz w:val="22"/>
              </w:rPr>
              <w:t>3.65</w:t>
            </w:r>
          </w:p>
        </w:tc>
      </w:tr>
      <w:tr>
        <w:tblPrEx>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widowControl/>
              <w:jc w:val="left"/>
              <w:textAlignment w:val="center"/>
              <w:rPr>
                <w:rFonts w:ascii="宋体" w:hAnsi="宋体" w:eastAsia="宋体" w:cs="宋体"/>
                <w:color w:val="auto"/>
                <w:sz w:val="24"/>
                <w:szCs w:val="24"/>
              </w:rPr>
            </w:pPr>
            <w:r>
              <w:rPr>
                <w:rFonts w:hint="eastAsia" w:ascii="宋体" w:hAnsi="宋体" w:eastAsia="宋体" w:cs="宋体"/>
                <w:color w:val="auto"/>
                <w:kern w:val="0"/>
                <w:sz w:val="24"/>
                <w:szCs w:val="24"/>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color w:val="auto"/>
          <w:kern w:val="0"/>
          <w:sz w:val="24"/>
          <w:szCs w:val="24"/>
        </w:rPr>
      </w:pPr>
    </w:p>
    <w:p>
      <w:pPr>
        <w:autoSpaceDE w:val="0"/>
        <w:autoSpaceDN w:val="0"/>
        <w:adjustRightInd w:val="0"/>
        <w:ind w:left="315" w:leftChars="150"/>
        <w:jc w:val="left"/>
        <w:rPr>
          <w:rFonts w:ascii="宋体" w:eastAsia="宋体" w:cs="宋体"/>
          <w:color w:val="auto"/>
          <w:kern w:val="0"/>
          <w:sz w:val="24"/>
          <w:szCs w:val="24"/>
        </w:rPr>
      </w:pPr>
    </w:p>
    <w:p>
      <w:pPr>
        <w:autoSpaceDE w:val="0"/>
        <w:autoSpaceDN w:val="0"/>
        <w:adjustRightInd w:val="0"/>
        <w:ind w:left="315" w:leftChars="150"/>
        <w:jc w:val="left"/>
        <w:rPr>
          <w:rFonts w:ascii="宋体" w:eastAsia="宋体" w:cs="宋体"/>
          <w:color w:val="auto"/>
          <w:kern w:val="0"/>
          <w:sz w:val="24"/>
          <w:szCs w:val="24"/>
        </w:rPr>
      </w:pPr>
    </w:p>
    <w:p>
      <w:pPr>
        <w:autoSpaceDE w:val="0"/>
        <w:autoSpaceDN w:val="0"/>
        <w:adjustRightInd w:val="0"/>
        <w:ind w:left="315" w:leftChars="150"/>
        <w:jc w:val="left"/>
        <w:rPr>
          <w:rFonts w:ascii="宋体" w:eastAsia="宋体" w:cs="宋体"/>
          <w:color w:val="auto"/>
          <w:kern w:val="0"/>
          <w:sz w:val="24"/>
          <w:szCs w:val="24"/>
        </w:rPr>
      </w:pPr>
    </w:p>
    <w:p>
      <w:pPr>
        <w:autoSpaceDE w:val="0"/>
        <w:autoSpaceDN w:val="0"/>
        <w:adjustRightInd w:val="0"/>
        <w:ind w:left="315" w:leftChars="150"/>
        <w:jc w:val="left"/>
        <w:rPr>
          <w:rFonts w:ascii="宋体" w:eastAsia="宋体" w:cs="宋体"/>
          <w:color w:val="auto"/>
          <w:kern w:val="0"/>
          <w:sz w:val="24"/>
          <w:szCs w:val="24"/>
        </w:rPr>
      </w:pPr>
    </w:p>
    <w:p>
      <w:pPr>
        <w:widowControl/>
        <w:rPr>
          <w:color w:val="auto"/>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color w:val="auto"/>
          <w:szCs w:val="21"/>
        </w:rPr>
        <w:br w:type="page"/>
      </w:r>
    </w:p>
    <w:p>
      <w:pPr>
        <w:pStyle w:val="14"/>
        <w:rPr>
          <w:color w:val="auto"/>
          <w:sz w:val="72"/>
          <w:szCs w:val="72"/>
        </w:rPr>
      </w:pPr>
    </w:p>
    <w:p>
      <w:pPr>
        <w:pStyle w:val="14"/>
        <w:rPr>
          <w:color w:val="auto"/>
          <w:sz w:val="72"/>
          <w:szCs w:val="72"/>
        </w:rPr>
      </w:pPr>
    </w:p>
    <w:p>
      <w:pPr>
        <w:pStyle w:val="14"/>
        <w:rPr>
          <w:color w:val="auto"/>
          <w:sz w:val="72"/>
          <w:szCs w:val="72"/>
        </w:rPr>
      </w:pPr>
    </w:p>
    <w:p>
      <w:pPr>
        <w:pStyle w:val="14"/>
        <w:rPr>
          <w:color w:val="auto"/>
          <w:sz w:val="72"/>
          <w:szCs w:val="72"/>
        </w:rPr>
      </w:pPr>
    </w:p>
    <w:p>
      <w:pPr>
        <w:pStyle w:val="14"/>
        <w:jc w:val="center"/>
        <w:rPr>
          <w:rFonts w:ascii="方正小标宋_GBK" w:hAnsi="方正小标宋_GBK" w:eastAsia="方正小标宋_GBK" w:cs="方正小标宋_GBK"/>
          <w:color w:val="auto"/>
          <w:sz w:val="72"/>
          <w:szCs w:val="72"/>
        </w:rPr>
      </w:pPr>
    </w:p>
    <w:p>
      <w:pPr>
        <w:pStyle w:val="14"/>
        <w:jc w:val="center"/>
        <w:rPr>
          <w:rFonts w:ascii="方正小标宋_GBK" w:hAnsi="方正小标宋_GBK" w:eastAsia="方正小标宋_GBK" w:cs="方正小标宋_GBK"/>
          <w:color w:val="auto"/>
          <w:sz w:val="72"/>
          <w:szCs w:val="72"/>
        </w:rPr>
      </w:pPr>
      <w:r>
        <w:rPr>
          <w:rFonts w:hint="eastAsia" w:ascii="方正小标宋_GBK" w:hAnsi="方正小标宋_GBK" w:eastAsia="方正小标宋_GBK" w:cs="方正小标宋_GBK"/>
          <w:color w:val="auto"/>
          <w:sz w:val="72"/>
          <w:szCs w:val="72"/>
        </w:rPr>
        <w:t>第三部分</w:t>
      </w:r>
    </w:p>
    <w:p>
      <w:pPr>
        <w:pStyle w:val="14"/>
        <w:jc w:val="center"/>
        <w:rPr>
          <w:rFonts w:ascii="方正小标宋_GBK" w:hAnsi="方正小标宋_GBK" w:eastAsia="方正小标宋_GBK" w:cs="方正小标宋_GBK"/>
          <w:color w:val="auto"/>
          <w:sz w:val="70"/>
          <w:szCs w:val="70"/>
        </w:rPr>
      </w:pPr>
    </w:p>
    <w:p>
      <w:pPr>
        <w:pStyle w:val="14"/>
        <w:jc w:val="center"/>
        <w:rPr>
          <w:rFonts w:ascii="方正小标宋_GBK" w:hAnsi="方正小标宋_GBK" w:eastAsia="方正小标宋_GBK" w:cs="方正小标宋_GBK"/>
          <w:color w:val="auto"/>
          <w:sz w:val="70"/>
          <w:szCs w:val="70"/>
        </w:rPr>
      </w:pPr>
      <w:r>
        <w:rPr>
          <w:rFonts w:hint="eastAsia" w:ascii="方正小标宋_GBK" w:hAnsi="方正小标宋_GBK" w:eastAsia="方正小标宋_GBK" w:cs="方正小标宋_GBK"/>
          <w:color w:val="auto"/>
          <w:sz w:val="70"/>
          <w:szCs w:val="70"/>
        </w:rPr>
        <w:t>2023年度部门决算情况说明</w:t>
      </w:r>
    </w:p>
    <w:p>
      <w:pPr>
        <w:widowControl/>
        <w:jc w:val="left"/>
        <w:rPr>
          <w:rFonts w:asciiTheme="minorEastAsia" w:hAnsiTheme="minorEastAsia"/>
          <w:color w:val="auto"/>
          <w:sz w:val="32"/>
          <w:szCs w:val="32"/>
        </w:rPr>
      </w:pPr>
      <w:r>
        <w:rPr>
          <w:rFonts w:hint="eastAsia" w:ascii="方正小标宋_GBK" w:hAnsi="方正小标宋_GBK" w:eastAsia="方正小标宋_GBK" w:cs="方正小标宋_GBK"/>
          <w:color w:val="auto"/>
          <w:sz w:val="70"/>
          <w:szCs w:val="70"/>
        </w:rPr>
        <w:br w:type="page"/>
      </w:r>
    </w:p>
    <w:p>
      <w:pPr>
        <w:pStyle w:val="14"/>
        <w:spacing w:line="600" w:lineRule="exact"/>
        <w:ind w:firstLine="640" w:firstLineChars="200"/>
        <w:rPr>
          <w:rFonts w:hAnsi="黑体"/>
          <w:bCs/>
          <w:color w:val="auto"/>
          <w:sz w:val="32"/>
          <w:szCs w:val="32"/>
        </w:rPr>
      </w:pPr>
      <w:r>
        <w:rPr>
          <w:rFonts w:hint="eastAsia" w:hAnsi="黑体"/>
          <w:bCs/>
          <w:color w:val="auto"/>
          <w:sz w:val="32"/>
          <w:szCs w:val="32"/>
        </w:rPr>
        <w:t>一、收入支出决算总体情况说明</w:t>
      </w:r>
    </w:p>
    <w:p>
      <w:pPr>
        <w:pStyle w:val="14"/>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2023年度收、支总计2337.25万元。与上年相比，减少506.54万元，减少17.81%，主要是因为厉行节约压缩一般性支出及</w:t>
      </w:r>
      <w:r>
        <w:rPr>
          <w:rFonts w:hint="eastAsia" w:ascii="Times New Roman" w:hAnsi="Times New Roman" w:eastAsia="仿宋_GB2312"/>
          <w:color w:val="auto"/>
          <w:sz w:val="32"/>
          <w:szCs w:val="32"/>
        </w:rPr>
        <w:t>项目经费</w:t>
      </w:r>
      <w:r>
        <w:rPr>
          <w:rFonts w:hint="eastAsia" w:ascii="Times New Roman" w:hAnsi="Times New Roman" w:eastAsia="仿宋_GB2312"/>
          <w:color w:val="auto"/>
          <w:sz w:val="32"/>
          <w:szCs w:val="32"/>
        </w:rPr>
        <w:t>减少所致</w:t>
      </w:r>
      <w:r>
        <w:rPr>
          <w:rFonts w:hint="eastAsia" w:ascii="Times New Roman" w:hAnsi="Times New Roman" w:eastAsia="仿宋_GB2312"/>
          <w:color w:val="auto"/>
          <w:sz w:val="32"/>
          <w:szCs w:val="32"/>
        </w:rPr>
        <w:t>。</w:t>
      </w:r>
    </w:p>
    <w:p>
      <w:pPr>
        <w:pStyle w:val="14"/>
        <w:spacing w:line="600" w:lineRule="exact"/>
        <w:ind w:firstLine="640" w:firstLineChars="200"/>
        <w:rPr>
          <w:rFonts w:hAnsi="黑体"/>
          <w:bCs/>
          <w:color w:val="auto"/>
          <w:sz w:val="32"/>
          <w:szCs w:val="32"/>
        </w:rPr>
      </w:pPr>
      <w:r>
        <w:rPr>
          <w:rFonts w:hint="eastAsia" w:hAnsi="黑体"/>
          <w:bCs/>
          <w:color w:val="auto"/>
          <w:sz w:val="32"/>
          <w:szCs w:val="32"/>
        </w:rPr>
        <w:t>二、收入决算情况说明</w:t>
      </w:r>
    </w:p>
    <w:p>
      <w:pPr>
        <w:pStyle w:val="14"/>
        <w:ind w:firstLine="640" w:firstLineChars="200"/>
        <w:rPr>
          <w:rFonts w:ascii="仿宋" w:hAnsi="仿宋" w:eastAsia="仿宋"/>
          <w:color w:val="auto"/>
          <w:sz w:val="32"/>
          <w:szCs w:val="32"/>
        </w:rPr>
      </w:pPr>
      <w:r>
        <w:rPr>
          <w:rFonts w:hint="eastAsia" w:ascii="Times New Roman" w:hAnsi="Times New Roman" w:eastAsia="仿宋_GB2312"/>
          <w:color w:val="auto"/>
          <w:sz w:val="32"/>
          <w:szCs w:val="32"/>
        </w:rPr>
        <w:t>2023年度收入合计1132.72万元，其中：</w:t>
      </w:r>
      <w:r>
        <w:rPr>
          <w:rFonts w:hint="eastAsia" w:ascii="仿宋" w:hAnsi="仿宋" w:eastAsia="仿宋"/>
          <w:color w:val="auto"/>
          <w:sz w:val="32"/>
          <w:szCs w:val="32"/>
        </w:rPr>
        <w:t>财政拨款收入760.90万元，占67.17</w:t>
      </w:r>
      <w:r>
        <w:rPr>
          <w:rFonts w:ascii="仿宋" w:hAnsi="仿宋" w:eastAsia="仿宋"/>
          <w:color w:val="auto"/>
          <w:sz w:val="32"/>
          <w:szCs w:val="32"/>
        </w:rPr>
        <w:t>%</w:t>
      </w:r>
      <w:r>
        <w:rPr>
          <w:rFonts w:hint="eastAsia" w:ascii="仿宋" w:hAnsi="仿宋" w:eastAsia="仿宋"/>
          <w:color w:val="auto"/>
          <w:sz w:val="32"/>
          <w:szCs w:val="32"/>
        </w:rPr>
        <w:t>；上级补助收入0万元，占0%；事业收入354.65万元，占31.31%；经营收入0万元，占0%；附属单位上缴收入0万元，占0%；其他收入17.17万元，占1.52%。</w:t>
      </w:r>
    </w:p>
    <w:p>
      <w:pPr>
        <w:pStyle w:val="14"/>
        <w:spacing w:line="600" w:lineRule="exact"/>
        <w:ind w:firstLine="640" w:firstLineChars="200"/>
        <w:rPr>
          <w:rFonts w:hAnsi="黑体"/>
          <w:bCs/>
          <w:color w:val="auto"/>
          <w:sz w:val="32"/>
          <w:szCs w:val="32"/>
        </w:rPr>
      </w:pPr>
      <w:r>
        <w:rPr>
          <w:rFonts w:hint="eastAsia" w:hAnsi="黑体"/>
          <w:bCs/>
          <w:color w:val="auto"/>
          <w:sz w:val="32"/>
          <w:szCs w:val="32"/>
        </w:rPr>
        <w:t>三、支出决算情况说明</w:t>
      </w:r>
    </w:p>
    <w:p>
      <w:pPr>
        <w:pStyle w:val="14"/>
        <w:ind w:firstLine="640" w:firstLineChars="200"/>
        <w:rPr>
          <w:rFonts w:ascii="仿宋" w:hAnsi="仿宋" w:eastAsia="仿宋"/>
          <w:color w:val="auto"/>
          <w:sz w:val="32"/>
          <w:szCs w:val="32"/>
        </w:rPr>
      </w:pPr>
      <w:r>
        <w:rPr>
          <w:rFonts w:hint="eastAsia" w:ascii="Times New Roman" w:hAnsi="Times New Roman" w:eastAsia="仿宋_GB2312"/>
          <w:color w:val="auto"/>
          <w:sz w:val="32"/>
          <w:szCs w:val="32"/>
        </w:rPr>
        <w:t>2023年度支出合计1359.34万元，其中：</w:t>
      </w:r>
      <w:r>
        <w:rPr>
          <w:rFonts w:hint="eastAsia" w:ascii="仿宋" w:hAnsi="仿宋" w:eastAsia="仿宋"/>
          <w:color w:val="auto"/>
          <w:sz w:val="32"/>
          <w:szCs w:val="32"/>
        </w:rPr>
        <w:t>基本支出506.80万元，占37.28%；项目支出852.54万元，占67.72%；上缴上级支出0万元，占0%；经营支出0万元，占0%；对附属单位补助支出0万元，占0%。</w:t>
      </w:r>
    </w:p>
    <w:p>
      <w:pPr>
        <w:pStyle w:val="14"/>
        <w:spacing w:line="600" w:lineRule="exact"/>
        <w:ind w:firstLine="640" w:firstLineChars="200"/>
        <w:rPr>
          <w:rFonts w:hAnsi="黑体"/>
          <w:bCs/>
          <w:color w:val="auto"/>
          <w:sz w:val="32"/>
          <w:szCs w:val="32"/>
        </w:rPr>
      </w:pPr>
      <w:r>
        <w:rPr>
          <w:rFonts w:hint="eastAsia" w:hAnsi="黑体"/>
          <w:bCs/>
          <w:color w:val="auto"/>
          <w:sz w:val="32"/>
          <w:szCs w:val="32"/>
        </w:rPr>
        <w:t>四、财政拨款收入支出决算总体情况说明</w:t>
      </w:r>
    </w:p>
    <w:p>
      <w:pPr>
        <w:pStyle w:val="14"/>
        <w:rPr>
          <w:rFonts w:hAnsi="黑体" w:eastAsia="仿宋"/>
          <w:b/>
          <w:color w:val="auto"/>
          <w:sz w:val="32"/>
          <w:szCs w:val="32"/>
        </w:rPr>
      </w:pPr>
      <w:r>
        <w:rPr>
          <w:rFonts w:hint="eastAsia" w:ascii="Times New Roman" w:hAnsi="Times New Roman" w:eastAsia="仿宋_GB2312"/>
          <w:color w:val="auto"/>
          <w:sz w:val="32"/>
          <w:szCs w:val="32"/>
        </w:rPr>
        <w:t xml:space="preserve">    2023年度财政拨款收、支总计838.14万元，</w:t>
      </w:r>
      <w:r>
        <w:rPr>
          <w:rFonts w:hint="eastAsia" w:ascii="仿宋" w:hAnsi="仿宋" w:eastAsia="仿宋"/>
          <w:color w:val="auto"/>
          <w:sz w:val="32"/>
          <w:szCs w:val="32"/>
        </w:rPr>
        <w:t>减少227.62万元</w:t>
      </w:r>
      <w:r>
        <w:rPr>
          <w:rFonts w:ascii="仿宋" w:hAnsi="仿宋" w:eastAsia="仿宋"/>
          <w:color w:val="auto"/>
          <w:sz w:val="32"/>
          <w:szCs w:val="32"/>
        </w:rPr>
        <w:t>,</w:t>
      </w:r>
      <w:r>
        <w:rPr>
          <w:rFonts w:hint="eastAsia" w:ascii="仿宋" w:hAnsi="仿宋" w:eastAsia="仿宋"/>
          <w:color w:val="auto"/>
          <w:sz w:val="32"/>
          <w:szCs w:val="32"/>
        </w:rPr>
        <w:t>减少21.54</w:t>
      </w:r>
      <w:r>
        <w:rPr>
          <w:rFonts w:ascii="仿宋" w:hAnsi="仿宋" w:eastAsia="仿宋"/>
          <w:color w:val="auto"/>
          <w:sz w:val="32"/>
          <w:szCs w:val="32"/>
        </w:rPr>
        <w:t>%</w:t>
      </w:r>
      <w:r>
        <w:rPr>
          <w:rFonts w:hint="eastAsia" w:ascii="仿宋" w:hAnsi="仿宋" w:eastAsia="仿宋"/>
          <w:color w:val="auto"/>
          <w:sz w:val="32"/>
          <w:szCs w:val="32"/>
        </w:rPr>
        <w:t>，主要是因为厉行节约压缩</w:t>
      </w:r>
      <w:r>
        <w:rPr>
          <w:rFonts w:hint="eastAsia" w:ascii="仿宋" w:hAnsi="仿宋" w:eastAsia="仿宋"/>
          <w:color w:val="auto"/>
          <w:sz w:val="32"/>
          <w:szCs w:val="32"/>
        </w:rPr>
        <w:t>一般性支出</w:t>
      </w:r>
      <w:r>
        <w:rPr>
          <w:rFonts w:hint="eastAsia" w:ascii="仿宋" w:hAnsi="仿宋" w:eastAsia="仿宋"/>
          <w:color w:val="auto"/>
          <w:sz w:val="32"/>
          <w:szCs w:val="32"/>
        </w:rPr>
        <w:t>及项目经费减少所致。</w:t>
      </w:r>
    </w:p>
    <w:p>
      <w:pPr>
        <w:pStyle w:val="14"/>
        <w:spacing w:line="600" w:lineRule="exact"/>
        <w:ind w:firstLine="640" w:firstLineChars="200"/>
        <w:rPr>
          <w:rFonts w:hAnsi="黑体"/>
          <w:bCs/>
          <w:color w:val="auto"/>
          <w:sz w:val="32"/>
          <w:szCs w:val="32"/>
        </w:rPr>
      </w:pPr>
      <w:r>
        <w:rPr>
          <w:rFonts w:hint="eastAsia" w:hAnsi="黑体"/>
          <w:bCs/>
          <w:color w:val="auto"/>
          <w:sz w:val="32"/>
          <w:szCs w:val="32"/>
        </w:rPr>
        <w:t>五、一般公共预算财政拨款支出决算情况说明</w:t>
      </w:r>
    </w:p>
    <w:p>
      <w:pPr>
        <w:pStyle w:val="14"/>
        <w:spacing w:line="600" w:lineRule="exact"/>
        <w:ind w:firstLine="640" w:firstLineChars="200"/>
        <w:rPr>
          <w:rFonts w:ascii="楷体" w:hAnsi="楷体" w:eastAsia="楷体" w:cs="楷体"/>
          <w:bCs/>
          <w:color w:val="auto"/>
          <w:sz w:val="32"/>
          <w:szCs w:val="32"/>
        </w:rPr>
      </w:pPr>
      <w:r>
        <w:rPr>
          <w:rFonts w:hint="eastAsia" w:ascii="楷体" w:hAnsi="楷体" w:eastAsia="楷体" w:cs="楷体"/>
          <w:bCs/>
          <w:color w:val="auto"/>
          <w:sz w:val="32"/>
          <w:szCs w:val="32"/>
        </w:rPr>
        <w:t>（一）一般公共预算财政拨款支出决算总体情况</w:t>
      </w:r>
    </w:p>
    <w:p>
      <w:pPr>
        <w:pStyle w:val="14"/>
        <w:spacing w:line="600" w:lineRule="exact"/>
        <w:ind w:firstLine="800" w:firstLineChars="250"/>
        <w:rPr>
          <w:rFonts w:ascii="Times New Roman" w:hAnsi="Times New Roman" w:eastAsia="仿宋"/>
          <w:color w:val="auto"/>
          <w:sz w:val="32"/>
          <w:szCs w:val="32"/>
        </w:rPr>
      </w:pPr>
      <w:r>
        <w:rPr>
          <w:rFonts w:hint="eastAsia" w:ascii="Times New Roman" w:hAnsi="Times New Roman" w:eastAsia="仿宋_GB2312"/>
          <w:color w:val="auto"/>
          <w:sz w:val="32"/>
          <w:szCs w:val="32"/>
        </w:rPr>
        <w:t>2023年度财政拨款支出760.27万元，占本年支出合计的55.93%，与上年相比，财政拨款支出</w:t>
      </w:r>
      <w:r>
        <w:rPr>
          <w:rFonts w:hint="eastAsia" w:ascii="仿宋" w:hAnsi="仿宋" w:eastAsia="仿宋"/>
          <w:color w:val="auto"/>
          <w:sz w:val="32"/>
          <w:szCs w:val="32"/>
        </w:rPr>
        <w:t>减少186.04万元</w:t>
      </w:r>
      <w:r>
        <w:rPr>
          <w:rFonts w:ascii="仿宋" w:hAnsi="仿宋" w:eastAsia="仿宋"/>
          <w:color w:val="auto"/>
          <w:sz w:val="32"/>
          <w:szCs w:val="32"/>
        </w:rPr>
        <w:t>,</w:t>
      </w:r>
      <w:r>
        <w:rPr>
          <w:rFonts w:hint="eastAsia" w:ascii="仿宋" w:hAnsi="仿宋" w:eastAsia="仿宋"/>
          <w:color w:val="auto"/>
          <w:sz w:val="32"/>
          <w:szCs w:val="32"/>
        </w:rPr>
        <w:t>减少19.66</w:t>
      </w:r>
      <w:r>
        <w:rPr>
          <w:rFonts w:ascii="仿宋" w:hAnsi="仿宋" w:eastAsia="仿宋"/>
          <w:color w:val="auto"/>
          <w:sz w:val="32"/>
          <w:szCs w:val="32"/>
        </w:rPr>
        <w:t>%</w:t>
      </w:r>
      <w:r>
        <w:rPr>
          <w:rFonts w:hint="eastAsia" w:ascii="仿宋" w:hAnsi="仿宋" w:eastAsia="仿宋"/>
          <w:color w:val="auto"/>
          <w:sz w:val="32"/>
          <w:szCs w:val="32"/>
        </w:rPr>
        <w:t>，主要是因为厉行节约压缩</w:t>
      </w:r>
      <w:r>
        <w:rPr>
          <w:rFonts w:hint="eastAsia" w:ascii="仿宋" w:hAnsi="仿宋" w:eastAsia="仿宋"/>
          <w:color w:val="auto"/>
          <w:sz w:val="32"/>
          <w:szCs w:val="32"/>
        </w:rPr>
        <w:t>一般性</w:t>
      </w:r>
      <w:r>
        <w:rPr>
          <w:rFonts w:hint="eastAsia" w:ascii="仿宋" w:hAnsi="仿宋" w:eastAsia="仿宋"/>
          <w:color w:val="auto"/>
          <w:sz w:val="32"/>
          <w:szCs w:val="32"/>
        </w:rPr>
        <w:t>支出及项目经费减少所致。</w:t>
      </w:r>
    </w:p>
    <w:p>
      <w:pPr>
        <w:pStyle w:val="14"/>
        <w:spacing w:line="600" w:lineRule="exact"/>
        <w:ind w:firstLine="480" w:firstLineChars="150"/>
        <w:rPr>
          <w:rFonts w:ascii="楷体" w:hAnsi="楷体" w:eastAsia="楷体" w:cs="楷体"/>
          <w:bCs/>
          <w:color w:val="auto"/>
          <w:sz w:val="32"/>
          <w:szCs w:val="32"/>
        </w:rPr>
      </w:pPr>
      <w:r>
        <w:rPr>
          <w:rFonts w:hint="eastAsia" w:ascii="楷体" w:hAnsi="楷体" w:eastAsia="楷体" w:cs="楷体"/>
          <w:bCs/>
          <w:color w:val="auto"/>
          <w:sz w:val="32"/>
          <w:szCs w:val="32"/>
        </w:rPr>
        <w:t>（二）一般公共预算财政拨款支出决算结构情况</w:t>
      </w:r>
    </w:p>
    <w:p>
      <w:pPr>
        <w:pStyle w:val="14"/>
        <w:ind w:firstLine="640" w:firstLineChars="200"/>
        <w:rPr>
          <w:rFonts w:ascii="仿宋" w:hAnsi="仿宋" w:eastAsia="仿宋"/>
          <w:color w:val="auto"/>
          <w:sz w:val="32"/>
          <w:szCs w:val="32"/>
        </w:rPr>
      </w:pPr>
      <w:r>
        <w:rPr>
          <w:rFonts w:hint="eastAsia" w:ascii="Times New Roman" w:hAnsi="Times New Roman" w:eastAsia="仿宋_GB2312"/>
          <w:color w:val="auto"/>
          <w:sz w:val="32"/>
          <w:szCs w:val="32"/>
        </w:rPr>
        <w:t>2023年度财政拨款支出760.27万元，主要用于以下方面：</w:t>
      </w:r>
      <w:r>
        <w:rPr>
          <w:rFonts w:hint="eastAsia" w:ascii="仿宋" w:hAnsi="仿宋" w:eastAsia="仿宋"/>
          <w:color w:val="auto"/>
          <w:sz w:val="32"/>
          <w:szCs w:val="32"/>
        </w:rPr>
        <w:t>一般公共服务（类）支出130.11万元，占17.11</w:t>
      </w:r>
      <w:r>
        <w:rPr>
          <w:rFonts w:ascii="仿宋" w:hAnsi="仿宋" w:eastAsia="仿宋"/>
          <w:color w:val="auto"/>
          <w:sz w:val="32"/>
          <w:szCs w:val="32"/>
        </w:rPr>
        <w:t>%</w:t>
      </w:r>
      <w:r>
        <w:rPr>
          <w:rFonts w:hint="eastAsia" w:ascii="仿宋" w:hAnsi="仿宋" w:eastAsia="仿宋"/>
          <w:color w:val="auto"/>
          <w:sz w:val="32"/>
          <w:szCs w:val="32"/>
        </w:rPr>
        <w:t>；社会保障和就业</w:t>
      </w:r>
      <w:r>
        <w:rPr>
          <w:rFonts w:ascii="仿宋" w:hAnsi="仿宋" w:eastAsia="仿宋"/>
          <w:color w:val="auto"/>
          <w:sz w:val="32"/>
          <w:szCs w:val="32"/>
        </w:rPr>
        <w:t>(</w:t>
      </w:r>
      <w:r>
        <w:rPr>
          <w:rFonts w:hint="eastAsia" w:ascii="仿宋" w:hAnsi="仿宋" w:eastAsia="仿宋"/>
          <w:color w:val="auto"/>
          <w:sz w:val="32"/>
          <w:szCs w:val="32"/>
        </w:rPr>
        <w:t>类</w:t>
      </w:r>
      <w:r>
        <w:rPr>
          <w:rFonts w:ascii="仿宋" w:hAnsi="仿宋" w:eastAsia="仿宋"/>
          <w:color w:val="auto"/>
          <w:sz w:val="32"/>
          <w:szCs w:val="32"/>
        </w:rPr>
        <w:t>)</w:t>
      </w:r>
      <w:r>
        <w:rPr>
          <w:rFonts w:hint="eastAsia" w:ascii="仿宋" w:hAnsi="仿宋" w:eastAsia="仿宋"/>
          <w:color w:val="auto"/>
          <w:sz w:val="32"/>
          <w:szCs w:val="32"/>
        </w:rPr>
        <w:t>支出29.92万元，占3.94</w:t>
      </w:r>
      <w:r>
        <w:rPr>
          <w:rFonts w:ascii="仿宋" w:hAnsi="仿宋" w:eastAsia="仿宋"/>
          <w:color w:val="auto"/>
          <w:sz w:val="32"/>
          <w:szCs w:val="32"/>
        </w:rPr>
        <w:t>%;</w:t>
      </w:r>
      <w:r>
        <w:rPr>
          <w:rFonts w:hint="eastAsia" w:ascii="仿宋" w:hAnsi="仿宋" w:eastAsia="仿宋"/>
          <w:color w:val="auto"/>
          <w:sz w:val="32"/>
          <w:szCs w:val="32"/>
        </w:rPr>
        <w:t>农林水（类）支出569.31万元，占74.88</w:t>
      </w:r>
      <w:r>
        <w:rPr>
          <w:rFonts w:ascii="仿宋" w:hAnsi="仿宋" w:eastAsia="仿宋"/>
          <w:color w:val="auto"/>
          <w:sz w:val="32"/>
          <w:szCs w:val="32"/>
        </w:rPr>
        <w:t>%</w:t>
      </w:r>
      <w:r>
        <w:rPr>
          <w:rFonts w:hint="eastAsia" w:ascii="仿宋" w:hAnsi="仿宋" w:eastAsia="仿宋"/>
          <w:color w:val="auto"/>
          <w:sz w:val="32"/>
          <w:szCs w:val="32"/>
        </w:rPr>
        <w:t>；住房保障（类）支出30.94万元，占4.07</w:t>
      </w:r>
      <w:r>
        <w:rPr>
          <w:rFonts w:ascii="仿宋" w:hAnsi="仿宋" w:eastAsia="仿宋"/>
          <w:color w:val="auto"/>
          <w:sz w:val="32"/>
          <w:szCs w:val="32"/>
        </w:rPr>
        <w:t>%</w:t>
      </w:r>
      <w:r>
        <w:rPr>
          <w:rFonts w:hint="eastAsia" w:ascii="仿宋" w:hAnsi="仿宋" w:eastAsia="仿宋"/>
          <w:color w:val="auto"/>
          <w:sz w:val="32"/>
          <w:szCs w:val="32"/>
        </w:rPr>
        <w:t>。</w:t>
      </w:r>
    </w:p>
    <w:p>
      <w:pPr>
        <w:pStyle w:val="14"/>
        <w:spacing w:line="600" w:lineRule="exact"/>
        <w:ind w:firstLine="800" w:firstLineChars="250"/>
        <w:rPr>
          <w:rFonts w:ascii="楷体" w:hAnsi="楷体" w:eastAsia="楷体" w:cs="楷体"/>
          <w:bCs/>
          <w:color w:val="auto"/>
          <w:sz w:val="32"/>
          <w:szCs w:val="32"/>
        </w:rPr>
      </w:pPr>
      <w:r>
        <w:rPr>
          <w:rFonts w:hint="eastAsia" w:ascii="楷体" w:hAnsi="楷体" w:eastAsia="楷体" w:cs="楷体"/>
          <w:bCs/>
          <w:color w:val="auto"/>
          <w:sz w:val="32"/>
          <w:szCs w:val="32"/>
        </w:rPr>
        <w:t>（三）一般公共预算财政拨款支出决算具体情况</w:t>
      </w:r>
    </w:p>
    <w:p>
      <w:pPr>
        <w:pStyle w:val="14"/>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2023年度财政拨款支出年初预算数为620.35万元，支出决算数为760.27万元，完成年初预算的122.56%，其中：</w:t>
      </w:r>
    </w:p>
    <w:p>
      <w:pPr>
        <w:pStyle w:val="14"/>
        <w:ind w:firstLine="800" w:firstLineChars="250"/>
        <w:rPr>
          <w:rFonts w:ascii="仿宋" w:hAnsi="仿宋" w:eastAsia="仿宋"/>
          <w:color w:val="auto"/>
          <w:sz w:val="32"/>
          <w:szCs w:val="32"/>
        </w:rPr>
      </w:pPr>
      <w:r>
        <w:rPr>
          <w:rFonts w:ascii="仿宋" w:hAnsi="仿宋" w:eastAsia="仿宋"/>
          <w:color w:val="auto"/>
          <w:sz w:val="32"/>
          <w:szCs w:val="32"/>
        </w:rPr>
        <w:t>1</w:t>
      </w:r>
      <w:r>
        <w:rPr>
          <w:rFonts w:hint="eastAsia" w:ascii="仿宋" w:hAnsi="仿宋" w:eastAsia="仿宋"/>
          <w:color w:val="auto"/>
          <w:sz w:val="32"/>
          <w:szCs w:val="32"/>
        </w:rPr>
        <w:t>、一般公共服务（类）财政事务（款）其他财政事务支出（项）。</w:t>
      </w:r>
    </w:p>
    <w:p>
      <w:pPr>
        <w:pStyle w:val="14"/>
        <w:ind w:firstLine="800" w:firstLineChars="250"/>
        <w:rPr>
          <w:rFonts w:ascii="仿宋" w:hAnsi="仿宋" w:eastAsia="仿宋"/>
          <w:color w:val="auto"/>
          <w:sz w:val="32"/>
          <w:szCs w:val="32"/>
        </w:rPr>
      </w:pPr>
      <w:r>
        <w:rPr>
          <w:rFonts w:hint="eastAsia" w:ascii="仿宋" w:hAnsi="仿宋" w:eastAsia="仿宋"/>
          <w:color w:val="auto"/>
          <w:sz w:val="32"/>
          <w:szCs w:val="32"/>
        </w:rPr>
        <w:t>年初预算为43.34万元，支出决算为130.11万元，完成年初预算的271.93</w:t>
      </w:r>
      <w:r>
        <w:rPr>
          <w:rFonts w:ascii="仿宋" w:hAnsi="仿宋" w:eastAsia="仿宋"/>
          <w:color w:val="auto"/>
          <w:sz w:val="32"/>
          <w:szCs w:val="32"/>
        </w:rPr>
        <w:t>%</w:t>
      </w:r>
      <w:r>
        <w:rPr>
          <w:rFonts w:hint="eastAsia" w:ascii="仿宋" w:hAnsi="仿宋" w:eastAsia="仿宋"/>
          <w:color w:val="auto"/>
          <w:sz w:val="32"/>
          <w:szCs w:val="32"/>
        </w:rPr>
        <w:t>。决算数大于年初预算数的主要原因是：年中追加国外贷款项目配套资金。</w:t>
      </w:r>
    </w:p>
    <w:p>
      <w:pPr>
        <w:pStyle w:val="14"/>
        <w:ind w:firstLine="800" w:firstLineChars="250"/>
        <w:rPr>
          <w:rFonts w:ascii="仿宋" w:hAnsi="仿宋" w:eastAsia="仿宋"/>
          <w:color w:val="auto"/>
          <w:sz w:val="32"/>
          <w:szCs w:val="32"/>
        </w:rPr>
      </w:pPr>
      <w:r>
        <w:rPr>
          <w:rFonts w:ascii="仿宋" w:hAnsi="仿宋" w:eastAsia="仿宋"/>
          <w:color w:val="auto"/>
          <w:sz w:val="32"/>
          <w:szCs w:val="32"/>
        </w:rPr>
        <w:t>2</w:t>
      </w:r>
      <w:r>
        <w:rPr>
          <w:rFonts w:hint="eastAsia" w:ascii="仿宋" w:hAnsi="仿宋" w:eastAsia="仿宋"/>
          <w:color w:val="auto"/>
          <w:sz w:val="32"/>
          <w:szCs w:val="32"/>
        </w:rPr>
        <w:t>、社会保障和就业支出（类）行政事业单位养老支出（款）机关事业单位基本养老保险缴费支出（项）。</w:t>
      </w:r>
    </w:p>
    <w:p>
      <w:pPr>
        <w:pStyle w:val="14"/>
        <w:ind w:firstLine="800" w:firstLineChars="250"/>
        <w:rPr>
          <w:rFonts w:ascii="仿宋" w:hAnsi="仿宋" w:eastAsia="仿宋"/>
          <w:color w:val="auto"/>
          <w:sz w:val="32"/>
          <w:szCs w:val="32"/>
        </w:rPr>
      </w:pPr>
      <w:r>
        <w:rPr>
          <w:rFonts w:hint="eastAsia" w:ascii="仿宋" w:hAnsi="仿宋" w:eastAsia="仿宋"/>
          <w:color w:val="auto"/>
          <w:sz w:val="32"/>
          <w:szCs w:val="32"/>
        </w:rPr>
        <w:t>年初预算为29.85万元，支出决算为29.92万元，完成年初预算的100.23</w:t>
      </w:r>
      <w:r>
        <w:rPr>
          <w:rFonts w:ascii="仿宋" w:hAnsi="仿宋" w:eastAsia="仿宋"/>
          <w:color w:val="auto"/>
          <w:sz w:val="32"/>
          <w:szCs w:val="32"/>
        </w:rPr>
        <w:t>%</w:t>
      </w:r>
      <w:r>
        <w:rPr>
          <w:rFonts w:hint="eastAsia" w:ascii="仿宋" w:hAnsi="仿宋" w:eastAsia="仿宋"/>
          <w:color w:val="auto"/>
          <w:sz w:val="32"/>
          <w:szCs w:val="32"/>
        </w:rPr>
        <w:t>，决算数大于年初预算数的主要原因是：年中指标有调整。</w:t>
      </w:r>
    </w:p>
    <w:p>
      <w:pPr>
        <w:pStyle w:val="14"/>
        <w:ind w:firstLine="800" w:firstLineChars="250"/>
        <w:rPr>
          <w:rFonts w:ascii="仿宋" w:hAnsi="仿宋" w:eastAsia="仿宋"/>
          <w:color w:val="auto"/>
          <w:sz w:val="32"/>
          <w:szCs w:val="32"/>
        </w:rPr>
      </w:pPr>
      <w:r>
        <w:rPr>
          <w:rFonts w:hint="eastAsia" w:ascii="仿宋" w:hAnsi="仿宋" w:eastAsia="仿宋"/>
          <w:color w:val="auto"/>
          <w:sz w:val="32"/>
          <w:szCs w:val="32"/>
        </w:rPr>
        <w:t>3、农林水支出（类）农业农村（款）行政运行（项）。</w:t>
      </w:r>
    </w:p>
    <w:p>
      <w:pPr>
        <w:pStyle w:val="14"/>
        <w:ind w:firstLine="800" w:firstLineChars="250"/>
        <w:rPr>
          <w:rFonts w:ascii="仿宋" w:hAnsi="仿宋" w:eastAsia="仿宋"/>
          <w:color w:val="auto"/>
          <w:sz w:val="32"/>
          <w:szCs w:val="32"/>
        </w:rPr>
      </w:pPr>
      <w:r>
        <w:rPr>
          <w:rFonts w:hint="eastAsia" w:ascii="仿宋" w:hAnsi="仿宋" w:eastAsia="仿宋"/>
          <w:color w:val="auto"/>
          <w:sz w:val="32"/>
          <w:szCs w:val="32"/>
        </w:rPr>
        <w:t>年初预算为0万元，支出决算为64.63万元，决算数大于年初预算数的主要原因是：年中追加人员费用。</w:t>
      </w:r>
    </w:p>
    <w:p>
      <w:pPr>
        <w:pStyle w:val="14"/>
        <w:ind w:firstLine="800" w:firstLineChars="250"/>
        <w:rPr>
          <w:rFonts w:ascii="仿宋" w:hAnsi="仿宋" w:eastAsia="仿宋"/>
          <w:color w:val="auto"/>
          <w:sz w:val="32"/>
          <w:szCs w:val="32"/>
        </w:rPr>
      </w:pPr>
      <w:r>
        <w:rPr>
          <w:rFonts w:hint="eastAsia" w:ascii="仿宋" w:hAnsi="仿宋" w:eastAsia="仿宋"/>
          <w:color w:val="auto"/>
          <w:sz w:val="32"/>
          <w:szCs w:val="32"/>
        </w:rPr>
        <w:t>4、农林水支出（类）农业农村（款）事业运行（项）。</w:t>
      </w:r>
    </w:p>
    <w:p>
      <w:pPr>
        <w:pStyle w:val="14"/>
        <w:ind w:firstLine="800" w:firstLineChars="250"/>
        <w:rPr>
          <w:rFonts w:ascii="仿宋" w:hAnsi="仿宋" w:eastAsia="仿宋"/>
          <w:color w:val="auto"/>
          <w:sz w:val="32"/>
          <w:szCs w:val="32"/>
        </w:rPr>
      </w:pPr>
      <w:r>
        <w:rPr>
          <w:rFonts w:hint="eastAsia" w:ascii="仿宋" w:hAnsi="仿宋" w:eastAsia="仿宋"/>
          <w:color w:val="auto"/>
          <w:sz w:val="32"/>
          <w:szCs w:val="32"/>
        </w:rPr>
        <w:t>年初预算为388.82万元，支出决算为378.79万元，完成年初预算的97.42</w:t>
      </w:r>
      <w:r>
        <w:rPr>
          <w:rFonts w:ascii="仿宋" w:hAnsi="仿宋" w:eastAsia="仿宋"/>
          <w:color w:val="auto"/>
          <w:sz w:val="32"/>
          <w:szCs w:val="32"/>
        </w:rPr>
        <w:t>%</w:t>
      </w:r>
      <w:r>
        <w:rPr>
          <w:rFonts w:hint="eastAsia" w:ascii="仿宋" w:hAnsi="仿宋" w:eastAsia="仿宋"/>
          <w:color w:val="auto"/>
          <w:sz w:val="32"/>
          <w:szCs w:val="32"/>
        </w:rPr>
        <w:t>，决算数小于年初预算数的主要原因是：公务接待费等费用年末有结余。</w:t>
      </w:r>
    </w:p>
    <w:p>
      <w:pPr>
        <w:pStyle w:val="14"/>
        <w:ind w:firstLine="800" w:firstLineChars="250"/>
        <w:rPr>
          <w:rFonts w:ascii="仿宋" w:hAnsi="仿宋" w:eastAsia="仿宋"/>
          <w:color w:val="auto"/>
          <w:sz w:val="32"/>
          <w:szCs w:val="32"/>
        </w:rPr>
      </w:pPr>
      <w:r>
        <w:rPr>
          <w:rFonts w:hint="eastAsia" w:ascii="仿宋" w:hAnsi="仿宋" w:eastAsia="仿宋"/>
          <w:color w:val="auto"/>
          <w:sz w:val="32"/>
          <w:szCs w:val="32"/>
        </w:rPr>
        <w:t>5、农林水支出（类）农业农村（款）对外交流与合作（项）。</w:t>
      </w:r>
    </w:p>
    <w:p>
      <w:pPr>
        <w:pStyle w:val="14"/>
        <w:ind w:firstLine="800" w:firstLineChars="250"/>
        <w:rPr>
          <w:rFonts w:ascii="仿宋" w:hAnsi="仿宋" w:eastAsia="仿宋"/>
          <w:color w:val="auto"/>
          <w:sz w:val="32"/>
          <w:szCs w:val="32"/>
        </w:rPr>
      </w:pPr>
      <w:r>
        <w:rPr>
          <w:rFonts w:hint="eastAsia" w:ascii="仿宋" w:hAnsi="仿宋" w:eastAsia="仿宋"/>
          <w:color w:val="auto"/>
          <w:sz w:val="32"/>
          <w:szCs w:val="32"/>
        </w:rPr>
        <w:t>年初预算为119.40万元，支出决算为120.00万元，完成年初预算的100.50</w:t>
      </w:r>
      <w:r>
        <w:rPr>
          <w:rFonts w:ascii="仿宋" w:hAnsi="仿宋" w:eastAsia="仿宋"/>
          <w:color w:val="auto"/>
          <w:sz w:val="32"/>
          <w:szCs w:val="32"/>
        </w:rPr>
        <w:t>%</w:t>
      </w:r>
      <w:r>
        <w:rPr>
          <w:rFonts w:hint="eastAsia" w:ascii="仿宋" w:hAnsi="仿宋" w:eastAsia="仿宋"/>
          <w:color w:val="auto"/>
          <w:sz w:val="32"/>
          <w:szCs w:val="32"/>
        </w:rPr>
        <w:t xml:space="preserve">，决算数大于年初预算数的主要原因是：资金来源于上年结转结余。              </w:t>
      </w:r>
    </w:p>
    <w:p>
      <w:pPr>
        <w:pStyle w:val="14"/>
        <w:ind w:firstLine="640" w:firstLineChars="200"/>
        <w:rPr>
          <w:rFonts w:ascii="仿宋" w:hAnsi="仿宋" w:eastAsia="仿宋"/>
          <w:color w:val="auto"/>
          <w:sz w:val="32"/>
          <w:szCs w:val="32"/>
        </w:rPr>
      </w:pPr>
      <w:r>
        <w:rPr>
          <w:rFonts w:hint="eastAsia" w:ascii="仿宋" w:hAnsi="仿宋" w:eastAsia="仿宋"/>
          <w:color w:val="auto"/>
          <w:sz w:val="32"/>
          <w:szCs w:val="32"/>
        </w:rPr>
        <w:t>6、农林水支出（类）农业农村（款）农业生产发展（项）。</w:t>
      </w:r>
    </w:p>
    <w:p>
      <w:pPr>
        <w:pStyle w:val="14"/>
        <w:ind w:firstLine="640" w:firstLineChars="200"/>
        <w:rPr>
          <w:rFonts w:ascii="仿宋" w:hAnsi="仿宋" w:eastAsia="仿宋"/>
          <w:color w:val="auto"/>
          <w:sz w:val="32"/>
          <w:szCs w:val="32"/>
        </w:rPr>
      </w:pPr>
      <w:r>
        <w:rPr>
          <w:rFonts w:hint="eastAsia" w:ascii="仿宋" w:hAnsi="仿宋" w:eastAsia="仿宋"/>
          <w:color w:val="auto"/>
          <w:sz w:val="32"/>
          <w:szCs w:val="32"/>
        </w:rPr>
        <w:t>年初预算为8.82万元，支出决算为5.89万元，完成年初预算的66.78</w:t>
      </w:r>
      <w:r>
        <w:rPr>
          <w:rFonts w:ascii="仿宋" w:hAnsi="仿宋" w:eastAsia="仿宋"/>
          <w:color w:val="auto"/>
          <w:sz w:val="32"/>
          <w:szCs w:val="32"/>
        </w:rPr>
        <w:t>%</w:t>
      </w:r>
      <w:r>
        <w:rPr>
          <w:rFonts w:hint="eastAsia" w:ascii="仿宋" w:hAnsi="仿宋" w:eastAsia="仿宋"/>
          <w:color w:val="auto"/>
          <w:sz w:val="32"/>
          <w:szCs w:val="32"/>
        </w:rPr>
        <w:t>，决算数小于年初预算数的主要原因是：部分项目跨年实施。</w:t>
      </w:r>
    </w:p>
    <w:p>
      <w:pPr>
        <w:pStyle w:val="14"/>
        <w:ind w:firstLine="640" w:firstLineChars="200"/>
        <w:rPr>
          <w:rFonts w:ascii="仿宋" w:hAnsi="仿宋" w:eastAsia="仿宋"/>
          <w:color w:val="auto"/>
          <w:sz w:val="32"/>
          <w:szCs w:val="32"/>
        </w:rPr>
      </w:pPr>
      <w:r>
        <w:rPr>
          <w:rFonts w:hint="eastAsia" w:ascii="仿宋" w:hAnsi="仿宋" w:eastAsia="仿宋"/>
          <w:color w:val="auto"/>
          <w:sz w:val="32"/>
          <w:szCs w:val="32"/>
        </w:rPr>
        <w:t>7、住房保障支出（类）住房改革支出（款）住房公积金（项）。</w:t>
      </w:r>
    </w:p>
    <w:p>
      <w:pPr>
        <w:pStyle w:val="14"/>
        <w:ind w:firstLine="640" w:firstLineChars="200"/>
        <w:rPr>
          <w:rFonts w:ascii="仿宋" w:hAnsi="仿宋" w:eastAsia="仿宋"/>
          <w:color w:val="auto"/>
          <w:sz w:val="32"/>
          <w:szCs w:val="32"/>
        </w:rPr>
      </w:pPr>
      <w:r>
        <w:rPr>
          <w:rFonts w:hint="eastAsia" w:ascii="仿宋" w:hAnsi="仿宋" w:eastAsia="仿宋"/>
          <w:color w:val="auto"/>
          <w:sz w:val="32"/>
          <w:szCs w:val="32"/>
        </w:rPr>
        <w:t>年初预算为30.12万元，支出决算为</w:t>
      </w:r>
      <w:r>
        <w:rPr>
          <w:rFonts w:ascii="仿宋" w:hAnsi="仿宋" w:eastAsia="仿宋"/>
          <w:color w:val="auto"/>
          <w:sz w:val="32"/>
          <w:szCs w:val="32"/>
        </w:rPr>
        <w:t>3</w:t>
      </w:r>
      <w:r>
        <w:rPr>
          <w:rFonts w:hint="eastAsia" w:ascii="仿宋" w:hAnsi="仿宋" w:eastAsia="仿宋"/>
          <w:color w:val="auto"/>
          <w:sz w:val="32"/>
          <w:szCs w:val="32"/>
        </w:rPr>
        <w:t>0.94万元，完成年初预算的102.72</w:t>
      </w:r>
      <w:r>
        <w:rPr>
          <w:rFonts w:ascii="仿宋" w:hAnsi="仿宋" w:eastAsia="仿宋"/>
          <w:color w:val="auto"/>
          <w:sz w:val="32"/>
          <w:szCs w:val="32"/>
        </w:rPr>
        <w:t>%</w:t>
      </w:r>
      <w:r>
        <w:rPr>
          <w:rFonts w:hint="eastAsia" w:ascii="仿宋" w:hAnsi="仿宋" w:eastAsia="仿宋"/>
          <w:color w:val="auto"/>
          <w:sz w:val="32"/>
          <w:szCs w:val="32"/>
        </w:rPr>
        <w:t>，决算数大于年初预算数的主要原因是：年中指标有调整。</w:t>
      </w:r>
      <w:r>
        <w:rPr>
          <w:rFonts w:ascii="仿宋" w:hAnsi="仿宋" w:eastAsia="仿宋"/>
          <w:color w:val="auto"/>
          <w:sz w:val="32"/>
          <w:szCs w:val="32"/>
        </w:rPr>
        <w:t xml:space="preserve"> </w:t>
      </w:r>
    </w:p>
    <w:p>
      <w:pPr>
        <w:pStyle w:val="14"/>
        <w:spacing w:line="600" w:lineRule="exact"/>
        <w:ind w:firstLine="640" w:firstLineChars="200"/>
        <w:rPr>
          <w:rFonts w:hAnsi="黑体"/>
          <w:bCs/>
          <w:color w:val="auto"/>
          <w:sz w:val="32"/>
          <w:szCs w:val="32"/>
        </w:rPr>
      </w:pPr>
      <w:r>
        <w:rPr>
          <w:rFonts w:hint="eastAsia" w:hAnsi="黑体"/>
          <w:bCs/>
          <w:color w:val="auto"/>
          <w:sz w:val="32"/>
          <w:szCs w:val="32"/>
        </w:rPr>
        <w:t>六、一般公共预算财政拨款基本支出决算情况说明</w:t>
      </w:r>
    </w:p>
    <w:p>
      <w:pPr>
        <w:pStyle w:val="14"/>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2023年度财政拨款基本支出504.28万元，其中：</w:t>
      </w:r>
    </w:p>
    <w:p>
      <w:pPr>
        <w:pStyle w:val="14"/>
        <w:ind w:firstLine="640" w:firstLineChars="200"/>
        <w:rPr>
          <w:rFonts w:ascii="仿宋" w:hAnsi="仿宋" w:eastAsia="仿宋"/>
          <w:color w:val="auto"/>
          <w:sz w:val="32"/>
          <w:szCs w:val="32"/>
        </w:rPr>
      </w:pPr>
      <w:r>
        <w:rPr>
          <w:rFonts w:hint="eastAsia" w:ascii="仿宋" w:hAnsi="仿宋" w:eastAsia="仿宋"/>
          <w:color w:val="auto"/>
          <w:sz w:val="32"/>
          <w:szCs w:val="32"/>
        </w:rPr>
        <w:t>人员经费455.47万元，占基本支出的90.32</w:t>
      </w:r>
      <w:r>
        <w:rPr>
          <w:rFonts w:ascii="仿宋" w:hAnsi="仿宋" w:eastAsia="仿宋"/>
          <w:color w:val="auto"/>
          <w:sz w:val="32"/>
          <w:szCs w:val="32"/>
        </w:rPr>
        <w:t>%,</w:t>
      </w:r>
      <w:r>
        <w:rPr>
          <w:rFonts w:hint="eastAsia" w:ascii="仿宋" w:hAnsi="仿宋" w:eastAsia="仿宋"/>
          <w:color w:val="auto"/>
          <w:sz w:val="32"/>
          <w:szCs w:val="32"/>
        </w:rPr>
        <w:t>主要包括基本工资、津贴补贴、绩效工资、伙食补助费、住房公积金、退休费、奖励金等；</w:t>
      </w:r>
    </w:p>
    <w:p>
      <w:pPr>
        <w:pStyle w:val="14"/>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公用经费48.80万元，占基本支出的9.68</w:t>
      </w:r>
      <w:r>
        <w:rPr>
          <w:rFonts w:ascii="仿宋" w:hAnsi="仿宋" w:eastAsia="仿宋"/>
          <w:color w:val="auto"/>
          <w:sz w:val="32"/>
          <w:szCs w:val="32"/>
        </w:rPr>
        <w:t>%</w:t>
      </w:r>
      <w:r>
        <w:rPr>
          <w:rFonts w:hint="eastAsia" w:ascii="仿宋" w:hAnsi="仿宋" w:eastAsia="仿宋"/>
          <w:color w:val="auto"/>
          <w:sz w:val="32"/>
          <w:szCs w:val="32"/>
        </w:rPr>
        <w:t>，主要包括办公费、印刷费、邮电费、差旅费、物业管理费、劳务费、其他交通费用等。</w:t>
      </w:r>
    </w:p>
    <w:p>
      <w:pPr>
        <w:pStyle w:val="14"/>
        <w:numPr>
          <w:ilvl w:val="0"/>
          <w:numId w:val="2"/>
        </w:numPr>
        <w:spacing w:line="600" w:lineRule="exact"/>
        <w:ind w:firstLine="640" w:firstLineChars="200"/>
        <w:rPr>
          <w:rFonts w:hAnsi="黑体"/>
          <w:bCs/>
          <w:color w:val="auto"/>
          <w:sz w:val="32"/>
          <w:szCs w:val="32"/>
        </w:rPr>
      </w:pPr>
      <w:r>
        <w:rPr>
          <w:rFonts w:hint="eastAsia" w:hAnsi="黑体"/>
          <w:bCs/>
          <w:color w:val="auto"/>
          <w:sz w:val="32"/>
          <w:szCs w:val="32"/>
        </w:rPr>
        <w:t>财政拨款三公经费支出决算情况说明</w:t>
      </w:r>
    </w:p>
    <w:p>
      <w:pPr>
        <w:pStyle w:val="14"/>
        <w:spacing w:line="600" w:lineRule="exact"/>
        <w:ind w:firstLine="640" w:firstLineChars="200"/>
        <w:rPr>
          <w:rFonts w:ascii="楷体" w:hAnsi="楷体" w:eastAsia="楷体" w:cs="楷体"/>
          <w:b/>
          <w:color w:val="auto"/>
          <w:sz w:val="32"/>
          <w:szCs w:val="32"/>
        </w:rPr>
      </w:pPr>
      <w:r>
        <w:rPr>
          <w:rFonts w:hint="eastAsia" w:ascii="楷体" w:hAnsi="楷体" w:eastAsia="楷体" w:cs="楷体"/>
          <w:b/>
          <w:color w:val="auto"/>
          <w:sz w:val="32"/>
          <w:szCs w:val="32"/>
        </w:rPr>
        <w:t>（一）“三公”经费财政拨款支出决算总体情况说明</w:t>
      </w:r>
    </w:p>
    <w:p>
      <w:pPr>
        <w:pStyle w:val="14"/>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“三公”经费财政拨款支出预算为19.00万元，支出决算为18.45万元，完成预算的97.11%，决算数小于预算数的主要原因是</w:t>
      </w:r>
      <w:r>
        <w:rPr>
          <w:rFonts w:hint="eastAsia" w:ascii="仿宋" w:hAnsi="仿宋" w:eastAsia="仿宋"/>
          <w:color w:val="auto"/>
          <w:sz w:val="32"/>
          <w:szCs w:val="32"/>
        </w:rPr>
        <w:t>厉行节约，严格在预算范围内控制“三公”经费支出，</w:t>
      </w:r>
      <w:r>
        <w:rPr>
          <w:rFonts w:hint="eastAsia" w:ascii="Times New Roman" w:hAnsi="Times New Roman" w:eastAsia="仿宋_GB2312"/>
          <w:color w:val="auto"/>
          <w:sz w:val="32"/>
          <w:szCs w:val="32"/>
        </w:rPr>
        <w:t>与上年相比增加15.99万元，增长650%,增长的主要原因是上年无因公出国任务，本年因工作需要，增加因公出国费用。其中：</w:t>
      </w:r>
    </w:p>
    <w:p>
      <w:pPr>
        <w:pStyle w:val="14"/>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因公出国（境）费支出预算为15.00万元，支出决算为14.80万元，完成预算的98.67%，决算数小于预算数的主要原因是</w:t>
      </w:r>
      <w:r>
        <w:rPr>
          <w:rFonts w:hint="eastAsia" w:ascii="仿宋" w:hAnsi="仿宋" w:eastAsia="仿宋"/>
          <w:color w:val="auto"/>
          <w:sz w:val="32"/>
          <w:szCs w:val="32"/>
        </w:rPr>
        <w:t>厉行节约，严格在预算范围内控制“三公”经费支出</w:t>
      </w:r>
      <w:r>
        <w:rPr>
          <w:rFonts w:hint="eastAsia" w:ascii="Times New Roman" w:hAnsi="Times New Roman" w:eastAsia="仿宋_GB2312"/>
          <w:color w:val="auto"/>
          <w:sz w:val="32"/>
          <w:szCs w:val="32"/>
        </w:rPr>
        <w:t>，与上年相比增加14.80万元，增长的主要原因是上年无因公出国任务，本年因工作需要，增加因公出国费用。</w:t>
      </w:r>
    </w:p>
    <w:p>
      <w:pPr>
        <w:pStyle w:val="14"/>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公务接待费支出预算为4.00万元，支出决算为3.65万元，完成预算的91.25%，决算数小于预算数的主要原因是</w:t>
      </w:r>
      <w:r>
        <w:rPr>
          <w:rFonts w:hint="eastAsia" w:ascii="仿宋" w:hAnsi="仿宋" w:eastAsia="仿宋"/>
          <w:color w:val="auto"/>
          <w:sz w:val="32"/>
          <w:szCs w:val="32"/>
        </w:rPr>
        <w:t>厉行节约，严格在预算范围内控制“三公”经费支出</w:t>
      </w:r>
      <w:r>
        <w:rPr>
          <w:rFonts w:hint="eastAsia" w:ascii="Times New Roman" w:hAnsi="Times New Roman" w:eastAsia="仿宋_GB2312"/>
          <w:color w:val="auto"/>
          <w:sz w:val="32"/>
          <w:szCs w:val="32"/>
        </w:rPr>
        <w:t>，与上年相比增加1.19万元，增长48.37%，增长的主要原因是本年外事接待11批次，接待批次及人次均较上年增加。</w:t>
      </w:r>
    </w:p>
    <w:p>
      <w:pPr>
        <w:pStyle w:val="14"/>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公务用车购置费支出预算为0万元，支出决算为0万元，与上年相比无增减。</w:t>
      </w:r>
    </w:p>
    <w:p>
      <w:pPr>
        <w:pStyle w:val="14"/>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公务用车运行维护费支出预算为0万元，支出决算为0万元，与上年相比无增减。</w:t>
      </w:r>
    </w:p>
    <w:p>
      <w:pPr>
        <w:pStyle w:val="14"/>
        <w:spacing w:line="600" w:lineRule="exact"/>
        <w:ind w:firstLine="640" w:firstLineChars="200"/>
        <w:rPr>
          <w:rFonts w:ascii="楷体" w:hAnsi="楷体" w:eastAsia="楷体" w:cs="楷体"/>
          <w:b/>
          <w:color w:val="auto"/>
          <w:sz w:val="32"/>
          <w:szCs w:val="32"/>
        </w:rPr>
      </w:pPr>
      <w:r>
        <w:rPr>
          <w:rFonts w:hint="eastAsia" w:ascii="楷体" w:hAnsi="楷体" w:eastAsia="楷体" w:cs="楷体"/>
          <w:b/>
          <w:color w:val="auto"/>
          <w:sz w:val="32"/>
          <w:szCs w:val="32"/>
        </w:rPr>
        <w:t>（二）“三公”经费财政拨款支出决算具体情况说明</w:t>
      </w:r>
    </w:p>
    <w:p>
      <w:pPr>
        <w:pStyle w:val="14"/>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2023年度“三公”经费财政拨款支出决算中，公务接待费支出决算3.65万元，占19.78%,因公出国（境）费支出决算14.80万元，占80.22%,公务用车购置费及运行维护费支出决算0万元，占0%。其中：</w:t>
      </w:r>
    </w:p>
    <w:p>
      <w:pPr>
        <w:pStyle w:val="14"/>
        <w:spacing w:line="600" w:lineRule="exact"/>
        <w:ind w:firstLine="640" w:firstLineChars="200"/>
        <w:rPr>
          <w:rFonts w:ascii="Times New Roman" w:hAnsi="Times New Roman" w:eastAsia="仿宋_GB2312"/>
          <w:b/>
          <w:color w:val="auto"/>
          <w:sz w:val="32"/>
          <w:szCs w:val="32"/>
        </w:rPr>
      </w:pPr>
      <w:r>
        <w:rPr>
          <w:rFonts w:hint="eastAsia" w:ascii="Times New Roman" w:hAnsi="Times New Roman" w:eastAsia="仿宋_GB2312"/>
          <w:color w:val="auto"/>
          <w:sz w:val="32"/>
          <w:szCs w:val="32"/>
        </w:rPr>
        <w:t>1、因公出国（境）费支出决算为14.80万元，全年安排因公出国（境）团组2个，累计2人次：</w:t>
      </w:r>
    </w:p>
    <w:p>
      <w:pPr>
        <w:pStyle w:val="14"/>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出国考察及经贸洽谈支出8.69万元，主要用于赴多米尼加、巴巴多斯援外项目考察验收及经贸洽谈；</w:t>
      </w:r>
    </w:p>
    <w:p>
      <w:pPr>
        <w:pStyle w:val="14"/>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出访澳大利亚、萨摩亚支出4.98万元，主要用于公务访问及经贸洽谈；</w:t>
      </w:r>
    </w:p>
    <w:p>
      <w:pPr>
        <w:pStyle w:val="14"/>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参加意大利国际果蔬展支出1.13万元，主要用于签证原因取消参加2023年意大利国际果蔬展，产生已预订出国机票、保险、住宿等费用。</w:t>
      </w:r>
    </w:p>
    <w:p>
      <w:pPr>
        <w:pStyle w:val="14"/>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2、公务接待费支出决算为3.65万元，全年共接待来访团组24个、来宾207人次，主要是</w:t>
      </w:r>
      <w:r>
        <w:rPr>
          <w:rFonts w:hint="eastAsia" w:ascii="仿宋" w:hAnsi="仿宋" w:eastAsia="仿宋"/>
          <w:color w:val="auto"/>
          <w:sz w:val="32"/>
          <w:szCs w:val="32"/>
        </w:rPr>
        <w:t>国际金融组织专家来湘检查等发生</w:t>
      </w:r>
      <w:r>
        <w:rPr>
          <w:rFonts w:hint="eastAsia" w:ascii="Times New Roman" w:hAnsi="Times New Roman" w:eastAsia="仿宋_GB2312"/>
          <w:color w:val="auto"/>
          <w:sz w:val="32"/>
          <w:szCs w:val="32"/>
        </w:rPr>
        <w:t>的接待支出。</w:t>
      </w:r>
    </w:p>
    <w:p>
      <w:pPr>
        <w:spacing w:line="600" w:lineRule="exact"/>
        <w:ind w:firstLine="800" w:firstLineChars="250"/>
        <w:rPr>
          <w:rFonts w:ascii="楷体" w:hAnsi="楷体" w:eastAsia="楷体" w:cs="楷体"/>
          <w:b/>
          <w:bCs/>
          <w:i/>
          <w:color w:val="auto"/>
          <w:kern w:val="0"/>
          <w:sz w:val="32"/>
          <w:szCs w:val="32"/>
        </w:rPr>
      </w:pPr>
      <w:r>
        <w:rPr>
          <w:rFonts w:hint="eastAsia" w:ascii="Times New Roman" w:hAnsi="Times New Roman" w:eastAsia="仿宋_GB2312"/>
          <w:color w:val="auto"/>
          <w:sz w:val="32"/>
          <w:szCs w:val="32"/>
        </w:rPr>
        <w:t>3、公务用车购置费及运行维护费支出决算为0万元，其中：公务用车购置费0万元，单位本级更新公务用车0辆</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rPr>
        <w:t>公务用车运行维护费0万元，截止2023年12月31日，我单位开支财政拨款的公务用车保有量为0辆。</w:t>
      </w:r>
    </w:p>
    <w:p>
      <w:pPr>
        <w:pStyle w:val="14"/>
        <w:spacing w:line="600" w:lineRule="exact"/>
        <w:ind w:firstLine="640" w:firstLineChars="200"/>
        <w:rPr>
          <w:rFonts w:hAnsi="黑体"/>
          <w:bCs/>
          <w:color w:val="auto"/>
          <w:sz w:val="32"/>
          <w:szCs w:val="32"/>
        </w:rPr>
      </w:pPr>
      <w:r>
        <w:rPr>
          <w:rFonts w:hint="eastAsia" w:hAnsi="黑体"/>
          <w:bCs/>
          <w:color w:val="auto"/>
          <w:sz w:val="32"/>
          <w:szCs w:val="32"/>
        </w:rPr>
        <w:t>八、政府性基金预算收入支出决算情况</w:t>
      </w:r>
    </w:p>
    <w:p>
      <w:pPr>
        <w:pStyle w:val="14"/>
        <w:ind w:firstLine="640" w:firstLineChars="200"/>
        <w:rPr>
          <w:rFonts w:ascii="宋体" w:hAnsi="宋体" w:eastAsia="宋体"/>
          <w:i/>
          <w:color w:val="auto"/>
          <w:sz w:val="32"/>
          <w:szCs w:val="32"/>
        </w:rPr>
      </w:pPr>
      <w:r>
        <w:rPr>
          <w:rFonts w:hint="eastAsia" w:ascii="Times New Roman" w:hAnsi="Times New Roman" w:eastAsia="仿宋_GB2312"/>
          <w:color w:val="auto"/>
          <w:sz w:val="32"/>
          <w:szCs w:val="32"/>
        </w:rPr>
        <w:t>2023年度</w:t>
      </w:r>
      <w:r>
        <w:rPr>
          <w:rFonts w:hint="eastAsia" w:ascii="仿宋" w:hAnsi="仿宋" w:eastAsia="仿宋"/>
          <w:color w:val="auto"/>
          <w:sz w:val="32"/>
          <w:szCs w:val="32"/>
        </w:rPr>
        <w:t>本单位无政府性基金收支。</w:t>
      </w:r>
    </w:p>
    <w:p>
      <w:pPr>
        <w:pStyle w:val="14"/>
        <w:spacing w:line="600" w:lineRule="exact"/>
        <w:ind w:firstLine="640" w:firstLineChars="200"/>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4"/>
        <w:ind w:firstLine="640" w:firstLineChars="200"/>
        <w:rPr>
          <w:rFonts w:ascii="仿宋" w:hAnsi="仿宋" w:eastAsia="仿宋"/>
          <w:color w:val="auto"/>
          <w:sz w:val="32"/>
          <w:szCs w:val="32"/>
        </w:rPr>
      </w:pPr>
      <w:r>
        <w:rPr>
          <w:rFonts w:hint="eastAsia" w:ascii="Times New Roman" w:hAnsi="Times New Roman" w:eastAsia="仿宋_GB2312"/>
          <w:color w:val="auto"/>
          <w:sz w:val="32"/>
          <w:szCs w:val="32"/>
        </w:rPr>
        <w:t>本部门2023年度</w:t>
      </w:r>
      <w:r>
        <w:rPr>
          <w:rFonts w:hint="eastAsia" w:ascii="仿宋" w:hAnsi="仿宋" w:eastAsia="仿宋"/>
          <w:color w:val="auto"/>
          <w:sz w:val="32"/>
          <w:szCs w:val="32"/>
        </w:rPr>
        <w:t>无机关运行经费支出。</w:t>
      </w:r>
    </w:p>
    <w:p>
      <w:pPr>
        <w:pStyle w:val="14"/>
        <w:spacing w:line="600" w:lineRule="exact"/>
        <w:ind w:firstLine="640" w:firstLineChars="200"/>
        <w:rPr>
          <w:rFonts w:hAnsi="黑体"/>
          <w:bCs/>
          <w:color w:val="auto"/>
          <w:sz w:val="32"/>
          <w:szCs w:val="32"/>
        </w:rPr>
      </w:pPr>
      <w:r>
        <w:rPr>
          <w:rFonts w:hint="eastAsia" w:hAnsi="黑体"/>
          <w:bCs/>
          <w:color w:val="auto"/>
          <w:sz w:val="32"/>
          <w:szCs w:val="32"/>
        </w:rPr>
        <w:t>十、一般性支出情况说明</w:t>
      </w:r>
    </w:p>
    <w:p>
      <w:pPr>
        <w:pStyle w:val="14"/>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2023年本部门开支会议费17.96万元，共422人。其中：</w:t>
      </w:r>
    </w:p>
    <w:p>
      <w:pPr>
        <w:pStyle w:val="14"/>
        <w:numPr>
          <w:ilvl w:val="0"/>
          <w:numId w:val="3"/>
        </w:numPr>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国际农发基金贷款湖南省乡村振兴示范项目2022年度工作总结会，2.76万元，55人；</w:t>
      </w:r>
    </w:p>
    <w:p>
      <w:pPr>
        <w:pStyle w:val="14"/>
        <w:numPr>
          <w:ilvl w:val="0"/>
          <w:numId w:val="3"/>
        </w:numPr>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世行贷款农田污染综合管理项目2022年度工作总结会，3.40万元，63人；</w:t>
      </w:r>
    </w:p>
    <w:p>
      <w:pPr>
        <w:pStyle w:val="14"/>
        <w:numPr>
          <w:ilvl w:val="0"/>
          <w:numId w:val="3"/>
        </w:numPr>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世行贷款绿色农业与乡村振兴项目（二期）评估总结会，0.59万元，17人；</w:t>
      </w:r>
    </w:p>
    <w:p>
      <w:pPr>
        <w:pStyle w:val="14"/>
        <w:numPr>
          <w:ilvl w:val="0"/>
          <w:numId w:val="3"/>
        </w:numPr>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国际农发基金贷款乡村振兴发展项目工作推进会，1.11万元，33人；</w:t>
      </w:r>
    </w:p>
    <w:p>
      <w:pPr>
        <w:pStyle w:val="14"/>
        <w:numPr>
          <w:ilvl w:val="0"/>
          <w:numId w:val="3"/>
        </w:numPr>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世行贷款农田污染综合管理项目第12次检查座谈会，4.88万元，76人；</w:t>
      </w:r>
    </w:p>
    <w:p>
      <w:pPr>
        <w:pStyle w:val="14"/>
        <w:numPr>
          <w:ilvl w:val="0"/>
          <w:numId w:val="3"/>
        </w:numPr>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世行贷款农田污染综合管理项目2022年度审计报告征求意见反馈及落实整改工作会议，0.68万元，50人；</w:t>
      </w:r>
    </w:p>
    <w:p>
      <w:pPr>
        <w:pStyle w:val="14"/>
        <w:numPr>
          <w:ilvl w:val="0"/>
          <w:numId w:val="3"/>
        </w:numPr>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世行省农田污染综合管理项目第11次检查座谈会，3.30万元，67人；</w:t>
      </w:r>
    </w:p>
    <w:p>
      <w:pPr>
        <w:pStyle w:val="14"/>
        <w:numPr>
          <w:ilvl w:val="0"/>
          <w:numId w:val="3"/>
        </w:numPr>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国际农发基金贷款湖南省乡村振兴发展项目第四次检查总结会，1.12万元，41人；</w:t>
      </w:r>
    </w:p>
    <w:p>
      <w:pPr>
        <w:pStyle w:val="14"/>
        <w:numPr>
          <w:ilvl w:val="0"/>
          <w:numId w:val="3"/>
        </w:numPr>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外贷项目审计整改工作座谈会，0.12万元，20人</w:t>
      </w:r>
      <w:r>
        <w:rPr>
          <w:rFonts w:hint="eastAsia" w:ascii="Times New Roman" w:hAnsi="Times New Roman" w:eastAsia="仿宋_GB2312"/>
          <w:color w:val="auto"/>
          <w:sz w:val="32"/>
          <w:szCs w:val="32"/>
        </w:rPr>
        <w:t>。</w:t>
      </w:r>
    </w:p>
    <w:p>
      <w:pPr>
        <w:pStyle w:val="14"/>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开支培训费4.63万元，共105人。其中：</w:t>
      </w:r>
    </w:p>
    <w:p>
      <w:pPr>
        <w:pStyle w:val="14"/>
        <w:numPr>
          <w:ilvl w:val="0"/>
          <w:numId w:val="4"/>
        </w:numPr>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国际农发基金贷款湖南省乡村振兴示范项目进度及监测评价培训，2.02万元，38人；</w:t>
      </w:r>
    </w:p>
    <w:p>
      <w:pPr>
        <w:pStyle w:val="14"/>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2、国际农发基金贷款湖南省乡村振兴发展项目第五次检查采购和财务培训，2.61万元，67人。</w:t>
      </w:r>
    </w:p>
    <w:p>
      <w:pPr>
        <w:pStyle w:val="14"/>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未举办节庆、晚会、论坛、人赛事活动。</w:t>
      </w:r>
    </w:p>
    <w:p>
      <w:pPr>
        <w:pStyle w:val="14"/>
        <w:spacing w:line="600" w:lineRule="exact"/>
        <w:ind w:firstLine="640" w:firstLineChars="200"/>
        <w:rPr>
          <w:rFonts w:hAnsi="黑体"/>
          <w:bCs/>
          <w:color w:val="auto"/>
          <w:sz w:val="32"/>
          <w:szCs w:val="32"/>
        </w:rPr>
      </w:pPr>
      <w:r>
        <w:rPr>
          <w:rFonts w:hint="eastAsia" w:hAnsi="黑体"/>
          <w:bCs/>
          <w:color w:val="auto"/>
          <w:sz w:val="32"/>
          <w:szCs w:val="32"/>
        </w:rPr>
        <w:t>十一、关于政府采购支出说明</w:t>
      </w:r>
    </w:p>
    <w:p>
      <w:pPr>
        <w:pStyle w:val="14"/>
        <w:spacing w:line="58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本部门2023年度政府采购支出总额135.73万元，其中：政府采购货物支出3.71万元、政府采购工程支出0万元、政府采购服务支出132.02万元。授予中小企业合同金额123.43万元，占政府采购支出总额的90.94%，其中：授予小微企业合同金额123.43万元，</w:t>
      </w:r>
      <w:r>
        <w:rPr>
          <w:rFonts w:hint="eastAsia" w:ascii="Times New Roman" w:hAnsi="Times New Roman" w:eastAsia="仿宋_GB2312"/>
          <w:color w:val="auto"/>
          <w:sz w:val="32"/>
          <w:szCs w:val="32"/>
        </w:rPr>
        <w:t>占授予中小企业合同金额的100%。货物采购授予中小企业合同金额占货物支出金额的100%，服务采购授予中小企业合同金额占服务支出金额的90.68%。</w:t>
      </w:r>
    </w:p>
    <w:p>
      <w:pPr>
        <w:pStyle w:val="14"/>
        <w:spacing w:line="580" w:lineRule="exact"/>
        <w:ind w:firstLine="640" w:firstLineChars="200"/>
        <w:rPr>
          <w:rFonts w:hAnsi="黑体"/>
          <w:bCs/>
          <w:color w:val="auto"/>
          <w:sz w:val="32"/>
          <w:szCs w:val="32"/>
        </w:rPr>
      </w:pPr>
      <w:r>
        <w:rPr>
          <w:rFonts w:hint="eastAsia" w:hAnsi="黑体"/>
          <w:bCs/>
          <w:color w:val="auto"/>
          <w:sz w:val="32"/>
          <w:szCs w:val="32"/>
        </w:rPr>
        <w:t>十二、关于国有资产占用情况说明</w:t>
      </w:r>
    </w:p>
    <w:p>
      <w:pPr>
        <w:pStyle w:val="14"/>
        <w:spacing w:line="58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截至2023年12月31日，单位</w:t>
      </w:r>
      <w:r>
        <w:rPr>
          <w:rFonts w:hint="eastAsia" w:ascii="仿宋" w:hAnsi="仿宋" w:eastAsia="仿宋"/>
          <w:color w:val="auto"/>
          <w:sz w:val="32"/>
          <w:szCs w:val="32"/>
        </w:rPr>
        <w:t>共有车辆0辆，其中，主要领导干部用车0辆，机要通信用车0辆、应急保障用车0辆、执法执勤用车0辆、特种专业技术用车0辆、其他用车0辆，其他用车0辆；</w:t>
      </w:r>
      <w:r>
        <w:rPr>
          <w:rFonts w:hint="eastAsia" w:ascii="Times New Roman" w:hAnsi="Times New Roman" w:eastAsia="仿宋_GB2312"/>
          <w:color w:val="auto"/>
          <w:sz w:val="32"/>
          <w:szCs w:val="32"/>
        </w:rPr>
        <w:t>单位价值100万元以上设备（不含车辆）0台（套）。</w:t>
      </w:r>
    </w:p>
    <w:p>
      <w:pPr>
        <w:pStyle w:val="14"/>
        <w:spacing w:line="580" w:lineRule="exact"/>
        <w:ind w:firstLine="640" w:firstLineChars="200"/>
        <w:rPr>
          <w:rFonts w:hAnsi="黑体"/>
          <w:bCs/>
          <w:color w:val="auto"/>
          <w:sz w:val="32"/>
          <w:szCs w:val="32"/>
        </w:rPr>
      </w:pPr>
      <w:r>
        <w:rPr>
          <w:rFonts w:hint="eastAsia" w:hAnsi="黑体"/>
          <w:bCs/>
          <w:color w:val="auto"/>
          <w:sz w:val="32"/>
          <w:szCs w:val="32"/>
        </w:rPr>
        <w:t>十三、关于</w:t>
      </w:r>
      <w:r>
        <w:rPr>
          <w:rFonts w:hint="eastAsia" w:ascii="Times New Roman" w:hAnsi="Times New Roman" w:eastAsia="仿宋_GB2312"/>
          <w:color w:val="auto"/>
          <w:sz w:val="32"/>
          <w:szCs w:val="32"/>
        </w:rPr>
        <w:t>2023</w:t>
      </w:r>
      <w:r>
        <w:rPr>
          <w:rFonts w:hint="eastAsia" w:hAnsi="黑体"/>
          <w:bCs/>
          <w:color w:val="auto"/>
          <w:sz w:val="32"/>
          <w:szCs w:val="32"/>
        </w:rPr>
        <w:t>年度预算绩效情况的说明</w:t>
      </w:r>
    </w:p>
    <w:p>
      <w:pPr>
        <w:pStyle w:val="14"/>
        <w:spacing w:line="580" w:lineRule="exact"/>
        <w:ind w:firstLine="640"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（一）绩效管理工作开展情况</w:t>
      </w:r>
    </w:p>
    <w:p>
      <w:pPr>
        <w:pStyle w:val="14"/>
        <w:spacing w:line="580" w:lineRule="exact"/>
        <w:ind w:firstLine="640" w:firstLineChars="200"/>
        <w:rPr>
          <w:rFonts w:ascii="楷体" w:hAnsi="楷体" w:eastAsia="楷体" w:cs="楷体"/>
          <w:b/>
          <w:bCs/>
          <w:color w:val="auto"/>
          <w:sz w:val="32"/>
          <w:szCs w:val="32"/>
        </w:rPr>
      </w:pPr>
      <w:r>
        <w:rPr>
          <w:rFonts w:hint="eastAsia" w:ascii="Times New Roman" w:hAnsi="Times New Roman" w:eastAsia="仿宋_GB2312"/>
          <w:color w:val="auto"/>
          <w:sz w:val="32"/>
          <w:szCs w:val="32"/>
        </w:rPr>
        <w:t>为加强财政支出预算绩效管理，提高财政资源配置效率和资金使用效益，根据《中共中央国务院关于全面实施预算绩效管理的意见》（中发〔2018〕34 号）、《中共湖南省委办公厅 湖南省人民政府办公厅关于全面实施预算绩效管理的实施意见》（湘办发〔2019〕10 号）和《湖南省财政厅关于印发湖南省预算支出绩效评价管理办法的通知》（湘财绩〔2020〕7号）等有关规定，按照省财政厅《关于开展2023 年度省级预算部门绩效自评和部门评价的通知》（湘财绩〔2024〕1号）要求，我中心于2024年4月对2023年整体支出实施了预算绩效自评。</w:t>
      </w:r>
    </w:p>
    <w:p>
      <w:pPr>
        <w:pStyle w:val="14"/>
        <w:spacing w:line="580" w:lineRule="exact"/>
        <w:ind w:firstLine="640"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（二）单位整体支出绩效情况</w:t>
      </w:r>
    </w:p>
    <w:p>
      <w:pPr>
        <w:pStyle w:val="14"/>
        <w:spacing w:line="360" w:lineRule="auto"/>
        <w:ind w:firstLine="800" w:firstLineChars="250"/>
        <w:rPr>
          <w:rFonts w:ascii="楷体" w:hAnsi="楷体" w:eastAsia="楷体" w:cs="楷体"/>
          <w:b/>
          <w:bCs/>
          <w:color w:val="auto"/>
          <w:sz w:val="32"/>
          <w:szCs w:val="32"/>
        </w:rPr>
      </w:pPr>
      <w:r>
        <w:rPr>
          <w:rFonts w:hint="eastAsia" w:ascii="楷体" w:hAnsi="楷体" w:eastAsia="楷体" w:cs="楷体"/>
          <w:b/>
          <w:bCs/>
          <w:color w:val="auto"/>
          <w:sz w:val="32"/>
          <w:szCs w:val="32"/>
        </w:rPr>
        <w:t>1、运行成本</w:t>
      </w:r>
    </w:p>
    <w:p>
      <w:pPr>
        <w:pStyle w:val="14"/>
        <w:spacing w:line="360" w:lineRule="auto"/>
        <w:ind w:firstLine="640" w:firstLineChars="200"/>
        <w:rPr>
          <w:rFonts w:ascii="仿宋" w:hAnsi="仿宋" w:eastAsia="仿宋" w:cs="Times New Roman"/>
          <w:color w:val="auto"/>
          <w:kern w:val="2"/>
          <w:sz w:val="32"/>
          <w:szCs w:val="32"/>
        </w:rPr>
      </w:pPr>
      <w:r>
        <w:rPr>
          <w:rFonts w:ascii="仿宋" w:hAnsi="仿宋" w:eastAsia="仿宋" w:cs="Times New Roman"/>
          <w:color w:val="auto"/>
          <w:kern w:val="2"/>
          <w:sz w:val="32"/>
          <w:szCs w:val="32"/>
        </w:rPr>
        <w:t>2023 年</w:t>
      </w:r>
      <w:r>
        <w:rPr>
          <w:rFonts w:hint="eastAsia" w:ascii="仿宋" w:hAnsi="仿宋" w:eastAsia="仿宋" w:cs="Times New Roman"/>
          <w:color w:val="auto"/>
          <w:kern w:val="2"/>
          <w:sz w:val="32"/>
          <w:szCs w:val="32"/>
        </w:rPr>
        <w:t>一般公共预算财政拨款公用经费</w:t>
      </w:r>
      <w:r>
        <w:rPr>
          <w:rFonts w:ascii="仿宋" w:hAnsi="仿宋" w:eastAsia="仿宋" w:cs="Times New Roman"/>
          <w:color w:val="auto"/>
          <w:kern w:val="2"/>
          <w:sz w:val="32"/>
          <w:szCs w:val="32"/>
        </w:rPr>
        <w:t>基本支出</w:t>
      </w:r>
      <w:r>
        <w:rPr>
          <w:rFonts w:hint="eastAsia" w:ascii="仿宋" w:hAnsi="仿宋" w:eastAsia="仿宋" w:cs="Times New Roman"/>
          <w:color w:val="auto"/>
          <w:kern w:val="2"/>
          <w:sz w:val="32"/>
          <w:szCs w:val="32"/>
        </w:rPr>
        <w:t>48.80</w:t>
      </w:r>
      <w:r>
        <w:rPr>
          <w:rFonts w:ascii="仿宋" w:hAnsi="仿宋" w:eastAsia="仿宋" w:cs="Times New Roman"/>
          <w:color w:val="auto"/>
          <w:kern w:val="2"/>
          <w:sz w:val="32"/>
          <w:szCs w:val="32"/>
        </w:rPr>
        <w:t>万元，</w:t>
      </w:r>
      <w:r>
        <w:rPr>
          <w:rFonts w:hint="eastAsia" w:ascii="仿宋" w:hAnsi="仿宋" w:eastAsia="仿宋" w:cs="Times New Roman"/>
          <w:color w:val="auto"/>
          <w:kern w:val="2"/>
          <w:sz w:val="32"/>
          <w:szCs w:val="32"/>
        </w:rPr>
        <w:t>较年初预算57.95万元节约9.15万元，节约15.79%。其中三公经费18.45万元，包括因公出国（境）费14.80</w:t>
      </w:r>
      <w:r>
        <w:rPr>
          <w:rFonts w:ascii="仿宋" w:hAnsi="仿宋" w:eastAsia="仿宋" w:cs="Times New Roman"/>
          <w:color w:val="auto"/>
          <w:kern w:val="2"/>
          <w:sz w:val="32"/>
          <w:szCs w:val="32"/>
        </w:rPr>
        <w:t>万元</w:t>
      </w:r>
      <w:r>
        <w:rPr>
          <w:rFonts w:hint="eastAsia" w:ascii="仿宋" w:hAnsi="仿宋" w:eastAsia="仿宋" w:cs="Times New Roman"/>
          <w:color w:val="auto"/>
          <w:kern w:val="2"/>
          <w:sz w:val="32"/>
          <w:szCs w:val="32"/>
        </w:rPr>
        <w:t>、公务用车购置及运行维护费0万元、公务接待费3.65万元，较年初预算19万元节约0.55万元，节约2.89%。</w:t>
      </w:r>
    </w:p>
    <w:p>
      <w:pPr>
        <w:pStyle w:val="14"/>
        <w:spacing w:line="360" w:lineRule="auto"/>
        <w:ind w:firstLine="800" w:firstLineChars="250"/>
        <w:rPr>
          <w:rFonts w:ascii="楷体" w:hAnsi="楷体" w:eastAsia="楷体" w:cs="楷体"/>
          <w:b/>
          <w:bCs/>
          <w:color w:val="auto"/>
          <w:sz w:val="32"/>
          <w:szCs w:val="32"/>
        </w:rPr>
      </w:pPr>
      <w:r>
        <w:rPr>
          <w:rFonts w:hint="eastAsia" w:ascii="楷体" w:hAnsi="楷体" w:eastAsia="楷体" w:cs="楷体"/>
          <w:b/>
          <w:bCs/>
          <w:color w:val="auto"/>
          <w:sz w:val="32"/>
          <w:szCs w:val="32"/>
        </w:rPr>
        <w:t>2、管理效率</w:t>
      </w:r>
    </w:p>
    <w:p>
      <w:pPr>
        <w:pStyle w:val="15"/>
        <w:spacing w:line="360" w:lineRule="auto"/>
        <w:ind w:firstLine="643"/>
        <w:rPr>
          <w:rFonts w:ascii="仿宋" w:hAnsi="仿宋" w:eastAsia="仿宋" w:cs="楷体"/>
          <w:b/>
          <w:bCs/>
          <w:color w:val="auto"/>
          <w:sz w:val="32"/>
          <w:szCs w:val="32"/>
        </w:rPr>
      </w:pPr>
      <w:r>
        <w:rPr>
          <w:rFonts w:hint="eastAsia" w:ascii="仿宋" w:hAnsi="仿宋" w:eastAsia="仿宋" w:cs="楷体"/>
          <w:b/>
          <w:bCs/>
          <w:color w:val="auto"/>
          <w:sz w:val="32"/>
          <w:szCs w:val="32"/>
        </w:rPr>
        <w:t>（1）世行贷款湖南省农田污染综合管理项目</w:t>
      </w:r>
    </w:p>
    <w:p>
      <w:pPr>
        <w:pStyle w:val="15"/>
        <w:spacing w:line="360" w:lineRule="auto"/>
        <w:ind w:firstLine="643"/>
        <w:rPr>
          <w:rFonts w:ascii="仿宋" w:hAnsi="仿宋" w:eastAsia="仿宋"/>
          <w:color w:val="auto"/>
          <w:sz w:val="32"/>
          <w:szCs w:val="32"/>
        </w:rPr>
      </w:pPr>
      <w:r>
        <w:rPr>
          <w:rFonts w:hint="eastAsia" w:ascii="仿宋" w:hAnsi="仿宋" w:eastAsia="仿宋"/>
          <w:b/>
          <w:bCs/>
          <w:color w:val="auto"/>
          <w:sz w:val="32"/>
          <w:szCs w:val="32"/>
        </w:rPr>
        <w:t>一抓进度后进县。</w:t>
      </w:r>
      <w:r>
        <w:rPr>
          <w:rFonts w:hint="eastAsia" w:ascii="仿宋" w:hAnsi="仿宋" w:eastAsia="仿宋"/>
          <w:color w:val="auto"/>
          <w:sz w:val="32"/>
          <w:szCs w:val="32"/>
        </w:rPr>
        <w:t>联合省技术咨询委员会专家赴安化等后进县项目区现场指导，一周一督促，一月一通报，加快工程建设进度；</w:t>
      </w:r>
      <w:r>
        <w:rPr>
          <w:rFonts w:hint="eastAsia" w:ascii="仿宋" w:hAnsi="仿宋" w:eastAsia="仿宋"/>
          <w:b/>
          <w:bCs/>
          <w:color w:val="auto"/>
          <w:sz w:val="32"/>
          <w:szCs w:val="32"/>
        </w:rPr>
        <w:t>二抓项目进度落后项。</w:t>
      </w:r>
      <w:r>
        <w:rPr>
          <w:rFonts w:hint="eastAsia" w:ascii="仿宋" w:hAnsi="仿宋" w:eastAsia="仿宋"/>
          <w:color w:val="auto"/>
          <w:sz w:val="32"/>
          <w:szCs w:val="32"/>
        </w:rPr>
        <w:t>找准子项目进度落后的原因，合理规划，倒排工期，集中力量加快开展相关工作；</w:t>
      </w:r>
      <w:r>
        <w:rPr>
          <w:rFonts w:hint="eastAsia" w:ascii="仿宋" w:hAnsi="仿宋" w:eastAsia="仿宋"/>
          <w:b/>
          <w:bCs/>
          <w:color w:val="auto"/>
          <w:sz w:val="32"/>
          <w:szCs w:val="32"/>
        </w:rPr>
        <w:t>三抓报账与支付流程协调。</w:t>
      </w:r>
      <w:r>
        <w:rPr>
          <w:rFonts w:hint="eastAsia" w:ascii="仿宋" w:hAnsi="仿宋" w:eastAsia="仿宋"/>
          <w:color w:val="auto"/>
          <w:sz w:val="32"/>
          <w:szCs w:val="32"/>
        </w:rPr>
        <w:t>多次同世行项目经理、财务官员和省财政厅外经处沟通协调，加快报账与支付流程，延长报账期限，项目贷款资金报账宽限至2</w:t>
      </w:r>
      <w:r>
        <w:rPr>
          <w:rFonts w:ascii="仿宋" w:hAnsi="仿宋" w:eastAsia="仿宋"/>
          <w:color w:val="auto"/>
          <w:sz w:val="32"/>
          <w:szCs w:val="32"/>
        </w:rPr>
        <w:t>024</w:t>
      </w:r>
      <w:r>
        <w:rPr>
          <w:rFonts w:hint="eastAsia" w:ascii="仿宋" w:hAnsi="仿宋" w:eastAsia="仿宋"/>
          <w:color w:val="auto"/>
          <w:sz w:val="32"/>
          <w:szCs w:val="32"/>
        </w:rPr>
        <w:t>年4月；</w:t>
      </w:r>
      <w:r>
        <w:rPr>
          <w:rFonts w:hint="eastAsia" w:ascii="仿宋" w:hAnsi="仿宋" w:eastAsia="仿宋"/>
          <w:b/>
          <w:bCs/>
          <w:color w:val="auto"/>
          <w:sz w:val="32"/>
          <w:szCs w:val="32"/>
        </w:rPr>
        <w:t>四抓审计整改落实。</w:t>
      </w:r>
      <w:r>
        <w:rPr>
          <w:rFonts w:hint="eastAsia" w:ascii="仿宋" w:hAnsi="仿宋" w:eastAsia="仿宋"/>
          <w:color w:val="auto"/>
          <w:sz w:val="32"/>
          <w:szCs w:val="32"/>
        </w:rPr>
        <w:t>制定整改工作方案，明确整改主体，对照问题清单，开展现场督导核查，并及时开展“回头看”，堵塞整改漏洞，杜绝虚假整改；</w:t>
      </w:r>
      <w:r>
        <w:rPr>
          <w:rFonts w:hint="eastAsia" w:ascii="仿宋" w:hAnsi="仿宋" w:eastAsia="仿宋"/>
          <w:b/>
          <w:bCs/>
          <w:color w:val="auto"/>
          <w:sz w:val="32"/>
          <w:szCs w:val="32"/>
        </w:rPr>
        <w:t>五抓项目竣工准备齐步走。</w:t>
      </w:r>
      <w:r>
        <w:rPr>
          <w:rFonts w:hint="eastAsia" w:ascii="仿宋" w:hAnsi="仿宋" w:eastAsia="仿宋"/>
          <w:color w:val="auto"/>
          <w:sz w:val="32"/>
          <w:szCs w:val="32"/>
        </w:rPr>
        <w:t>一方面全面落实年度工作计划与任务，加快工程建设和提款报账进度，另一方面及时开展项目竣工培训，提前做好项目技术总结和竣工报告材料的编制，确保项目实施与竣工准备齐头并进。</w:t>
      </w:r>
    </w:p>
    <w:p>
      <w:pPr>
        <w:pStyle w:val="15"/>
        <w:spacing w:line="360" w:lineRule="auto"/>
        <w:ind w:firstLine="480" w:firstLineChars="150"/>
        <w:rPr>
          <w:rFonts w:ascii="仿宋" w:hAnsi="仿宋" w:eastAsia="仿宋" w:cs="楷体"/>
          <w:b/>
          <w:bCs/>
          <w:color w:val="auto"/>
          <w:sz w:val="32"/>
          <w:szCs w:val="32"/>
        </w:rPr>
      </w:pPr>
      <w:r>
        <w:rPr>
          <w:rFonts w:hint="eastAsia" w:ascii="仿宋" w:hAnsi="仿宋" w:eastAsia="仿宋" w:cs="楷体"/>
          <w:b/>
          <w:bCs/>
          <w:color w:val="auto"/>
          <w:sz w:val="32"/>
          <w:szCs w:val="32"/>
        </w:rPr>
        <w:t>（2） 国际农发基金贷款湖南省乡村振兴发展项目</w:t>
      </w:r>
    </w:p>
    <w:p>
      <w:pPr>
        <w:pStyle w:val="14"/>
        <w:spacing w:line="360" w:lineRule="auto"/>
        <w:ind w:firstLine="640" w:firstLineChars="200"/>
        <w:jc w:val="both"/>
        <w:rPr>
          <w:rFonts w:ascii="仿宋" w:hAnsi="仿宋" w:eastAsia="仿宋" w:cs="Times New Roman"/>
          <w:b/>
          <w:bCs/>
          <w:color w:val="auto"/>
          <w:kern w:val="2"/>
          <w:sz w:val="32"/>
          <w:szCs w:val="32"/>
        </w:rPr>
      </w:pPr>
      <w:r>
        <w:rPr>
          <w:rFonts w:hint="eastAsia" w:ascii="仿宋" w:hAnsi="仿宋" w:eastAsia="仿宋" w:cs="Times New Roman"/>
          <w:color w:val="auto"/>
          <w:kern w:val="2"/>
          <w:sz w:val="32"/>
          <w:szCs w:val="32"/>
        </w:rPr>
        <w:t>该项目总投资12.3亿元，其中利用贷款6</w:t>
      </w:r>
      <w:r>
        <w:rPr>
          <w:rFonts w:hint="eastAsia" w:ascii="仿宋" w:hAnsi="仿宋" w:eastAsia="仿宋"/>
          <w:color w:val="auto"/>
          <w:sz w:val="32"/>
          <w:szCs w:val="32"/>
        </w:rPr>
        <w:t>,</w:t>
      </w:r>
      <w:r>
        <w:rPr>
          <w:rFonts w:hint="eastAsia" w:ascii="仿宋" w:hAnsi="仿宋" w:eastAsia="仿宋" w:cs="Times New Roman"/>
          <w:color w:val="auto"/>
          <w:kern w:val="2"/>
          <w:sz w:val="32"/>
          <w:szCs w:val="32"/>
        </w:rPr>
        <w:t>020万美元。面对项目商业计划编制和实施这一阻碍项目推进的重大难题，我们积极转换思路，摒弃老办法、老套路。</w:t>
      </w:r>
    </w:p>
    <w:p>
      <w:pPr>
        <w:pStyle w:val="14"/>
        <w:spacing w:line="360" w:lineRule="auto"/>
        <w:ind w:firstLine="640" w:firstLineChars="200"/>
        <w:jc w:val="both"/>
        <w:rPr>
          <w:rFonts w:ascii="仿宋" w:hAnsi="仿宋" w:eastAsia="仿宋" w:cs="Times New Roman"/>
          <w:color w:val="auto"/>
          <w:kern w:val="2"/>
          <w:sz w:val="32"/>
          <w:szCs w:val="32"/>
        </w:rPr>
      </w:pPr>
      <w:r>
        <w:rPr>
          <w:rFonts w:hint="eastAsia" w:ascii="仿宋" w:hAnsi="仿宋" w:eastAsia="仿宋" w:cs="Times New Roman"/>
          <w:b/>
          <w:bCs/>
          <w:color w:val="auto"/>
          <w:kern w:val="2"/>
          <w:sz w:val="32"/>
          <w:szCs w:val="32"/>
        </w:rPr>
        <w:t>一是向先进学习</w:t>
      </w:r>
      <w:r>
        <w:rPr>
          <w:rFonts w:hint="eastAsia" w:ascii="仿宋" w:hAnsi="仿宋" w:eastAsia="仿宋" w:cs="Times New Roman"/>
          <w:color w:val="auto"/>
          <w:kern w:val="2"/>
          <w:sz w:val="32"/>
          <w:szCs w:val="32"/>
        </w:rPr>
        <w:t>。组织部分项目县参加农发基金在陕西举办的年会，学习国内其他项目省好的做法。组团赴国际农发基金总部实地与总部官员和专家交流，对农发基金实施项目要求和宗旨有了更深入地理解；</w:t>
      </w:r>
      <w:r>
        <w:rPr>
          <w:rFonts w:hint="eastAsia" w:ascii="仿宋" w:hAnsi="仿宋" w:eastAsia="仿宋" w:cs="Times New Roman"/>
          <w:b/>
          <w:bCs/>
          <w:color w:val="auto"/>
          <w:kern w:val="2"/>
          <w:sz w:val="32"/>
          <w:szCs w:val="32"/>
        </w:rPr>
        <w:t>二是召开现场会</w:t>
      </w:r>
      <w:r>
        <w:rPr>
          <w:rFonts w:hint="eastAsia" w:ascii="仿宋" w:hAnsi="仿宋" w:eastAsia="仿宋" w:cs="Times New Roman"/>
          <w:color w:val="auto"/>
          <w:kern w:val="2"/>
          <w:sz w:val="32"/>
          <w:szCs w:val="32"/>
        </w:rPr>
        <w:t>。以先进促后进，请先进现身说法，通过在邵东市举办商业计划书编写培训研讨会，培训与经验介绍相结合，加快了全省项目商业计划实施的推进；</w:t>
      </w:r>
      <w:r>
        <w:rPr>
          <w:rFonts w:hint="eastAsia" w:ascii="仿宋" w:hAnsi="仿宋" w:eastAsia="仿宋" w:cs="Times New Roman"/>
          <w:b/>
          <w:bCs/>
          <w:color w:val="auto"/>
          <w:kern w:val="2"/>
          <w:sz w:val="32"/>
          <w:szCs w:val="32"/>
        </w:rPr>
        <w:t>三是专家授课。</w:t>
      </w:r>
      <w:r>
        <w:rPr>
          <w:rFonts w:hint="eastAsia" w:ascii="仿宋" w:hAnsi="仿宋" w:eastAsia="仿宋" w:cs="Times New Roman"/>
          <w:color w:val="auto"/>
          <w:kern w:val="2"/>
          <w:sz w:val="32"/>
          <w:szCs w:val="32"/>
        </w:rPr>
        <w:t>邀请省级经济技术委员会相关专家对商业计划书进行备案前置审查，对项目产业发展、市场营销进行咨询和指导，以达到项目规定的要求；</w:t>
      </w:r>
      <w:r>
        <w:rPr>
          <w:rFonts w:hint="eastAsia" w:ascii="仿宋" w:hAnsi="仿宋" w:eastAsia="仿宋" w:cs="Times New Roman"/>
          <w:b/>
          <w:bCs/>
          <w:color w:val="auto"/>
          <w:kern w:val="2"/>
          <w:sz w:val="32"/>
          <w:szCs w:val="32"/>
        </w:rPr>
        <w:t>四是领导重视。</w:t>
      </w:r>
      <w:r>
        <w:rPr>
          <w:rFonts w:hint="eastAsia" w:ascii="仿宋" w:hAnsi="仿宋" w:eastAsia="仿宋" w:cs="Times New Roman"/>
          <w:color w:val="auto"/>
          <w:kern w:val="2"/>
          <w:sz w:val="32"/>
          <w:szCs w:val="32"/>
        </w:rPr>
        <w:t>农财联手行政推动，厅领导对项目实施情况牵挂在心，多次参加全省项目会议并亲赴项目县调研，针对问题作出具体指示，并推动农财两厅在项目管理、资金拨付等方面加强协调，联合向各项目县政府下发加快推进项目工作的函。</w:t>
      </w:r>
    </w:p>
    <w:p>
      <w:pPr>
        <w:pStyle w:val="14"/>
        <w:spacing w:line="360" w:lineRule="auto"/>
        <w:ind w:firstLine="640" w:firstLineChars="200"/>
        <w:jc w:val="both"/>
        <w:rPr>
          <w:rFonts w:hAnsi="黑体" w:cs="仿宋"/>
          <w:b/>
          <w:bCs/>
          <w:color w:val="auto"/>
          <w:sz w:val="32"/>
          <w:szCs w:val="32"/>
        </w:rPr>
      </w:pPr>
      <w:r>
        <w:rPr>
          <w:rFonts w:hint="eastAsia" w:hAnsi="黑体" w:cs="仿宋_GB2312"/>
          <w:b/>
          <w:bCs/>
          <w:color w:val="auto"/>
          <w:sz w:val="32"/>
          <w:szCs w:val="32"/>
        </w:rPr>
        <w:t>（3）聚焦重点难题，</w:t>
      </w:r>
      <w:r>
        <w:rPr>
          <w:rFonts w:hint="eastAsia" w:hAnsi="黑体" w:cs="仿宋"/>
          <w:b/>
          <w:bCs/>
          <w:color w:val="auto"/>
          <w:sz w:val="32"/>
          <w:szCs w:val="32"/>
        </w:rPr>
        <w:t>调查研究务实功</w:t>
      </w:r>
    </w:p>
    <w:p>
      <w:pPr>
        <w:pStyle w:val="14"/>
        <w:spacing w:line="360" w:lineRule="auto"/>
        <w:ind w:firstLine="640" w:firstLineChars="200"/>
        <w:jc w:val="both"/>
        <w:rPr>
          <w:rFonts w:ascii="仿宋" w:hAnsi="仿宋" w:eastAsia="仿宋" w:cs="仿宋"/>
          <w:color w:val="auto"/>
          <w:sz w:val="32"/>
          <w:szCs w:val="32"/>
        </w:rPr>
      </w:pPr>
      <w:r>
        <w:rPr>
          <w:rFonts w:hint="eastAsia" w:ascii="仿宋" w:hAnsi="仿宋" w:eastAsia="仿宋" w:cs="仿宋"/>
          <w:color w:val="auto"/>
          <w:sz w:val="32"/>
          <w:szCs w:val="32"/>
        </w:rPr>
        <w:t>以“农业对外合作交流问题”为主题，就农业对外合作人才需求和派出的情况对我省部分农业外向型企业、科研院所、高校以及政府直属事业单位进行实地调研。共计走访单位15家，开展座谈访谈36人次，线上线下共征求意见建议18条，共查找本单位本系统存在的突出问题1个；2名班子成员开展接访下访，推动解决群众诉求2个。</w:t>
      </w:r>
    </w:p>
    <w:p>
      <w:pPr>
        <w:spacing w:line="360" w:lineRule="auto"/>
        <w:ind w:firstLine="640" w:firstLineChars="200"/>
        <w:rPr>
          <w:rFonts w:ascii="黑体" w:hAnsi="黑体" w:eastAsia="黑体" w:cs="黑体"/>
          <w:bCs/>
          <w:color w:val="auto"/>
          <w:sz w:val="32"/>
          <w:szCs w:val="32"/>
        </w:rPr>
      </w:pPr>
      <w:r>
        <w:rPr>
          <w:rFonts w:hint="eastAsia" w:ascii="黑体" w:hAnsi="黑体" w:eastAsia="黑体" w:cs="黑体"/>
          <w:bCs/>
          <w:color w:val="auto"/>
          <w:sz w:val="32"/>
          <w:szCs w:val="32"/>
        </w:rPr>
        <w:t>（4）因势而新，积极参与农业对外经贸合作</w:t>
      </w:r>
    </w:p>
    <w:p>
      <w:pPr>
        <w:spacing w:line="360" w:lineRule="auto"/>
        <w:ind w:firstLine="641"/>
        <w:rPr>
          <w:rFonts w:ascii="仿宋" w:hAnsi="仿宋" w:eastAsia="仿宋"/>
          <w:bCs/>
          <w:color w:val="auto"/>
          <w:sz w:val="32"/>
          <w:szCs w:val="32"/>
        </w:rPr>
      </w:pPr>
      <w:r>
        <w:rPr>
          <w:rFonts w:hint="eastAsia" w:ascii="仿宋" w:hAnsi="仿宋" w:eastAsia="仿宋"/>
          <w:b/>
          <w:bCs/>
          <w:color w:val="auto"/>
          <w:sz w:val="32"/>
          <w:szCs w:val="32"/>
        </w:rPr>
        <w:t>一是参与中非经贸博览会、农机装备补短板大会、中部农业博览会等的接待工作。</w:t>
      </w:r>
      <w:r>
        <w:rPr>
          <w:rFonts w:hint="eastAsia" w:ascii="仿宋" w:hAnsi="仿宋" w:eastAsia="仿宋" w:cs="仿宋"/>
          <w:color w:val="auto"/>
          <w:kern w:val="0"/>
          <w:sz w:val="32"/>
          <w:szCs w:val="32"/>
        </w:rPr>
        <w:t>我们积极配合大会统一安排，圆满完成内宾和外宾团组接待、宴</w:t>
      </w:r>
      <w:r>
        <w:rPr>
          <w:rFonts w:hint="eastAsia" w:ascii="仿宋" w:hAnsi="仿宋" w:eastAsia="仿宋"/>
          <w:color w:val="auto"/>
          <w:sz w:val="32"/>
          <w:szCs w:val="32"/>
        </w:rPr>
        <w:t>请、论坛等活动；</w:t>
      </w:r>
      <w:r>
        <w:rPr>
          <w:rFonts w:hint="eastAsia" w:ascii="仿宋" w:hAnsi="仿宋" w:eastAsia="仿宋"/>
          <w:b/>
          <w:bCs/>
          <w:color w:val="auto"/>
          <w:sz w:val="32"/>
          <w:szCs w:val="32"/>
        </w:rPr>
        <w:t>二是协助筹备境外农机展活动。</w:t>
      </w:r>
      <w:r>
        <w:rPr>
          <w:rFonts w:hint="eastAsia" w:ascii="仿宋" w:hAnsi="仿宋" w:eastAsia="仿宋"/>
          <w:color w:val="auto"/>
          <w:sz w:val="32"/>
          <w:szCs w:val="32"/>
        </w:rPr>
        <w:t>派员参加厅里赴多米尼加、巴巴多斯团组，与对外交流合作处一道为多米尼加－湖南农机展活动的举办进行前期筹备对接，落实活动场地、方案等细节。</w:t>
      </w:r>
      <w:r>
        <w:rPr>
          <w:rFonts w:hint="eastAsia" w:ascii="仿宋" w:hAnsi="仿宋" w:eastAsia="仿宋"/>
          <w:b/>
          <w:bCs/>
          <w:color w:val="auto"/>
          <w:sz w:val="32"/>
          <w:szCs w:val="32"/>
        </w:rPr>
        <w:t>三是继续开展农业贸易相关课题研究。</w:t>
      </w:r>
      <w:r>
        <w:rPr>
          <w:rFonts w:hint="eastAsia" w:ascii="仿宋" w:hAnsi="仿宋" w:eastAsia="仿宋"/>
          <w:bCs/>
          <w:color w:val="auto"/>
          <w:sz w:val="32"/>
          <w:szCs w:val="32"/>
        </w:rPr>
        <w:t>分季度对我省农产品进出口数据进行分析、研判，并形成季度报告，同时，对照农业农村部贸促中心贸易救济工作要求，持续对我省水稻、油菜、柑橘三个品类开展产业损害监测预警课题研究，并形成各个品类的年度报告。</w:t>
      </w:r>
    </w:p>
    <w:p>
      <w:pPr>
        <w:pStyle w:val="14"/>
        <w:spacing w:line="360" w:lineRule="auto"/>
        <w:ind w:firstLine="640" w:firstLineChars="200"/>
        <w:jc w:val="both"/>
        <w:rPr>
          <w:rFonts w:hAnsi="黑体"/>
          <w:b/>
          <w:bCs/>
          <w:color w:val="auto"/>
          <w:sz w:val="32"/>
        </w:rPr>
      </w:pPr>
      <w:r>
        <w:rPr>
          <w:rFonts w:hint="eastAsia" w:hAnsi="黑体"/>
          <w:b/>
          <w:bCs/>
          <w:color w:val="auto"/>
          <w:sz w:val="32"/>
        </w:rPr>
        <w:t>（5）全面支持农业农村部援外项目专家库建设</w:t>
      </w:r>
    </w:p>
    <w:p>
      <w:pPr>
        <w:pStyle w:val="14"/>
        <w:spacing w:line="360" w:lineRule="auto"/>
        <w:ind w:firstLine="640" w:firstLineChars="200"/>
        <w:jc w:val="both"/>
        <w:rPr>
          <w:rFonts w:ascii="仿宋" w:hAnsi="仿宋" w:eastAsia="仿宋" w:cs="Times New Roman"/>
          <w:bCs/>
          <w:color w:val="auto"/>
          <w:kern w:val="2"/>
          <w:sz w:val="32"/>
          <w:szCs w:val="32"/>
        </w:rPr>
      </w:pPr>
      <w:r>
        <w:rPr>
          <w:rFonts w:hint="eastAsia" w:ascii="仿宋" w:hAnsi="仿宋" w:eastAsia="仿宋" w:cs="Times New Roman"/>
          <w:bCs/>
          <w:color w:val="auto"/>
          <w:kern w:val="2"/>
          <w:sz w:val="32"/>
          <w:szCs w:val="32"/>
        </w:rPr>
        <w:t>全年为农业农村部共计推荐援外专家24人，为后续援外工作提供了坚实的人力资源储备。当年就有湖南专家前往布隆迪、圣普、布基纳法索、吉布提、埃塞俄比亚、莫桑比克、马拉维等7个国家实施农业援助。</w:t>
      </w:r>
    </w:p>
    <w:p>
      <w:pPr>
        <w:pStyle w:val="14"/>
        <w:spacing w:line="360" w:lineRule="auto"/>
        <w:ind w:firstLine="640" w:firstLineChars="200"/>
        <w:jc w:val="both"/>
        <w:rPr>
          <w:rFonts w:ascii="楷体" w:hAnsi="楷体" w:eastAsia="楷体" w:cs="仿宋"/>
          <w:b/>
          <w:bCs/>
          <w:color w:val="auto"/>
          <w:sz w:val="32"/>
          <w:szCs w:val="32"/>
        </w:rPr>
      </w:pPr>
      <w:r>
        <w:rPr>
          <w:rFonts w:hint="eastAsia" w:ascii="楷体" w:hAnsi="楷体" w:eastAsia="楷体" w:cs="仿宋"/>
          <w:b/>
          <w:bCs/>
          <w:color w:val="auto"/>
          <w:sz w:val="32"/>
          <w:szCs w:val="32"/>
        </w:rPr>
        <w:t>3、履职效能</w:t>
      </w:r>
    </w:p>
    <w:p>
      <w:pPr>
        <w:spacing w:line="360" w:lineRule="auto"/>
        <w:ind w:firstLine="582" w:firstLineChars="182"/>
        <w:rPr>
          <w:rFonts w:ascii="楷体" w:hAnsi="楷体" w:eastAsia="楷体" w:cs="楷体"/>
          <w:b/>
          <w:bCs/>
          <w:color w:val="auto"/>
          <w:sz w:val="32"/>
        </w:rPr>
      </w:pPr>
      <w:r>
        <w:rPr>
          <w:rFonts w:hint="eastAsia" w:ascii="仿宋" w:hAnsi="仿宋" w:eastAsia="仿宋" w:cs="楷体"/>
          <w:b/>
          <w:bCs/>
          <w:color w:val="auto"/>
          <w:sz w:val="32"/>
        </w:rPr>
        <w:t>（1） 援萨摩亚第五期农业技术合作项目成效叠显</w:t>
      </w:r>
    </w:p>
    <w:p>
      <w:pPr>
        <w:pStyle w:val="14"/>
        <w:spacing w:line="360" w:lineRule="auto"/>
        <w:ind w:firstLine="640" w:firstLineChars="200"/>
        <w:jc w:val="both"/>
        <w:rPr>
          <w:rFonts w:ascii="仿宋" w:hAnsi="仿宋" w:eastAsia="仿宋"/>
          <w:color w:val="auto"/>
          <w:sz w:val="32"/>
          <w:szCs w:val="32"/>
        </w:rPr>
      </w:pPr>
      <w:r>
        <w:rPr>
          <w:rFonts w:hint="eastAsia" w:ascii="仿宋" w:hAnsi="仿宋" w:eastAsia="仿宋" w:cs="Times New Roman"/>
          <w:bCs/>
          <w:color w:val="auto"/>
          <w:kern w:val="2"/>
          <w:sz w:val="32"/>
          <w:szCs w:val="32"/>
        </w:rPr>
        <w:t>我中心承担实施的援萨摩亚第五期农业技术合作项目受到疫情阻隔，2023年项目实施期得到顺利展期，并完成部分专家人员更替，工作开展平稳有序。全年完成了3个作物新品种审定、</w:t>
      </w:r>
      <w:r>
        <w:rPr>
          <w:rFonts w:hint="eastAsia" w:ascii="仿宋" w:hAnsi="仿宋" w:eastAsia="仿宋"/>
          <w:color w:val="auto"/>
          <w:sz w:val="32"/>
          <w:szCs w:val="32"/>
        </w:rPr>
        <w:t>3项科研成果鉴定，编印4套技术培训手册、撰写3份产业调研报告等13项智力成果。项目建立了30个蔬菜示范户，2023年示范户蔬菜收入达到1,174,695塔拉，比2020年增加811,335塔拉，增长145%。特别是项目首次在萨摩亚建成放养肉鸡产业链设施并投入使用，为项目养鸡示范农户增加收入达50万塔拉。</w:t>
      </w:r>
    </w:p>
    <w:p>
      <w:pPr>
        <w:pStyle w:val="15"/>
        <w:spacing w:line="360" w:lineRule="auto"/>
        <w:ind w:firstLine="643"/>
        <w:rPr>
          <w:rFonts w:ascii="仿宋" w:hAnsi="仿宋" w:eastAsia="仿宋" w:cs="楷体"/>
          <w:b/>
          <w:bCs/>
          <w:color w:val="auto"/>
          <w:sz w:val="32"/>
          <w:szCs w:val="32"/>
        </w:rPr>
      </w:pPr>
      <w:r>
        <w:rPr>
          <w:rFonts w:hint="eastAsia" w:ascii="仿宋" w:hAnsi="仿宋" w:eastAsia="仿宋" w:cs="楷体"/>
          <w:b/>
          <w:bCs/>
          <w:color w:val="auto"/>
          <w:sz w:val="32"/>
          <w:szCs w:val="32"/>
        </w:rPr>
        <w:t>（2）高质量完成世行贷款湖南省农田污染综合管理项目建设，实现项目圆满竣工</w:t>
      </w:r>
    </w:p>
    <w:p>
      <w:pPr>
        <w:pStyle w:val="14"/>
        <w:spacing w:line="360" w:lineRule="auto"/>
        <w:ind w:left="160" w:firstLine="640" w:firstLineChars="200"/>
        <w:jc w:val="both"/>
        <w:rPr>
          <w:rFonts w:ascii="仿宋" w:hAnsi="仿宋" w:eastAsia="仿宋"/>
          <w:color w:val="auto"/>
          <w:sz w:val="32"/>
          <w:szCs w:val="32"/>
        </w:rPr>
      </w:pPr>
      <w:r>
        <w:rPr>
          <w:rFonts w:hint="eastAsia" w:ascii="仿宋" w:hAnsi="仿宋" w:eastAsia="仿宋"/>
          <w:color w:val="auto"/>
          <w:sz w:val="32"/>
          <w:szCs w:val="32"/>
        </w:rPr>
        <w:t>该项目利用世行贷款1亿美元，项目主要建设内容包括基于风险的农田管理示范、加强农业环境监测和管理、能力建设与知识管理、项目管理与监测评价四部分。当年专家审核批复了全省14个县63个项目片区实施示范方案，全省实施面积14.25万亩，其中农艺措施面积13.12万亩（含复种面积），种植结构调整1.13万亩。</w:t>
      </w:r>
    </w:p>
    <w:p>
      <w:pPr>
        <w:pStyle w:val="15"/>
        <w:spacing w:line="360" w:lineRule="auto"/>
        <w:ind w:firstLine="640"/>
        <w:rPr>
          <w:rFonts w:ascii="仿宋" w:hAnsi="仿宋" w:eastAsia="仿宋"/>
          <w:bCs/>
          <w:color w:val="auto"/>
          <w:sz w:val="32"/>
          <w:szCs w:val="32"/>
        </w:rPr>
      </w:pPr>
      <w:r>
        <w:rPr>
          <w:rFonts w:hint="eastAsia" w:ascii="仿宋" w:hAnsi="仿宋" w:eastAsia="仿宋"/>
          <w:color w:val="auto"/>
          <w:sz w:val="32"/>
          <w:szCs w:val="32"/>
        </w:rPr>
        <w:t>2</w:t>
      </w:r>
      <w:r>
        <w:rPr>
          <w:rFonts w:ascii="仿宋" w:hAnsi="仿宋" w:eastAsia="仿宋"/>
          <w:color w:val="auto"/>
          <w:sz w:val="32"/>
          <w:szCs w:val="32"/>
        </w:rPr>
        <w:t>023</w:t>
      </w:r>
      <w:r>
        <w:rPr>
          <w:rFonts w:hint="eastAsia" w:ascii="仿宋" w:hAnsi="仿宋" w:eastAsia="仿宋"/>
          <w:color w:val="auto"/>
          <w:sz w:val="32"/>
          <w:szCs w:val="32"/>
        </w:rPr>
        <w:t>年项目全年已完成投资1.22亿元，全省共累计完成总投资6.88亿元，占比98.08%。</w:t>
      </w:r>
      <w:r>
        <w:rPr>
          <w:rFonts w:hint="eastAsia" w:ascii="仿宋" w:hAnsi="仿宋" w:eastAsia="仿宋"/>
          <w:bCs/>
          <w:color w:val="auto"/>
          <w:sz w:val="32"/>
          <w:szCs w:val="32"/>
        </w:rPr>
        <w:t>稻米镉、砷平均达标率分别为</w:t>
      </w:r>
      <w:r>
        <w:rPr>
          <w:rFonts w:ascii="仿宋" w:hAnsi="仿宋" w:eastAsia="仿宋"/>
          <w:bCs/>
          <w:color w:val="auto"/>
          <w:sz w:val="32"/>
          <w:szCs w:val="32"/>
        </w:rPr>
        <w:t>97.34%</w:t>
      </w:r>
      <w:r>
        <w:rPr>
          <w:rFonts w:hint="eastAsia" w:ascii="仿宋" w:hAnsi="仿宋" w:eastAsia="仿宋"/>
          <w:bCs/>
          <w:color w:val="auto"/>
          <w:sz w:val="32"/>
          <w:szCs w:val="32"/>
        </w:rPr>
        <w:t>、9</w:t>
      </w:r>
      <w:r>
        <w:rPr>
          <w:rFonts w:ascii="仿宋" w:hAnsi="仿宋" w:eastAsia="仿宋"/>
          <w:bCs/>
          <w:color w:val="auto"/>
          <w:sz w:val="32"/>
          <w:szCs w:val="32"/>
        </w:rPr>
        <w:t>9.47%</w:t>
      </w:r>
      <w:r>
        <w:rPr>
          <w:rFonts w:hint="eastAsia" w:ascii="仿宋" w:hAnsi="仿宋" w:eastAsia="仿宋"/>
          <w:bCs/>
          <w:color w:val="auto"/>
          <w:sz w:val="32"/>
          <w:szCs w:val="32"/>
        </w:rPr>
        <w:t>，</w:t>
      </w:r>
      <w:r>
        <w:rPr>
          <w:rFonts w:hint="eastAsia" w:ascii="仿宋" w:hAnsi="仿宋" w:eastAsia="仿宋"/>
          <w:color w:val="auto"/>
          <w:sz w:val="32"/>
          <w:szCs w:val="32"/>
        </w:rPr>
        <w:t>项目</w:t>
      </w:r>
      <w:r>
        <w:rPr>
          <w:rFonts w:hint="eastAsia" w:ascii="仿宋" w:hAnsi="仿宋" w:eastAsia="仿宋"/>
          <w:bCs/>
          <w:color w:val="auto"/>
          <w:sz w:val="32"/>
          <w:szCs w:val="32"/>
        </w:rPr>
        <w:t>实施效果良好。</w:t>
      </w:r>
    </w:p>
    <w:p>
      <w:pPr>
        <w:pStyle w:val="15"/>
        <w:spacing w:line="360" w:lineRule="auto"/>
        <w:ind w:firstLine="643"/>
        <w:rPr>
          <w:rFonts w:ascii="仿宋" w:hAnsi="仿宋" w:eastAsia="仿宋" w:cs="楷体"/>
          <w:b/>
          <w:bCs/>
          <w:color w:val="auto"/>
          <w:sz w:val="32"/>
          <w:szCs w:val="32"/>
        </w:rPr>
      </w:pPr>
      <w:r>
        <w:rPr>
          <w:rFonts w:hint="eastAsia" w:ascii="仿宋" w:hAnsi="仿宋" w:eastAsia="仿宋" w:cs="楷体"/>
          <w:b/>
          <w:bCs/>
          <w:color w:val="auto"/>
          <w:sz w:val="32"/>
          <w:szCs w:val="32"/>
        </w:rPr>
        <w:t>（3）攻坚克难，国际农发基金贷款湖南省乡村振兴发展项目取得良好进展态势</w:t>
      </w:r>
    </w:p>
    <w:p>
      <w:pPr>
        <w:pStyle w:val="14"/>
        <w:spacing w:line="360" w:lineRule="auto"/>
        <w:ind w:firstLine="640" w:firstLineChars="200"/>
        <w:jc w:val="both"/>
        <w:rPr>
          <w:rFonts w:ascii="仿宋" w:hAnsi="仿宋" w:eastAsia="仿宋"/>
          <w:color w:val="auto"/>
          <w:sz w:val="32"/>
          <w:szCs w:val="32"/>
        </w:rPr>
      </w:pPr>
      <w:r>
        <w:rPr>
          <w:rFonts w:hint="eastAsia" w:ascii="仿宋" w:hAnsi="仿宋" w:eastAsia="仿宋" w:cs="Times New Roman"/>
          <w:color w:val="auto"/>
          <w:kern w:val="2"/>
          <w:sz w:val="32"/>
          <w:szCs w:val="32"/>
        </w:rPr>
        <w:t>2023年项目完成投资</w:t>
      </w:r>
      <w:r>
        <w:rPr>
          <w:rFonts w:hint="eastAsia" w:ascii="仿宋" w:hAnsi="仿宋" w:eastAsia="仿宋"/>
          <w:color w:val="auto"/>
          <w:sz w:val="32"/>
          <w:szCs w:val="32"/>
        </w:rPr>
        <w:t>3.12亿</w:t>
      </w:r>
      <w:r>
        <w:rPr>
          <w:rFonts w:hint="eastAsia" w:ascii="仿宋" w:hAnsi="仿宋" w:eastAsia="仿宋" w:cs="Times New Roman"/>
          <w:color w:val="auto"/>
          <w:kern w:val="2"/>
          <w:sz w:val="32"/>
          <w:szCs w:val="32"/>
        </w:rPr>
        <w:t>元，占年度计划的62.9%。其中，</w:t>
      </w:r>
      <w:r>
        <w:rPr>
          <w:rFonts w:hint="eastAsia" w:ascii="仿宋" w:hAnsi="仿宋" w:eastAsia="仿宋"/>
          <w:color w:val="auto"/>
          <w:sz w:val="32"/>
          <w:szCs w:val="32"/>
        </w:rPr>
        <w:t>完成商业计划备案37个、青年/妇女创业计划53个，总计投资5,875.4万元；完成了15个土建工程合同包的采购，涉及金额2,878.45万元，建设内容包括灌溉渠道、输水管道、山塘等灌溉设施。</w:t>
      </w:r>
      <w:r>
        <w:rPr>
          <w:rFonts w:hint="eastAsia" w:ascii="仿宋" w:hAnsi="仿宋" w:eastAsia="仿宋" w:cs="Times New Roman"/>
          <w:color w:val="auto"/>
          <w:kern w:val="2"/>
          <w:sz w:val="32"/>
          <w:szCs w:val="32"/>
        </w:rPr>
        <w:t>目前，</w:t>
      </w:r>
      <w:r>
        <w:rPr>
          <w:rFonts w:hint="eastAsia" w:ascii="仿宋" w:hAnsi="仿宋" w:eastAsia="仿宋"/>
          <w:color w:val="auto"/>
          <w:sz w:val="32"/>
          <w:szCs w:val="32"/>
        </w:rPr>
        <w:t>项目实施呈现有序推进的良好态势。</w:t>
      </w:r>
    </w:p>
    <w:p>
      <w:pPr>
        <w:pStyle w:val="14"/>
        <w:spacing w:line="360" w:lineRule="auto"/>
        <w:ind w:firstLine="640" w:firstLineChars="200"/>
        <w:jc w:val="both"/>
        <w:rPr>
          <w:rFonts w:ascii="仿宋" w:hAnsi="仿宋" w:eastAsia="仿宋" w:cs="楷体"/>
          <w:b/>
          <w:bCs/>
          <w:color w:val="auto"/>
          <w:kern w:val="2"/>
          <w:sz w:val="32"/>
          <w:szCs w:val="32"/>
        </w:rPr>
      </w:pPr>
      <w:r>
        <w:rPr>
          <w:rFonts w:hint="eastAsia" w:ascii="仿宋" w:hAnsi="仿宋" w:eastAsia="仿宋" w:cs="楷体"/>
          <w:b/>
          <w:bCs/>
          <w:color w:val="auto"/>
          <w:kern w:val="2"/>
          <w:sz w:val="32"/>
          <w:szCs w:val="32"/>
        </w:rPr>
        <w:t>（4）申请世行贷款绿色农业和乡村振兴项目贷款获得世行执行董事会通过</w:t>
      </w:r>
    </w:p>
    <w:p>
      <w:pPr>
        <w:spacing w:line="360" w:lineRule="auto"/>
        <w:ind w:firstLine="640" w:firstLineChars="200"/>
        <w:rPr>
          <w:rFonts w:ascii="仿宋" w:hAnsi="仿宋" w:eastAsia="仿宋"/>
          <w:color w:val="auto"/>
          <w:sz w:val="32"/>
          <w:szCs w:val="32"/>
        </w:rPr>
      </w:pPr>
      <w:r>
        <w:rPr>
          <w:rFonts w:hint="eastAsia" w:ascii="仿宋" w:hAnsi="仿宋" w:eastAsia="仿宋"/>
          <w:color w:val="auto"/>
          <w:sz w:val="32"/>
          <w:szCs w:val="32"/>
        </w:rPr>
        <w:t>瞄准绿色农业和乡村振兴，我们继续努力推进争取工作。2023年初，周到安排世行评估团来湘开展正式评估，确认了项目评估文件（PAD）草案中的文本内容，每个支付关联指标和结果框架指标的基线值、目标值、监测评估方案和核验方案，以及促进支付关联指标实现的项目行动计划。完成了项目经济和财务分析，并商定了项目谈判前需完成的工作及预期谈判时间；2023年3月，我们热情接待了世行高级代表团访湘，实地考察了我省正在实施的项目，湖南农业外贷项目成就得到了代表团成员高度称赞。2023年4月，我们精心组织，在长沙承担了由财政部主谈各项目省份参加的技术磋商和谈判，签署了会议纪要；目前，该项目已通过世行执董会审批，预计2024年将如期启动实施。项目相关准备工作正按计划推进。</w:t>
      </w:r>
    </w:p>
    <w:p>
      <w:pPr>
        <w:spacing w:line="360" w:lineRule="auto"/>
        <w:ind w:firstLine="800" w:firstLineChars="250"/>
        <w:rPr>
          <w:rFonts w:ascii="楷体" w:hAnsi="楷体" w:eastAsia="楷体"/>
          <w:b/>
          <w:color w:val="auto"/>
          <w:sz w:val="32"/>
          <w:szCs w:val="32"/>
        </w:rPr>
      </w:pPr>
      <w:r>
        <w:rPr>
          <w:rFonts w:hint="eastAsia" w:ascii="楷体" w:hAnsi="楷体" w:eastAsia="楷体"/>
          <w:b/>
          <w:color w:val="auto"/>
          <w:sz w:val="32"/>
          <w:szCs w:val="32"/>
        </w:rPr>
        <w:t>4、社会效益</w:t>
      </w:r>
    </w:p>
    <w:p>
      <w:pPr>
        <w:spacing w:line="360" w:lineRule="auto"/>
        <w:ind w:firstLine="640" w:firstLineChars="200"/>
        <w:rPr>
          <w:rFonts w:ascii="仿宋" w:hAnsi="仿宋" w:eastAsia="仿宋"/>
          <w:color w:val="auto"/>
          <w:sz w:val="32"/>
          <w:szCs w:val="32"/>
        </w:rPr>
      </w:pPr>
      <w:r>
        <w:rPr>
          <w:rFonts w:hint="eastAsia" w:ascii="仿宋" w:hAnsi="仿宋" w:eastAsia="仿宋"/>
          <w:color w:val="auto"/>
          <w:sz w:val="32"/>
          <w:szCs w:val="32"/>
        </w:rPr>
        <w:t>萨摩亚第五期农业技术合作项目已成为南太平洋地区具有代表性的“小而美”农业援外项目，并受到了来自中央电视台、萨摩亚电视台、新华社、萨摩亚《新闻在线版》等多家境内外媒体报道达50余次。</w:t>
      </w:r>
      <w:r>
        <w:rPr>
          <w:rFonts w:hint="eastAsia" w:ascii="仿宋" w:hAnsi="仿宋" w:eastAsia="仿宋"/>
          <w:color w:val="auto"/>
          <w:sz w:val="32"/>
        </w:rPr>
        <w:t>2023年4月，农业农村部马有祥副部长率团实地考察中国援萨摩亚农业技术合作项目，听取了专家组汇报，对项目成效予以高度评价，赞誉援外专家“使命光荣，责任重大”；</w:t>
      </w:r>
      <w:r>
        <w:rPr>
          <w:rFonts w:hint="eastAsia" w:ascii="仿宋" w:hAnsi="仿宋" w:eastAsia="仿宋"/>
          <w:color w:val="auto"/>
          <w:sz w:val="32"/>
          <w:szCs w:val="32"/>
        </w:rPr>
        <w:t>2023年11月，我中心实施的</w:t>
      </w:r>
      <w:r>
        <w:rPr>
          <w:rFonts w:hint="eastAsia" w:ascii="仿宋" w:hAnsi="仿宋" w:eastAsia="仿宋"/>
          <w:color w:val="auto"/>
          <w:sz w:val="32"/>
        </w:rPr>
        <w:t>中国援萨摩亚农业技术合作项目</w:t>
      </w:r>
      <w:r>
        <w:rPr>
          <w:rFonts w:hint="eastAsia" w:ascii="仿宋" w:hAnsi="仿宋" w:eastAsia="仿宋"/>
          <w:color w:val="auto"/>
          <w:sz w:val="32"/>
          <w:szCs w:val="32"/>
        </w:rPr>
        <w:t>被联合国粮农组织、世界粮食计划署、世界银行等七家国际知名机构联合评定为“全球最佳减贫案例”。</w:t>
      </w:r>
    </w:p>
    <w:p>
      <w:pPr>
        <w:spacing w:line="360" w:lineRule="auto"/>
        <w:ind w:firstLine="640" w:firstLineChars="200"/>
        <w:rPr>
          <w:rFonts w:ascii="楷体" w:hAnsi="楷体" w:eastAsia="楷体"/>
          <w:b/>
          <w:color w:val="auto"/>
          <w:sz w:val="32"/>
        </w:rPr>
      </w:pPr>
      <w:r>
        <w:rPr>
          <w:rFonts w:hint="eastAsia" w:ascii="楷体" w:hAnsi="楷体" w:eastAsia="楷体"/>
          <w:b/>
          <w:color w:val="auto"/>
          <w:sz w:val="32"/>
        </w:rPr>
        <w:t>5、可持续发展能力</w:t>
      </w:r>
    </w:p>
    <w:p>
      <w:pPr>
        <w:spacing w:line="360" w:lineRule="auto"/>
        <w:ind w:firstLine="640" w:firstLineChars="200"/>
        <w:rPr>
          <w:rFonts w:ascii="仿宋" w:hAnsi="仿宋" w:eastAsia="仿宋"/>
          <w:color w:val="auto"/>
          <w:sz w:val="32"/>
          <w:szCs w:val="32"/>
        </w:rPr>
      </w:pPr>
      <w:r>
        <w:rPr>
          <w:rFonts w:hint="eastAsia" w:ascii="仿宋" w:hAnsi="仿宋" w:eastAsia="仿宋"/>
          <w:b/>
          <w:bCs/>
          <w:color w:val="auto"/>
          <w:sz w:val="32"/>
        </w:rPr>
        <w:t>圆满完成了萨摩亚农业团来华培训。</w:t>
      </w:r>
      <w:r>
        <w:rPr>
          <w:rFonts w:hint="eastAsia" w:ascii="仿宋" w:hAnsi="仿宋" w:eastAsia="仿宋"/>
          <w:color w:val="auto"/>
          <w:sz w:val="32"/>
          <w:szCs w:val="32"/>
        </w:rPr>
        <w:t>精心安排培训课程，向20名来华学员教学、示范了我省蔬菜、水果、养鸡等实用农业技术，传授农业循环经济理念，展现了我省农业和经济社会成果，进一步深化了两国人民友谊；</w:t>
      </w:r>
      <w:r>
        <w:rPr>
          <w:rFonts w:hint="eastAsia" w:ascii="仿宋" w:hAnsi="仿宋" w:eastAsia="仿宋"/>
          <w:b/>
          <w:bCs/>
          <w:color w:val="auto"/>
          <w:sz w:val="32"/>
        </w:rPr>
        <w:t>高质量完成了湖南农业援外宣传片的摄制和校编。</w:t>
      </w:r>
      <w:r>
        <w:rPr>
          <w:rFonts w:hint="eastAsia" w:ascii="仿宋" w:hAnsi="仿宋" w:eastAsia="仿宋"/>
          <w:color w:val="auto"/>
          <w:sz w:val="32"/>
          <w:szCs w:val="32"/>
        </w:rPr>
        <w:t>并在华盛顿中文电视台、湖南卫视和红网等20多个境内外平台播出，累计播放61次，进一步打造湖南农业援外品牌，展示湖南农业援外专家奉献精神</w:t>
      </w:r>
      <w:r>
        <w:rPr>
          <w:rFonts w:hint="eastAsia" w:ascii="仿宋_GB2312" w:eastAsia="仿宋_GB2312"/>
          <w:color w:val="auto"/>
          <w:sz w:val="32"/>
        </w:rPr>
        <w:t>；</w:t>
      </w:r>
      <w:r>
        <w:rPr>
          <w:rFonts w:hint="eastAsia" w:ascii="仿宋" w:hAnsi="仿宋" w:eastAsia="仿宋"/>
          <w:b/>
          <w:bCs/>
          <w:color w:val="auto"/>
          <w:sz w:val="32"/>
        </w:rPr>
        <w:t>全面支持农业农村部援外项目专家库建设。</w:t>
      </w:r>
      <w:r>
        <w:rPr>
          <w:rFonts w:hint="eastAsia" w:ascii="仿宋" w:hAnsi="仿宋" w:eastAsia="仿宋"/>
          <w:color w:val="auto"/>
          <w:sz w:val="32"/>
          <w:szCs w:val="32"/>
        </w:rPr>
        <w:t>全年为农业农村部共计推荐援外专家24人，为后续援外工作提供了坚实的人力资源储备。当年就有湖南专家前往布隆迪、圣普、布基纳法索、吉布提、埃塞俄比亚、莫桑比克、马拉维等7个国家实施农业援助，我省专家在上述项目实施中发挥了积极的作用。</w:t>
      </w:r>
    </w:p>
    <w:p>
      <w:pPr>
        <w:spacing w:line="360" w:lineRule="auto"/>
        <w:ind w:firstLine="640" w:firstLineChars="200"/>
        <w:rPr>
          <w:rFonts w:ascii="楷体" w:hAnsi="楷体" w:eastAsia="楷体"/>
          <w:b/>
          <w:color w:val="auto"/>
          <w:sz w:val="32"/>
        </w:rPr>
      </w:pPr>
      <w:r>
        <w:rPr>
          <w:rFonts w:hint="eastAsia" w:ascii="楷体" w:hAnsi="楷体" w:eastAsia="楷体"/>
          <w:b/>
          <w:color w:val="auto"/>
          <w:sz w:val="32"/>
        </w:rPr>
        <w:t>5、服务对象满意度</w:t>
      </w:r>
    </w:p>
    <w:p>
      <w:pPr>
        <w:spacing w:line="360" w:lineRule="auto"/>
        <w:ind w:firstLine="560"/>
        <w:rPr>
          <w:rFonts w:ascii="仿宋" w:hAnsi="仿宋" w:eastAsia="仿宋"/>
          <w:color w:val="auto"/>
          <w:sz w:val="32"/>
          <w:szCs w:val="32"/>
        </w:rPr>
      </w:pPr>
      <w:r>
        <w:rPr>
          <w:rFonts w:hint="eastAsia" w:ascii="仿宋" w:hAnsi="仿宋" w:eastAsia="仿宋"/>
          <w:color w:val="auto"/>
          <w:sz w:val="32"/>
          <w:szCs w:val="32"/>
        </w:rPr>
        <w:t>我中心实施的中国援萨摩亚农业技术合作项目取得优异成绩</w:t>
      </w:r>
      <w:r>
        <w:rPr>
          <w:rFonts w:ascii="仿宋" w:hAnsi="仿宋" w:eastAsia="仿宋"/>
          <w:color w:val="auto"/>
          <w:sz w:val="32"/>
          <w:szCs w:val="32"/>
        </w:rPr>
        <w:t>,</w:t>
      </w:r>
      <w:r>
        <w:rPr>
          <w:rFonts w:hint="eastAsia" w:ascii="仿宋" w:hAnsi="仿宋" w:eastAsia="仿宋"/>
          <w:color w:val="auto"/>
          <w:sz w:val="32"/>
          <w:szCs w:val="32"/>
        </w:rPr>
        <w:t>项目影响力不断扩大，有力服务了国家外交大局，促进了两国友好关系，得到中萨两国政府、民众和媒体的高度评价。</w:t>
      </w:r>
    </w:p>
    <w:p>
      <w:pPr>
        <w:pStyle w:val="14"/>
        <w:spacing w:line="580" w:lineRule="exact"/>
        <w:ind w:firstLine="640"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（三）存在的问题及原因分析</w:t>
      </w:r>
    </w:p>
    <w:p>
      <w:pPr>
        <w:pStyle w:val="14"/>
        <w:ind w:firstLine="640" w:firstLineChars="200"/>
        <w:jc w:val="both"/>
        <w:rPr>
          <w:color w:val="auto"/>
          <w:sz w:val="72"/>
          <w:szCs w:val="72"/>
        </w:rPr>
      </w:pPr>
      <w:r>
        <w:rPr>
          <w:rFonts w:ascii="仿宋" w:hAnsi="仿宋" w:eastAsia="仿宋"/>
          <w:color w:val="auto"/>
          <w:sz w:val="32"/>
          <w:szCs w:val="32"/>
        </w:rPr>
        <w:t>2023</w:t>
      </w:r>
      <w:r>
        <w:rPr>
          <w:rFonts w:hint="eastAsia" w:ascii="仿宋" w:hAnsi="仿宋" w:eastAsia="仿宋"/>
          <w:color w:val="auto"/>
          <w:sz w:val="32"/>
          <w:szCs w:val="32"/>
        </w:rPr>
        <w:t>年度单位整体预算执行率不高，主要原因一是</w:t>
      </w:r>
      <w:r>
        <w:rPr>
          <w:rFonts w:hint="eastAsia" w:ascii="仿宋" w:hAnsi="仿宋" w:eastAsia="仿宋" w:cs="仿宋"/>
          <w:color w:val="auto"/>
          <w:sz w:val="32"/>
          <w:szCs w:val="32"/>
        </w:rPr>
        <w:t>受我国对外援助项目管理方式的影响，当前对外援助项目实行的是项目资金报账回补制，并要求提供项目总金额10%非信用担保的履约保函；二</w:t>
      </w:r>
      <w:r>
        <w:rPr>
          <w:rFonts w:hint="eastAsia" w:ascii="仿宋" w:hAnsi="仿宋" w:eastAsia="仿宋"/>
          <w:color w:val="auto"/>
          <w:sz w:val="32"/>
          <w:szCs w:val="32"/>
        </w:rPr>
        <w:t>是部分委托业务按</w:t>
      </w:r>
      <w:r>
        <w:rPr>
          <w:rFonts w:ascii="仿宋" w:hAnsi="仿宋" w:eastAsia="仿宋"/>
          <w:color w:val="auto"/>
          <w:sz w:val="32"/>
          <w:szCs w:val="32"/>
        </w:rPr>
        <w:t>进度付款及跨年结算费用</w:t>
      </w:r>
      <w:r>
        <w:rPr>
          <w:rFonts w:hint="eastAsia" w:ascii="仿宋" w:hAnsi="仿宋" w:eastAsia="仿宋"/>
          <w:color w:val="auto"/>
          <w:sz w:val="32"/>
          <w:szCs w:val="32"/>
        </w:rPr>
        <w:t xml:space="preserve">；三是根据相关要求压缩经费开支，以及落实绩效工资统筹所致。        </w:t>
      </w:r>
    </w:p>
    <w:p>
      <w:pPr>
        <w:pStyle w:val="14"/>
        <w:jc w:val="center"/>
        <w:rPr>
          <w:color w:val="auto"/>
          <w:sz w:val="72"/>
          <w:szCs w:val="72"/>
        </w:rPr>
      </w:pPr>
    </w:p>
    <w:p>
      <w:pPr>
        <w:pStyle w:val="14"/>
        <w:jc w:val="center"/>
        <w:rPr>
          <w:color w:val="auto"/>
          <w:sz w:val="72"/>
          <w:szCs w:val="72"/>
        </w:rPr>
      </w:pPr>
    </w:p>
    <w:p>
      <w:pPr>
        <w:pStyle w:val="14"/>
        <w:jc w:val="both"/>
        <w:rPr>
          <w:rFonts w:ascii="方正小标宋_GBK" w:hAnsi="方正小标宋_GBK" w:eastAsia="方正小标宋_GBK" w:cs="方正小标宋_GBK"/>
          <w:color w:val="auto"/>
          <w:sz w:val="72"/>
          <w:szCs w:val="72"/>
        </w:rPr>
      </w:pPr>
    </w:p>
    <w:p>
      <w:pPr>
        <w:pStyle w:val="14"/>
        <w:jc w:val="center"/>
        <w:rPr>
          <w:rFonts w:ascii="方正小标宋_GBK" w:hAnsi="方正小标宋_GBK" w:eastAsia="方正小标宋_GBK" w:cs="方正小标宋_GBK"/>
          <w:color w:val="auto"/>
          <w:sz w:val="72"/>
          <w:szCs w:val="72"/>
        </w:rPr>
      </w:pPr>
    </w:p>
    <w:p>
      <w:pPr>
        <w:pStyle w:val="14"/>
        <w:jc w:val="center"/>
        <w:rPr>
          <w:rFonts w:ascii="方正小标宋_GBK" w:hAnsi="方正小标宋_GBK" w:eastAsia="方正小标宋_GBK" w:cs="方正小标宋_GBK"/>
          <w:color w:val="auto"/>
          <w:sz w:val="72"/>
          <w:szCs w:val="72"/>
        </w:rPr>
      </w:pPr>
    </w:p>
    <w:p>
      <w:pPr>
        <w:pStyle w:val="14"/>
        <w:jc w:val="center"/>
        <w:rPr>
          <w:rFonts w:ascii="方正小标宋_GBK" w:hAnsi="方正小标宋_GBK" w:eastAsia="方正小标宋_GBK" w:cs="方正小标宋_GBK"/>
          <w:color w:val="auto"/>
          <w:sz w:val="72"/>
          <w:szCs w:val="72"/>
        </w:rPr>
      </w:pPr>
    </w:p>
    <w:p>
      <w:pPr>
        <w:pStyle w:val="14"/>
        <w:jc w:val="center"/>
        <w:rPr>
          <w:rFonts w:ascii="方正小标宋_GBK" w:hAnsi="方正小标宋_GBK" w:eastAsia="方正小标宋_GBK" w:cs="方正小标宋_GBK"/>
          <w:color w:val="auto"/>
          <w:sz w:val="72"/>
          <w:szCs w:val="72"/>
        </w:rPr>
      </w:pPr>
    </w:p>
    <w:p>
      <w:pPr>
        <w:pStyle w:val="14"/>
        <w:jc w:val="center"/>
        <w:rPr>
          <w:rFonts w:ascii="方正小标宋_GBK" w:hAnsi="方正小标宋_GBK" w:eastAsia="方正小标宋_GBK" w:cs="方正小标宋_GBK"/>
          <w:color w:val="auto"/>
          <w:sz w:val="72"/>
          <w:szCs w:val="72"/>
        </w:rPr>
      </w:pPr>
    </w:p>
    <w:p>
      <w:pPr>
        <w:pStyle w:val="14"/>
        <w:jc w:val="center"/>
        <w:rPr>
          <w:rFonts w:ascii="方正小标宋_GBK" w:hAnsi="方正小标宋_GBK" w:eastAsia="方正小标宋_GBK" w:cs="方正小标宋_GBK"/>
          <w:color w:val="auto"/>
          <w:sz w:val="72"/>
          <w:szCs w:val="72"/>
        </w:rPr>
      </w:pPr>
    </w:p>
    <w:p>
      <w:pPr>
        <w:pStyle w:val="14"/>
        <w:jc w:val="center"/>
        <w:rPr>
          <w:rFonts w:ascii="方正小标宋_GBK" w:hAnsi="方正小标宋_GBK" w:eastAsia="方正小标宋_GBK" w:cs="方正小标宋_GBK"/>
          <w:color w:val="auto"/>
          <w:sz w:val="72"/>
          <w:szCs w:val="72"/>
        </w:rPr>
      </w:pPr>
    </w:p>
    <w:p>
      <w:pPr>
        <w:pStyle w:val="14"/>
        <w:jc w:val="center"/>
        <w:rPr>
          <w:rFonts w:ascii="方正小标宋_GBK" w:hAnsi="方正小标宋_GBK" w:eastAsia="方正小标宋_GBK" w:cs="方正小标宋_GBK"/>
          <w:color w:val="auto"/>
          <w:sz w:val="72"/>
          <w:szCs w:val="72"/>
        </w:rPr>
      </w:pPr>
      <w:r>
        <w:rPr>
          <w:rFonts w:hint="eastAsia" w:ascii="方正小标宋_GBK" w:hAnsi="方正小标宋_GBK" w:eastAsia="方正小标宋_GBK" w:cs="方正小标宋_GBK"/>
          <w:color w:val="auto"/>
          <w:sz w:val="72"/>
          <w:szCs w:val="72"/>
        </w:rPr>
        <w:t>第四部分</w:t>
      </w:r>
    </w:p>
    <w:p>
      <w:pPr>
        <w:jc w:val="center"/>
        <w:rPr>
          <w:rFonts w:ascii="方正小标宋_GBK" w:hAnsi="方正小标宋_GBK" w:eastAsia="方正小标宋_GBK" w:cs="方正小标宋_GBK"/>
          <w:color w:val="auto"/>
          <w:kern w:val="0"/>
          <w:sz w:val="70"/>
          <w:szCs w:val="70"/>
        </w:rPr>
      </w:pPr>
    </w:p>
    <w:p>
      <w:pPr>
        <w:jc w:val="center"/>
        <w:rPr>
          <w:rFonts w:ascii="方正小标宋_GBK" w:hAnsi="方正小标宋_GBK" w:eastAsia="方正小标宋_GBK" w:cs="方正小标宋_GBK"/>
          <w:color w:val="auto"/>
          <w:kern w:val="0"/>
          <w:sz w:val="70"/>
          <w:szCs w:val="70"/>
        </w:rPr>
      </w:pPr>
      <w:r>
        <w:rPr>
          <w:rFonts w:hint="eastAsia" w:ascii="方正小标宋_GBK" w:hAnsi="方正小标宋_GBK" w:eastAsia="方正小标宋_GBK" w:cs="方正小标宋_GBK"/>
          <w:color w:val="auto"/>
          <w:kern w:val="0"/>
          <w:sz w:val="70"/>
          <w:szCs w:val="70"/>
        </w:rPr>
        <w:t>名词解释</w:t>
      </w:r>
    </w:p>
    <w:p>
      <w:pPr>
        <w:widowControl/>
        <w:jc w:val="left"/>
        <w:rPr>
          <w:rFonts w:cs="黑体" w:asciiTheme="minorEastAsia" w:hAnsiTheme="minorEastAsia"/>
          <w:color w:val="auto"/>
          <w:kern w:val="0"/>
          <w:sz w:val="32"/>
          <w:szCs w:val="32"/>
        </w:rPr>
      </w:pPr>
      <w:r>
        <w:rPr>
          <w:rFonts w:hint="eastAsia" w:ascii="方正小标宋_GBK" w:hAnsi="方正小标宋_GBK" w:eastAsia="方正小标宋_GBK" w:cs="方正小标宋_GBK"/>
          <w:color w:val="auto"/>
          <w:kern w:val="0"/>
          <w:sz w:val="70"/>
          <w:szCs w:val="70"/>
        </w:rPr>
        <w:br w:type="page"/>
      </w:r>
    </w:p>
    <w:p>
      <w:pPr>
        <w:widowControl/>
        <w:ind w:firstLine="640" w:firstLineChars="200"/>
        <w:jc w:val="left"/>
        <w:rPr>
          <w:rFonts w:ascii="仿宋" w:hAnsi="仿宋" w:eastAsia="仿宋" w:cs="黑体"/>
          <w:bCs/>
          <w:color w:val="auto"/>
          <w:kern w:val="0"/>
          <w:sz w:val="32"/>
          <w:szCs w:val="32"/>
        </w:rPr>
      </w:pPr>
      <w:r>
        <w:rPr>
          <w:rFonts w:hint="eastAsia" w:ascii="仿宋" w:hAnsi="仿宋" w:eastAsia="仿宋" w:cs="黑体"/>
          <w:bCs/>
          <w:color w:val="auto"/>
          <w:kern w:val="0"/>
          <w:sz w:val="32"/>
          <w:szCs w:val="32"/>
        </w:rPr>
        <w:t>一、基本支出：指为保障机构正常运转、完成日常工作任务而发生的各项支出，包括人员支出和公用支出。</w:t>
      </w:r>
    </w:p>
    <w:p>
      <w:pPr>
        <w:ind w:firstLine="640" w:firstLineChars="200"/>
        <w:jc w:val="left"/>
        <w:rPr>
          <w:rFonts w:ascii="仿宋" w:hAnsi="仿宋" w:eastAsia="仿宋" w:cs="黑体"/>
          <w:bCs/>
          <w:color w:val="auto"/>
          <w:kern w:val="0"/>
          <w:sz w:val="32"/>
          <w:szCs w:val="32"/>
        </w:rPr>
      </w:pPr>
      <w:r>
        <w:rPr>
          <w:rFonts w:hint="eastAsia" w:ascii="仿宋" w:hAnsi="仿宋" w:eastAsia="仿宋" w:cs="黑体"/>
          <w:bCs/>
          <w:color w:val="auto"/>
          <w:kern w:val="0"/>
          <w:sz w:val="32"/>
          <w:szCs w:val="32"/>
        </w:rPr>
        <w:t xml:space="preserve">二、项目支出：指在基本支出以外为完成相关行政任务和事业发展目标所发生的各项支出。 </w:t>
      </w:r>
    </w:p>
    <w:p>
      <w:pPr>
        <w:pStyle w:val="14"/>
        <w:ind w:firstLine="640" w:firstLineChars="200"/>
        <w:rPr>
          <w:rFonts w:ascii="仿宋" w:hAnsi="仿宋" w:eastAsia="仿宋"/>
          <w:bCs/>
          <w:color w:val="auto"/>
          <w:sz w:val="32"/>
          <w:szCs w:val="32"/>
        </w:rPr>
      </w:pPr>
      <w:r>
        <w:rPr>
          <w:rFonts w:hint="eastAsia" w:ascii="仿宋" w:hAnsi="仿宋" w:eastAsia="仿宋"/>
          <w:bCs/>
          <w:color w:val="auto"/>
          <w:sz w:val="32"/>
          <w:szCs w:val="32"/>
        </w:rPr>
        <w:t>三、“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pStyle w:val="14"/>
        <w:jc w:val="center"/>
        <w:rPr>
          <w:color w:val="auto"/>
          <w:sz w:val="72"/>
          <w:szCs w:val="72"/>
        </w:rPr>
      </w:pPr>
    </w:p>
    <w:p>
      <w:pPr>
        <w:rPr>
          <w:color w:val="auto"/>
          <w:sz w:val="72"/>
          <w:szCs w:val="72"/>
        </w:rPr>
      </w:pPr>
      <w:r>
        <w:rPr>
          <w:color w:val="auto"/>
          <w:sz w:val="72"/>
          <w:szCs w:val="72"/>
        </w:rPr>
        <w:br w:type="page"/>
      </w:r>
    </w:p>
    <w:p>
      <w:pPr>
        <w:pStyle w:val="14"/>
        <w:jc w:val="center"/>
        <w:rPr>
          <w:rFonts w:ascii="方正小标宋_GBK" w:hAnsi="方正小标宋_GBK" w:eastAsia="方正小标宋_GBK" w:cs="方正小标宋_GBK"/>
          <w:color w:val="auto"/>
          <w:sz w:val="72"/>
          <w:szCs w:val="72"/>
        </w:rPr>
      </w:pPr>
    </w:p>
    <w:p>
      <w:pPr>
        <w:pStyle w:val="14"/>
        <w:jc w:val="center"/>
        <w:rPr>
          <w:rFonts w:ascii="方正小标宋_GBK" w:hAnsi="方正小标宋_GBK" w:eastAsia="方正小标宋_GBK" w:cs="方正小标宋_GBK"/>
          <w:color w:val="auto"/>
          <w:sz w:val="72"/>
          <w:szCs w:val="72"/>
        </w:rPr>
      </w:pPr>
    </w:p>
    <w:p>
      <w:pPr>
        <w:pStyle w:val="14"/>
        <w:jc w:val="center"/>
        <w:rPr>
          <w:rFonts w:ascii="方正小标宋_GBK" w:hAnsi="方正小标宋_GBK" w:eastAsia="方正小标宋_GBK" w:cs="方正小标宋_GBK"/>
          <w:color w:val="auto"/>
          <w:sz w:val="72"/>
          <w:szCs w:val="72"/>
        </w:rPr>
      </w:pPr>
    </w:p>
    <w:p>
      <w:pPr>
        <w:pStyle w:val="14"/>
        <w:jc w:val="center"/>
        <w:rPr>
          <w:rFonts w:ascii="方正小标宋_GBK" w:hAnsi="方正小标宋_GBK" w:eastAsia="方正小标宋_GBK" w:cs="方正小标宋_GBK"/>
          <w:color w:val="auto"/>
          <w:sz w:val="72"/>
          <w:szCs w:val="72"/>
        </w:rPr>
      </w:pPr>
    </w:p>
    <w:p>
      <w:pPr>
        <w:pStyle w:val="14"/>
        <w:jc w:val="center"/>
        <w:rPr>
          <w:rFonts w:ascii="方正小标宋_GBK" w:hAnsi="方正小标宋_GBK" w:eastAsia="方正小标宋_GBK" w:cs="方正小标宋_GBK"/>
          <w:color w:val="auto"/>
          <w:sz w:val="72"/>
          <w:szCs w:val="72"/>
        </w:rPr>
      </w:pPr>
    </w:p>
    <w:p>
      <w:pPr>
        <w:pStyle w:val="14"/>
        <w:jc w:val="center"/>
        <w:rPr>
          <w:rFonts w:ascii="方正小标宋_GBK" w:hAnsi="方正小标宋_GBK" w:eastAsia="方正小标宋_GBK" w:cs="方正小标宋_GBK"/>
          <w:color w:val="auto"/>
          <w:sz w:val="72"/>
          <w:szCs w:val="72"/>
        </w:rPr>
      </w:pPr>
      <w:r>
        <w:rPr>
          <w:rFonts w:hint="eastAsia" w:ascii="方正小标宋_GBK" w:hAnsi="方正小标宋_GBK" w:eastAsia="方正小标宋_GBK" w:cs="方正小标宋_GBK"/>
          <w:color w:val="auto"/>
          <w:sz w:val="72"/>
          <w:szCs w:val="72"/>
        </w:rPr>
        <w:t>第五部分</w:t>
      </w:r>
    </w:p>
    <w:p>
      <w:pPr>
        <w:pStyle w:val="14"/>
        <w:jc w:val="center"/>
        <w:rPr>
          <w:rFonts w:ascii="方正小标宋_GBK" w:hAnsi="方正小标宋_GBK" w:eastAsia="方正小标宋_GBK" w:cs="方正小标宋_GBK"/>
          <w:color w:val="auto"/>
          <w:sz w:val="70"/>
          <w:szCs w:val="70"/>
        </w:rPr>
      </w:pPr>
    </w:p>
    <w:p>
      <w:pPr>
        <w:pStyle w:val="14"/>
        <w:jc w:val="center"/>
        <w:rPr>
          <w:color w:val="auto"/>
          <w:sz w:val="72"/>
          <w:szCs w:val="72"/>
        </w:rPr>
      </w:pPr>
      <w:r>
        <w:rPr>
          <w:rFonts w:hint="eastAsia" w:ascii="方正小标宋_GBK" w:hAnsi="方正小标宋_GBK" w:eastAsia="方正小标宋_GBK" w:cs="方正小标宋_GBK"/>
          <w:color w:val="auto"/>
          <w:sz w:val="70"/>
          <w:szCs w:val="70"/>
        </w:rPr>
        <w:t>附 件</w:t>
      </w:r>
    </w:p>
    <w:p>
      <w:pPr>
        <w:rPr>
          <w:color w:val="auto"/>
          <w:sz w:val="72"/>
          <w:szCs w:val="72"/>
        </w:rPr>
      </w:pPr>
      <w:r>
        <w:rPr>
          <w:color w:val="auto"/>
          <w:sz w:val="72"/>
          <w:szCs w:val="72"/>
        </w:rPr>
        <w:br w:type="page"/>
      </w:r>
    </w:p>
    <w:p>
      <w:pPr>
        <w:pStyle w:val="14"/>
        <w:spacing w:line="600" w:lineRule="exact"/>
        <w:ind w:firstLine="640" w:firstLineChars="200"/>
        <w:rPr>
          <w:rFonts w:ascii="Times New Roman" w:hAnsi="Times New Roman" w:eastAsia="仿宋_GB2312"/>
          <w:color w:val="auto"/>
          <w:sz w:val="32"/>
          <w:szCs w:val="32"/>
        </w:rPr>
      </w:pPr>
      <w:r>
        <w:rPr>
          <w:rFonts w:hint="eastAsia" w:ascii="楷体" w:hAnsi="楷体" w:eastAsia="楷体" w:cs="楷体"/>
          <w:b/>
          <w:bCs/>
          <w:color w:val="auto"/>
          <w:sz w:val="32"/>
          <w:szCs w:val="32"/>
        </w:rPr>
        <w:t>一、</w:t>
      </w:r>
      <w:r>
        <w:rPr>
          <w:rFonts w:hint="eastAsia" w:ascii="Times New Roman" w:hAnsi="Times New Roman" w:eastAsia="仿宋_GB2312"/>
          <w:color w:val="auto"/>
          <w:sz w:val="32"/>
          <w:szCs w:val="32"/>
        </w:rPr>
        <w:t>2023年度单位</w:t>
      </w:r>
      <w:bookmarkStart w:id="2" w:name="_GoBack"/>
      <w:bookmarkEnd w:id="2"/>
      <w:r>
        <w:rPr>
          <w:rFonts w:hint="eastAsia" w:ascii="Times New Roman" w:hAnsi="Times New Roman" w:eastAsia="仿宋_GB2312"/>
          <w:color w:val="auto"/>
          <w:sz w:val="32"/>
          <w:szCs w:val="32"/>
        </w:rPr>
        <w:t>整体支出绩效自评报告。</w:t>
      </w:r>
    </w:p>
    <w:p>
      <w:pPr>
        <w:widowControl/>
        <w:spacing w:line="600" w:lineRule="exact"/>
        <w:jc w:val="left"/>
        <w:rPr>
          <w:rFonts w:ascii="Times New Roman" w:hAnsi="Times New Roman" w:eastAsia="仿宋_GB2312"/>
          <w:color w:val="auto"/>
          <w:sz w:val="22"/>
        </w:rPr>
      </w:pPr>
    </w:p>
    <w:p>
      <w:pPr>
        <w:pStyle w:val="4"/>
        <w:spacing w:line="600" w:lineRule="exact"/>
        <w:rPr>
          <w:color w:val="auto"/>
          <w:spacing w:val="-8"/>
        </w:rPr>
      </w:pPr>
      <w:r>
        <w:rPr>
          <w:rFonts w:hint="eastAsia"/>
          <w:color w:val="auto"/>
          <w:spacing w:val="-8"/>
        </w:rPr>
        <w:t>湖南省农业对外经济合作中心</w:t>
      </w:r>
    </w:p>
    <w:p>
      <w:pPr>
        <w:pStyle w:val="4"/>
        <w:spacing w:line="600" w:lineRule="exact"/>
        <w:rPr>
          <w:color w:val="auto"/>
          <w:spacing w:val="-8"/>
        </w:rPr>
      </w:pPr>
      <w:r>
        <w:rPr>
          <w:rFonts w:hint="eastAsia"/>
          <w:color w:val="auto"/>
          <w:spacing w:val="-8"/>
        </w:rPr>
        <w:t>2023</w:t>
      </w:r>
      <w:r>
        <w:rPr>
          <w:color w:val="auto"/>
          <w:spacing w:val="-8"/>
        </w:rPr>
        <w:t>年度整体支出绩效自评报告</w:t>
      </w:r>
    </w:p>
    <w:p>
      <w:pPr>
        <w:pStyle w:val="5"/>
        <w:spacing w:line="360" w:lineRule="auto"/>
        <w:ind w:firstLine="640"/>
        <w:rPr>
          <w:rFonts w:ascii="华文细黑" w:hAnsi="华文细黑" w:eastAsia="华文细黑" w:cs="华文细黑"/>
          <w:color w:val="auto"/>
          <w:sz w:val="32"/>
        </w:rPr>
      </w:pPr>
    </w:p>
    <w:p>
      <w:pPr>
        <w:pStyle w:val="5"/>
        <w:spacing w:line="360" w:lineRule="auto"/>
        <w:ind w:firstLine="640"/>
        <w:rPr>
          <w:rFonts w:ascii="黑体" w:hAnsi="黑体" w:cs="华文细黑"/>
          <w:color w:val="auto"/>
          <w:sz w:val="32"/>
        </w:rPr>
      </w:pPr>
      <w:r>
        <w:rPr>
          <w:rFonts w:hint="eastAsia" w:ascii="黑体" w:hAnsi="黑体" w:cs="华文细黑"/>
          <w:color w:val="auto"/>
          <w:sz w:val="32"/>
        </w:rPr>
        <w:t>一、部门（单位）基本情况</w:t>
      </w:r>
    </w:p>
    <w:p>
      <w:pPr>
        <w:snapToGrid w:val="0"/>
        <w:spacing w:line="360" w:lineRule="auto"/>
        <w:ind w:firstLine="640" w:firstLineChars="200"/>
        <w:rPr>
          <w:rFonts w:ascii="仿宋" w:hAnsi="仿宋" w:eastAsia="仿宋"/>
          <w:color w:val="auto"/>
          <w:sz w:val="32"/>
          <w:szCs w:val="32"/>
        </w:rPr>
      </w:pPr>
      <w:r>
        <w:rPr>
          <w:rFonts w:hint="eastAsia" w:ascii="仿宋" w:hAnsi="仿宋" w:eastAsia="仿宋"/>
          <w:color w:val="auto"/>
          <w:sz w:val="32"/>
          <w:szCs w:val="32"/>
        </w:rPr>
        <w:t>湖南省农业对外经济合作中心（以下简称省农业对外经济合作中心）为湖南省农业农村厅直属机构，为公益一类正处级事业单位。</w:t>
      </w:r>
    </w:p>
    <w:p>
      <w:pPr>
        <w:spacing w:line="360" w:lineRule="auto"/>
        <w:ind w:firstLine="640" w:firstLineChars="200"/>
        <w:rPr>
          <w:rFonts w:ascii="仿宋" w:hAnsi="仿宋" w:eastAsia="仿宋"/>
          <w:color w:val="auto"/>
          <w:sz w:val="32"/>
          <w:szCs w:val="32"/>
        </w:rPr>
      </w:pPr>
      <w:r>
        <w:rPr>
          <w:rFonts w:hint="eastAsia" w:ascii="仿宋" w:hAnsi="仿宋" w:eastAsia="仿宋"/>
          <w:color w:val="auto"/>
          <w:sz w:val="32"/>
          <w:szCs w:val="32"/>
        </w:rPr>
        <w:t>省农业对外经济合作中心作为农业农村部三中心</w:t>
      </w:r>
      <w:r>
        <w:rPr>
          <w:rFonts w:ascii="仿宋" w:hAnsi="仿宋" w:eastAsia="仿宋"/>
          <w:color w:val="auto"/>
          <w:sz w:val="32"/>
          <w:szCs w:val="32"/>
        </w:rPr>
        <w:t>(</w:t>
      </w:r>
      <w:r>
        <w:rPr>
          <w:rFonts w:hint="eastAsia" w:ascii="仿宋" w:hAnsi="仿宋" w:eastAsia="仿宋"/>
          <w:color w:val="auto"/>
          <w:sz w:val="32"/>
          <w:szCs w:val="32"/>
        </w:rPr>
        <w:t>即农业农村部对外经济合作中心、农业贸易促进中心、国际交流服务中心</w:t>
      </w:r>
      <w:r>
        <w:rPr>
          <w:rFonts w:ascii="仿宋" w:hAnsi="仿宋" w:eastAsia="仿宋"/>
          <w:color w:val="auto"/>
          <w:sz w:val="32"/>
          <w:szCs w:val="32"/>
        </w:rPr>
        <w:t>)</w:t>
      </w:r>
      <w:r>
        <w:rPr>
          <w:rFonts w:hint="eastAsia" w:ascii="仿宋" w:hAnsi="仿宋" w:eastAsia="仿宋"/>
          <w:color w:val="auto"/>
          <w:sz w:val="32"/>
          <w:szCs w:val="32"/>
        </w:rPr>
        <w:t>在湖南省级的业务承担对口单位，服从农业农村部“全国一盘棋”的工作指导，承接国家管理的农业援外项目实施，开展与国际金融组织农业项目合作；开展境内外农产品贸易促进活动和产业损害调查；承担农业涉外培训和农业援外专家派遣。同时，受湖南省农业农村厅委托，为省里重大外事活动提供支撑服务。主要职责是：</w:t>
      </w:r>
    </w:p>
    <w:p>
      <w:pPr>
        <w:spacing w:line="360" w:lineRule="auto"/>
        <w:ind w:firstLine="480" w:firstLineChars="150"/>
        <w:rPr>
          <w:rFonts w:ascii="仿宋" w:hAnsi="仿宋" w:eastAsia="仿宋"/>
          <w:color w:val="auto"/>
          <w:sz w:val="32"/>
          <w:szCs w:val="32"/>
        </w:rPr>
      </w:pPr>
      <w:r>
        <w:rPr>
          <w:rFonts w:hint="eastAsia" w:ascii="仿宋" w:hAnsi="仿宋" w:eastAsia="仿宋"/>
          <w:color w:val="auto"/>
          <w:sz w:val="32"/>
          <w:szCs w:val="32"/>
        </w:rPr>
        <w:t>（</w:t>
      </w:r>
      <w:r>
        <w:rPr>
          <w:rFonts w:ascii="仿宋" w:hAnsi="仿宋" w:eastAsia="仿宋"/>
          <w:color w:val="auto"/>
          <w:sz w:val="32"/>
          <w:szCs w:val="32"/>
        </w:rPr>
        <w:t>1</w:t>
      </w:r>
      <w:r>
        <w:rPr>
          <w:rFonts w:hint="eastAsia" w:ascii="仿宋" w:hAnsi="仿宋" w:eastAsia="仿宋"/>
          <w:color w:val="auto"/>
          <w:sz w:val="32"/>
          <w:szCs w:val="32"/>
        </w:rPr>
        <w:t>）受委托负责管理农业利用外资项目和农业对外援助项目，承办项目的编制申报、前期论证考察、组织实施等工作。</w:t>
      </w:r>
    </w:p>
    <w:p>
      <w:pPr>
        <w:spacing w:line="360" w:lineRule="auto"/>
        <w:ind w:firstLine="480" w:firstLineChars="150"/>
        <w:rPr>
          <w:rFonts w:ascii="仿宋" w:hAnsi="仿宋" w:eastAsia="仿宋"/>
          <w:color w:val="auto"/>
          <w:sz w:val="32"/>
          <w:szCs w:val="32"/>
        </w:rPr>
      </w:pPr>
      <w:r>
        <w:rPr>
          <w:rFonts w:hint="eastAsia" w:ascii="仿宋" w:hAnsi="仿宋" w:eastAsia="仿宋"/>
          <w:color w:val="auto"/>
          <w:sz w:val="32"/>
          <w:szCs w:val="32"/>
        </w:rPr>
        <w:t>（</w:t>
      </w:r>
      <w:r>
        <w:rPr>
          <w:rFonts w:ascii="仿宋" w:hAnsi="仿宋" w:eastAsia="仿宋"/>
          <w:color w:val="auto"/>
          <w:sz w:val="32"/>
          <w:szCs w:val="32"/>
        </w:rPr>
        <w:t>2</w:t>
      </w:r>
      <w:r>
        <w:rPr>
          <w:rFonts w:hint="eastAsia" w:ascii="仿宋" w:hAnsi="仿宋" w:eastAsia="仿宋"/>
          <w:color w:val="auto"/>
          <w:sz w:val="32"/>
          <w:szCs w:val="32"/>
        </w:rPr>
        <w:t>）承担农业对外经济交流合作服务。</w:t>
      </w:r>
    </w:p>
    <w:p>
      <w:pPr>
        <w:spacing w:line="360" w:lineRule="auto"/>
        <w:ind w:firstLine="480" w:firstLineChars="150"/>
        <w:rPr>
          <w:rFonts w:ascii="仿宋" w:hAnsi="仿宋" w:eastAsia="仿宋"/>
          <w:color w:val="auto"/>
          <w:sz w:val="32"/>
          <w:szCs w:val="32"/>
        </w:rPr>
      </w:pPr>
      <w:r>
        <w:rPr>
          <w:rFonts w:hint="eastAsia" w:ascii="仿宋" w:hAnsi="仿宋" w:eastAsia="仿宋"/>
          <w:color w:val="auto"/>
          <w:sz w:val="32"/>
          <w:szCs w:val="32"/>
        </w:rPr>
        <w:t>（</w:t>
      </w:r>
      <w:r>
        <w:rPr>
          <w:rFonts w:ascii="仿宋" w:hAnsi="仿宋" w:eastAsia="仿宋"/>
          <w:color w:val="auto"/>
          <w:sz w:val="32"/>
          <w:szCs w:val="32"/>
        </w:rPr>
        <w:t>3</w:t>
      </w:r>
      <w:r>
        <w:rPr>
          <w:rFonts w:hint="eastAsia" w:ascii="仿宋" w:hAnsi="仿宋" w:eastAsia="仿宋"/>
          <w:color w:val="auto"/>
          <w:sz w:val="32"/>
          <w:szCs w:val="32"/>
        </w:rPr>
        <w:t>）承担农业援外专家的选派、培训和服务工作。</w:t>
      </w:r>
    </w:p>
    <w:p>
      <w:pPr>
        <w:spacing w:line="360" w:lineRule="auto"/>
        <w:ind w:firstLine="480" w:firstLineChars="150"/>
        <w:rPr>
          <w:rFonts w:ascii="仿宋" w:hAnsi="仿宋" w:eastAsia="仿宋"/>
          <w:color w:val="auto"/>
          <w:sz w:val="32"/>
          <w:szCs w:val="32"/>
        </w:rPr>
      </w:pPr>
      <w:r>
        <w:rPr>
          <w:rFonts w:hint="eastAsia" w:ascii="仿宋" w:hAnsi="仿宋" w:eastAsia="仿宋"/>
          <w:color w:val="auto"/>
          <w:sz w:val="32"/>
          <w:szCs w:val="32"/>
        </w:rPr>
        <w:t>（</w:t>
      </w:r>
      <w:r>
        <w:rPr>
          <w:rFonts w:ascii="仿宋" w:hAnsi="仿宋" w:eastAsia="仿宋"/>
          <w:color w:val="auto"/>
          <w:sz w:val="32"/>
          <w:szCs w:val="32"/>
        </w:rPr>
        <w:t>4</w:t>
      </w:r>
      <w:r>
        <w:rPr>
          <w:rFonts w:hint="eastAsia" w:ascii="仿宋" w:hAnsi="仿宋" w:eastAsia="仿宋"/>
          <w:color w:val="auto"/>
          <w:sz w:val="32"/>
          <w:szCs w:val="32"/>
        </w:rPr>
        <w:t>）承担农业涉外培训的组织、协调和服务工作。</w:t>
      </w:r>
    </w:p>
    <w:p>
      <w:pPr>
        <w:spacing w:line="360" w:lineRule="auto"/>
        <w:ind w:firstLine="480" w:firstLineChars="150"/>
        <w:rPr>
          <w:rFonts w:ascii="仿宋" w:hAnsi="仿宋" w:eastAsia="仿宋"/>
          <w:color w:val="auto"/>
          <w:sz w:val="32"/>
          <w:szCs w:val="32"/>
        </w:rPr>
      </w:pPr>
      <w:r>
        <w:rPr>
          <w:rFonts w:hint="eastAsia" w:ascii="仿宋" w:hAnsi="仿宋" w:eastAsia="仿宋"/>
          <w:color w:val="auto"/>
          <w:sz w:val="32"/>
          <w:szCs w:val="32"/>
        </w:rPr>
        <w:t>（</w:t>
      </w:r>
      <w:r>
        <w:rPr>
          <w:rFonts w:ascii="仿宋" w:hAnsi="仿宋" w:eastAsia="仿宋"/>
          <w:color w:val="auto"/>
          <w:sz w:val="32"/>
          <w:szCs w:val="32"/>
        </w:rPr>
        <w:t>5</w:t>
      </w:r>
      <w:r>
        <w:rPr>
          <w:rFonts w:hint="eastAsia" w:ascii="仿宋" w:hAnsi="仿宋" w:eastAsia="仿宋"/>
          <w:color w:val="auto"/>
          <w:sz w:val="32"/>
          <w:szCs w:val="32"/>
        </w:rPr>
        <w:t>）承担有关农业国际合作的信息咨询。</w:t>
      </w:r>
    </w:p>
    <w:p>
      <w:pPr>
        <w:spacing w:line="360" w:lineRule="auto"/>
        <w:ind w:firstLine="480" w:firstLineChars="150"/>
        <w:rPr>
          <w:rFonts w:ascii="仿宋" w:hAnsi="仿宋" w:eastAsia="仿宋"/>
          <w:color w:val="auto"/>
          <w:sz w:val="32"/>
          <w:szCs w:val="32"/>
        </w:rPr>
      </w:pPr>
      <w:r>
        <w:rPr>
          <w:rFonts w:hint="eastAsia" w:ascii="仿宋" w:hAnsi="仿宋" w:eastAsia="仿宋"/>
          <w:color w:val="auto"/>
          <w:sz w:val="32"/>
          <w:szCs w:val="32"/>
        </w:rPr>
        <w:t>（6）承担农产品贸易促进相关工作。</w:t>
      </w:r>
    </w:p>
    <w:p>
      <w:pPr>
        <w:spacing w:line="360" w:lineRule="auto"/>
        <w:ind w:firstLine="480" w:firstLineChars="150"/>
        <w:rPr>
          <w:rFonts w:ascii="仿宋" w:hAnsi="仿宋" w:eastAsia="仿宋"/>
          <w:color w:val="auto"/>
          <w:sz w:val="32"/>
          <w:szCs w:val="32"/>
        </w:rPr>
      </w:pPr>
      <w:r>
        <w:rPr>
          <w:rFonts w:hint="eastAsia" w:ascii="仿宋" w:hAnsi="仿宋" w:eastAsia="仿宋"/>
          <w:color w:val="auto"/>
          <w:sz w:val="32"/>
          <w:szCs w:val="32"/>
        </w:rPr>
        <w:t>（7）湖南省农业农村厅党组交办的其他工作。</w:t>
      </w:r>
    </w:p>
    <w:p>
      <w:pPr>
        <w:spacing w:line="360" w:lineRule="auto"/>
        <w:ind w:firstLine="640" w:firstLineChars="200"/>
        <w:rPr>
          <w:rFonts w:ascii="仿宋" w:hAnsi="仿宋" w:eastAsia="仿宋"/>
          <w:color w:val="auto"/>
          <w:kern w:val="0"/>
          <w:sz w:val="32"/>
          <w:szCs w:val="32"/>
        </w:rPr>
      </w:pPr>
      <w:r>
        <w:rPr>
          <w:rFonts w:hint="eastAsia" w:ascii="仿宋" w:hAnsi="仿宋" w:eastAsia="仿宋"/>
          <w:color w:val="auto"/>
          <w:sz w:val="32"/>
          <w:szCs w:val="32"/>
        </w:rPr>
        <w:t>202</w:t>
      </w:r>
      <w:r>
        <w:rPr>
          <w:rFonts w:ascii="仿宋" w:hAnsi="仿宋" w:eastAsia="仿宋"/>
          <w:color w:val="auto"/>
          <w:sz w:val="32"/>
          <w:szCs w:val="32"/>
        </w:rPr>
        <w:t>3</w:t>
      </w:r>
      <w:r>
        <w:rPr>
          <w:rFonts w:hint="eastAsia" w:ascii="仿宋" w:hAnsi="仿宋" w:eastAsia="仿宋"/>
          <w:color w:val="auto"/>
          <w:sz w:val="32"/>
          <w:szCs w:val="32"/>
        </w:rPr>
        <w:t>年度省农业对外经济合作中心内设科室包括综合科、财务科、外资利用科、海外项目科、贸易促进科、交流服务科。202</w:t>
      </w:r>
      <w:r>
        <w:rPr>
          <w:rFonts w:ascii="仿宋" w:hAnsi="仿宋" w:eastAsia="仿宋"/>
          <w:color w:val="auto"/>
          <w:sz w:val="32"/>
          <w:szCs w:val="32"/>
        </w:rPr>
        <w:t>3</w:t>
      </w:r>
      <w:r>
        <w:rPr>
          <w:rFonts w:hint="eastAsia" w:ascii="仿宋" w:hAnsi="仿宋" w:eastAsia="仿宋"/>
          <w:color w:val="auto"/>
          <w:sz w:val="32"/>
          <w:szCs w:val="32"/>
        </w:rPr>
        <w:t>年末省农业对外经济合作中心事业编制</w:t>
      </w:r>
      <w:r>
        <w:rPr>
          <w:rFonts w:ascii="仿宋" w:hAnsi="仿宋" w:eastAsia="仿宋"/>
          <w:color w:val="auto"/>
          <w:sz w:val="32"/>
          <w:szCs w:val="32"/>
        </w:rPr>
        <w:t>15</w:t>
      </w:r>
      <w:r>
        <w:rPr>
          <w:rFonts w:hint="eastAsia" w:ascii="仿宋" w:hAnsi="仿宋" w:eastAsia="仿宋"/>
          <w:color w:val="auto"/>
          <w:sz w:val="32"/>
          <w:szCs w:val="32"/>
        </w:rPr>
        <w:t>人，实有人数</w:t>
      </w:r>
      <w:r>
        <w:rPr>
          <w:rFonts w:ascii="仿宋" w:hAnsi="仿宋" w:eastAsia="仿宋"/>
          <w:color w:val="auto"/>
          <w:sz w:val="32"/>
          <w:szCs w:val="32"/>
        </w:rPr>
        <w:t>30</w:t>
      </w:r>
      <w:r>
        <w:rPr>
          <w:rFonts w:hint="eastAsia" w:ascii="仿宋" w:hAnsi="仿宋" w:eastAsia="仿宋"/>
          <w:color w:val="auto"/>
          <w:sz w:val="32"/>
          <w:szCs w:val="32"/>
        </w:rPr>
        <w:t>人，其中在职人员</w:t>
      </w:r>
      <w:r>
        <w:rPr>
          <w:rFonts w:ascii="仿宋" w:hAnsi="仿宋" w:eastAsia="仿宋"/>
          <w:color w:val="auto"/>
          <w:sz w:val="32"/>
          <w:szCs w:val="32"/>
        </w:rPr>
        <w:t>13</w:t>
      </w:r>
      <w:r>
        <w:rPr>
          <w:rFonts w:hint="eastAsia" w:ascii="仿宋" w:hAnsi="仿宋" w:eastAsia="仿宋"/>
          <w:color w:val="auto"/>
          <w:sz w:val="32"/>
          <w:szCs w:val="32"/>
        </w:rPr>
        <w:t>人，退休人员</w:t>
      </w:r>
      <w:r>
        <w:rPr>
          <w:rFonts w:ascii="仿宋" w:hAnsi="仿宋" w:eastAsia="仿宋"/>
          <w:color w:val="auto"/>
          <w:sz w:val="32"/>
          <w:szCs w:val="32"/>
        </w:rPr>
        <w:t>13</w:t>
      </w:r>
      <w:r>
        <w:rPr>
          <w:rFonts w:hint="eastAsia" w:ascii="仿宋" w:hAnsi="仿宋" w:eastAsia="仿宋"/>
          <w:color w:val="auto"/>
          <w:sz w:val="32"/>
          <w:szCs w:val="32"/>
        </w:rPr>
        <w:t>人，其他人员</w:t>
      </w:r>
      <w:r>
        <w:rPr>
          <w:rFonts w:ascii="仿宋" w:hAnsi="仿宋" w:eastAsia="仿宋"/>
          <w:color w:val="auto"/>
          <w:sz w:val="32"/>
          <w:szCs w:val="32"/>
        </w:rPr>
        <w:t>4</w:t>
      </w:r>
      <w:r>
        <w:rPr>
          <w:rFonts w:hint="eastAsia" w:ascii="仿宋" w:hAnsi="仿宋" w:eastAsia="仿宋"/>
          <w:color w:val="auto"/>
          <w:sz w:val="32"/>
          <w:szCs w:val="32"/>
        </w:rPr>
        <w:t>人。</w:t>
      </w:r>
    </w:p>
    <w:p>
      <w:pPr>
        <w:spacing w:line="360" w:lineRule="auto"/>
        <w:rPr>
          <w:color w:val="auto"/>
        </w:rPr>
      </w:pPr>
    </w:p>
    <w:p>
      <w:pPr>
        <w:pStyle w:val="5"/>
        <w:spacing w:line="360" w:lineRule="auto"/>
        <w:ind w:firstLine="640"/>
        <w:rPr>
          <w:rFonts w:ascii="黑体" w:hAnsi="黑体" w:cs="华文细黑"/>
          <w:color w:val="auto"/>
          <w:sz w:val="32"/>
        </w:rPr>
      </w:pPr>
      <w:r>
        <w:rPr>
          <w:rFonts w:hint="eastAsia" w:ascii="黑体" w:hAnsi="黑体" w:cs="华文细黑"/>
          <w:color w:val="auto"/>
          <w:sz w:val="32"/>
        </w:rPr>
        <w:t>二、一般公共预算支出情况</w:t>
      </w:r>
    </w:p>
    <w:p>
      <w:pPr>
        <w:pStyle w:val="5"/>
        <w:spacing w:line="360" w:lineRule="auto"/>
        <w:ind w:firstLine="480" w:firstLineChars="150"/>
        <w:rPr>
          <w:rFonts w:ascii="黑体" w:hAnsi="黑体" w:cs="华文细黑"/>
          <w:color w:val="auto"/>
          <w:sz w:val="32"/>
        </w:rPr>
      </w:pPr>
      <w:r>
        <w:rPr>
          <w:rFonts w:hint="eastAsia" w:ascii="黑体" w:hAnsi="黑体" w:cs="仿宋_GB2312"/>
          <w:color w:val="auto"/>
          <w:sz w:val="32"/>
        </w:rPr>
        <w:t>（一）基本支出情况</w:t>
      </w:r>
    </w:p>
    <w:p>
      <w:pPr>
        <w:widowControl/>
        <w:spacing w:line="360" w:lineRule="auto"/>
        <w:ind w:firstLine="640" w:firstLineChars="200"/>
        <w:jc w:val="left"/>
        <w:rPr>
          <w:rFonts w:ascii="仿宋" w:hAnsi="仿宋" w:eastAsia="仿宋"/>
          <w:color w:val="auto"/>
          <w:sz w:val="32"/>
          <w:szCs w:val="32"/>
        </w:rPr>
      </w:pPr>
      <w:r>
        <w:rPr>
          <w:rFonts w:hint="eastAsia" w:ascii="仿宋" w:hAnsi="仿宋" w:eastAsia="仿宋"/>
          <w:color w:val="auto"/>
          <w:sz w:val="32"/>
          <w:szCs w:val="32"/>
        </w:rPr>
        <w:t>2023年省农业对外经济合作中心一般公共预算支出中基本支出预算为521.90万元，全年一般公共预算基本支出为504.28万元，其中工资福利支出399.96万元，商品和服务支出48.81万元，对个人和家庭的补助55.51万元，年末结转结余17.62万元。</w:t>
      </w:r>
    </w:p>
    <w:p>
      <w:pPr>
        <w:spacing w:line="360" w:lineRule="auto"/>
        <w:ind w:firstLine="480" w:firstLineChars="15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（二）项目支出情况</w:t>
      </w:r>
    </w:p>
    <w:p>
      <w:pPr>
        <w:widowControl/>
        <w:spacing w:line="360" w:lineRule="auto"/>
        <w:ind w:firstLine="640" w:firstLineChars="200"/>
        <w:jc w:val="left"/>
        <w:rPr>
          <w:rFonts w:ascii="仿宋" w:hAnsi="仿宋" w:eastAsia="仿宋"/>
          <w:color w:val="auto"/>
          <w:sz w:val="32"/>
          <w:szCs w:val="32"/>
        </w:rPr>
      </w:pPr>
      <w:r>
        <w:rPr>
          <w:rFonts w:hint="eastAsia" w:ascii="仿宋" w:hAnsi="仿宋" w:eastAsia="仿宋"/>
          <w:color w:val="auto"/>
          <w:sz w:val="32"/>
          <w:szCs w:val="32"/>
        </w:rPr>
        <w:t>2023年省农业对外经济合作中心一般公共预算支出中项目支出预算316.24万元，全年一般公共预算项目支出256.00万元，其中商品和服务支出256.00万元，年末结转结余60.24万元。</w:t>
      </w:r>
    </w:p>
    <w:p>
      <w:pPr>
        <w:widowControl/>
        <w:spacing w:line="360" w:lineRule="auto"/>
        <w:ind w:left="565"/>
        <w:jc w:val="left"/>
        <w:rPr>
          <w:rFonts w:ascii="仿宋" w:hAnsi="仿宋" w:eastAsia="仿宋"/>
          <w:b/>
          <w:color w:val="auto"/>
          <w:sz w:val="32"/>
          <w:szCs w:val="32"/>
        </w:rPr>
      </w:pPr>
      <w:r>
        <w:rPr>
          <w:rFonts w:hint="eastAsia" w:ascii="仿宋" w:hAnsi="仿宋" w:eastAsia="仿宋"/>
          <w:b/>
          <w:color w:val="auto"/>
          <w:sz w:val="32"/>
          <w:szCs w:val="32"/>
        </w:rPr>
        <w:t>（1）省级专项资金</w:t>
      </w:r>
    </w:p>
    <w:p>
      <w:pPr>
        <w:widowControl/>
        <w:spacing w:line="360" w:lineRule="auto"/>
        <w:ind w:firstLine="640" w:firstLineChars="200"/>
        <w:jc w:val="left"/>
        <w:rPr>
          <w:rFonts w:ascii="仿宋" w:hAnsi="仿宋" w:eastAsia="仿宋"/>
          <w:color w:val="auto"/>
          <w:sz w:val="32"/>
          <w:szCs w:val="32"/>
        </w:rPr>
      </w:pPr>
      <w:r>
        <w:rPr>
          <w:rFonts w:hint="eastAsia" w:ascii="仿宋" w:hAnsi="仿宋" w:eastAsia="仿宋"/>
          <w:b/>
          <w:color w:val="auto"/>
          <w:sz w:val="32"/>
          <w:szCs w:val="32"/>
        </w:rPr>
        <w:t>2</w:t>
      </w:r>
      <w:r>
        <w:rPr>
          <w:rFonts w:hint="eastAsia" w:ascii="仿宋" w:hAnsi="仿宋" w:eastAsia="仿宋"/>
          <w:color w:val="auto"/>
          <w:sz w:val="32"/>
          <w:szCs w:val="32"/>
        </w:rPr>
        <w:t>023年省农业对外经济合作中心省级专项资金预算11.82万元，项目支出5.89万元，年末结余5.93万元。具体为：</w:t>
      </w:r>
    </w:p>
    <w:p>
      <w:pPr>
        <w:widowControl/>
        <w:spacing w:line="360" w:lineRule="auto"/>
        <w:ind w:firstLine="640" w:firstLineChars="200"/>
        <w:jc w:val="left"/>
        <w:rPr>
          <w:rFonts w:ascii="仿宋" w:hAnsi="仿宋" w:eastAsia="仿宋"/>
          <w:b/>
          <w:color w:val="auto"/>
          <w:sz w:val="32"/>
          <w:szCs w:val="32"/>
        </w:rPr>
      </w:pPr>
      <w:r>
        <w:rPr>
          <w:rFonts w:hint="eastAsia" w:ascii="仿宋" w:hAnsi="仿宋" w:eastAsia="仿宋"/>
          <w:color w:val="auto"/>
          <w:sz w:val="32"/>
          <w:szCs w:val="32"/>
        </w:rPr>
        <w:t>现代农业发展专项年初预算6万元,上年结转2.82万元，最终预算8.82万元，用于早稻育秧督导等差旅费5.89万元，年末结余2.93万元；2023年对外经济合作资金预算3万元，为追加经费，因项目资金到位较晚，年末结余3万元，用于2024年援外项目验收管理工作。</w:t>
      </w:r>
      <w:r>
        <w:rPr>
          <w:rFonts w:ascii="仿宋" w:hAnsi="仿宋" w:eastAsia="仿宋"/>
          <w:b/>
          <w:color w:val="auto"/>
          <w:sz w:val="32"/>
          <w:szCs w:val="32"/>
        </w:rPr>
        <w:t xml:space="preserve"> </w:t>
      </w:r>
    </w:p>
    <w:p>
      <w:pPr>
        <w:widowControl/>
        <w:spacing w:line="360" w:lineRule="auto"/>
        <w:ind w:firstLine="422" w:firstLineChars="132"/>
        <w:jc w:val="left"/>
        <w:rPr>
          <w:rFonts w:ascii="仿宋" w:hAnsi="仿宋" w:eastAsia="仿宋"/>
          <w:b/>
          <w:color w:val="auto"/>
          <w:sz w:val="32"/>
          <w:szCs w:val="32"/>
        </w:rPr>
      </w:pPr>
      <w:r>
        <w:rPr>
          <w:rFonts w:hint="eastAsia" w:ascii="仿宋" w:hAnsi="仿宋" w:eastAsia="仿宋"/>
          <w:b/>
          <w:color w:val="auto"/>
          <w:sz w:val="32"/>
          <w:szCs w:val="32"/>
        </w:rPr>
        <w:t>（2）业务工作经费</w:t>
      </w:r>
    </w:p>
    <w:p>
      <w:pPr>
        <w:widowControl/>
        <w:spacing w:line="360" w:lineRule="auto"/>
        <w:ind w:firstLine="640" w:firstLineChars="200"/>
        <w:jc w:val="left"/>
        <w:rPr>
          <w:rFonts w:ascii="仿宋" w:hAnsi="仿宋" w:eastAsia="仿宋"/>
          <w:color w:val="auto"/>
          <w:sz w:val="32"/>
          <w:szCs w:val="32"/>
        </w:rPr>
      </w:pPr>
      <w:r>
        <w:rPr>
          <w:rFonts w:hint="eastAsia" w:ascii="仿宋" w:hAnsi="仿宋" w:eastAsia="仿宋"/>
          <w:color w:val="auto"/>
          <w:sz w:val="32"/>
          <w:szCs w:val="32"/>
        </w:rPr>
        <w:t>2023年省农业对外经济合作中心业务工作经费预算304.42万元，项目支出250.11万元，年末结余54.31万元。具体为：</w:t>
      </w:r>
    </w:p>
    <w:p>
      <w:pPr>
        <w:widowControl/>
        <w:spacing w:line="360" w:lineRule="auto"/>
        <w:ind w:firstLine="640" w:firstLineChars="200"/>
        <w:jc w:val="left"/>
        <w:rPr>
          <w:rFonts w:ascii="仿宋_GB2312" w:hAnsi="仿宋_GB2312" w:eastAsia="仿宋_GB2312" w:cs="仿宋_GB2312"/>
          <w:color w:val="auto"/>
          <w:sz w:val="32"/>
          <w:szCs w:val="32"/>
        </w:rPr>
      </w:pPr>
      <w:r>
        <w:rPr>
          <w:rFonts w:hint="eastAsia" w:ascii="仿宋" w:hAnsi="仿宋" w:eastAsia="仿宋"/>
          <w:color w:val="auto"/>
          <w:sz w:val="32"/>
          <w:szCs w:val="32"/>
        </w:rPr>
        <w:t>农业对外合作业务工作经费年初预算110万元，上年结转31.08万元，最终预算141.08万元。用于农产品推广活动及产业损害监测预警等课题研究120万元，年末结余21.08万元；2023年外贷项目管理资金上年结转43.34万元，年终追加120万元，最终预算163.34万元。用于外贷项目管理差旅费、会议费、培训费等130.11万元，年末结余33.23万元。</w:t>
      </w:r>
    </w:p>
    <w:p>
      <w:pPr>
        <w:pStyle w:val="5"/>
        <w:spacing w:line="360" w:lineRule="auto"/>
        <w:ind w:firstLine="640"/>
        <w:rPr>
          <w:rFonts w:ascii="华文细黑" w:hAnsi="华文细黑" w:eastAsia="华文细黑" w:cs="华文细黑"/>
          <w:color w:val="auto"/>
          <w:sz w:val="32"/>
        </w:rPr>
      </w:pPr>
      <w:r>
        <w:rPr>
          <w:rFonts w:hint="eastAsia" w:ascii="华文细黑" w:hAnsi="华文细黑" w:eastAsia="华文细黑" w:cs="华文细黑"/>
          <w:color w:val="auto"/>
          <w:sz w:val="32"/>
        </w:rPr>
        <w:t>三、部门整体支出绩效情况</w:t>
      </w:r>
    </w:p>
    <w:p>
      <w:pPr>
        <w:spacing w:line="360" w:lineRule="auto"/>
        <w:ind w:firstLine="420" w:firstLineChars="200"/>
        <w:rPr>
          <w:rFonts w:ascii="仿宋" w:hAnsi="仿宋" w:eastAsia="仿宋"/>
          <w:color w:val="auto"/>
          <w:sz w:val="32"/>
          <w:szCs w:val="32"/>
        </w:rPr>
      </w:pPr>
      <w:r>
        <w:rPr>
          <w:rFonts w:hint="eastAsia"/>
          <w:color w:val="auto"/>
        </w:rPr>
        <w:t xml:space="preserve">  </w:t>
      </w:r>
      <w:r>
        <w:rPr>
          <w:rFonts w:hint="eastAsia" w:ascii="仿宋" w:hAnsi="仿宋" w:eastAsia="仿宋"/>
          <w:color w:val="auto"/>
          <w:sz w:val="32"/>
          <w:szCs w:val="32"/>
        </w:rPr>
        <w:t>202</w:t>
      </w:r>
      <w:r>
        <w:rPr>
          <w:rFonts w:ascii="仿宋" w:hAnsi="仿宋" w:eastAsia="仿宋"/>
          <w:color w:val="auto"/>
          <w:sz w:val="32"/>
          <w:szCs w:val="32"/>
        </w:rPr>
        <w:t>3</w:t>
      </w:r>
      <w:r>
        <w:rPr>
          <w:rFonts w:hint="eastAsia" w:ascii="仿宋" w:hAnsi="仿宋" w:eastAsia="仿宋"/>
          <w:color w:val="auto"/>
          <w:sz w:val="32"/>
          <w:szCs w:val="32"/>
        </w:rPr>
        <w:t>年省农业对外经济合作中心单位整体预算数</w:t>
      </w:r>
      <w:r>
        <w:rPr>
          <w:rFonts w:ascii="仿宋" w:hAnsi="仿宋" w:eastAsia="仿宋"/>
          <w:color w:val="auto"/>
          <w:sz w:val="32"/>
          <w:szCs w:val="32"/>
        </w:rPr>
        <w:t>2337.25</w:t>
      </w:r>
      <w:r>
        <w:rPr>
          <w:rFonts w:hint="eastAsia" w:ascii="仿宋" w:hAnsi="仿宋" w:eastAsia="仿宋"/>
          <w:color w:val="auto"/>
          <w:sz w:val="32"/>
          <w:szCs w:val="32"/>
        </w:rPr>
        <w:t>万元，执行数</w:t>
      </w:r>
      <w:r>
        <w:rPr>
          <w:rFonts w:ascii="仿宋" w:hAnsi="仿宋" w:eastAsia="仿宋"/>
          <w:color w:val="auto"/>
          <w:sz w:val="32"/>
          <w:szCs w:val="32"/>
        </w:rPr>
        <w:t>1359.34</w:t>
      </w:r>
      <w:r>
        <w:rPr>
          <w:rFonts w:hint="eastAsia" w:ascii="仿宋" w:hAnsi="仿宋" w:eastAsia="仿宋"/>
          <w:color w:val="auto"/>
          <w:sz w:val="32"/>
          <w:szCs w:val="32"/>
        </w:rPr>
        <w:t>万元，</w:t>
      </w:r>
      <w:r>
        <w:rPr>
          <w:rFonts w:ascii="仿宋" w:hAnsi="仿宋" w:eastAsia="仿宋"/>
          <w:color w:val="auto"/>
          <w:sz w:val="32"/>
          <w:szCs w:val="32"/>
        </w:rPr>
        <w:t>预算整体</w:t>
      </w:r>
      <w:r>
        <w:rPr>
          <w:rFonts w:hint="eastAsia" w:ascii="仿宋" w:hAnsi="仿宋" w:eastAsia="仿宋"/>
          <w:color w:val="auto"/>
          <w:sz w:val="32"/>
          <w:szCs w:val="32"/>
        </w:rPr>
        <w:t>执行率为5</w:t>
      </w:r>
      <w:r>
        <w:rPr>
          <w:rFonts w:ascii="仿宋" w:hAnsi="仿宋" w:eastAsia="仿宋"/>
          <w:color w:val="auto"/>
          <w:sz w:val="32"/>
          <w:szCs w:val="32"/>
        </w:rPr>
        <w:t>8.16</w:t>
      </w:r>
      <w:r>
        <w:rPr>
          <w:rFonts w:hint="eastAsia" w:ascii="仿宋" w:hAnsi="仿宋" w:eastAsia="仿宋"/>
          <w:color w:val="auto"/>
          <w:sz w:val="32"/>
          <w:szCs w:val="32"/>
        </w:rPr>
        <w:t>%；</w:t>
      </w:r>
      <w:r>
        <w:rPr>
          <w:rFonts w:ascii="仿宋" w:hAnsi="仿宋" w:eastAsia="仿宋"/>
          <w:color w:val="auto"/>
          <w:sz w:val="32"/>
          <w:szCs w:val="32"/>
        </w:rPr>
        <w:t xml:space="preserve">2023 </w:t>
      </w:r>
      <w:r>
        <w:rPr>
          <w:rFonts w:hint="eastAsia" w:ascii="仿宋" w:hAnsi="仿宋" w:eastAsia="仿宋"/>
          <w:color w:val="auto"/>
          <w:sz w:val="32"/>
          <w:szCs w:val="32"/>
        </w:rPr>
        <w:t>年财政拨款预算数</w:t>
      </w:r>
      <w:r>
        <w:rPr>
          <w:rFonts w:ascii="仿宋" w:hAnsi="仿宋" w:eastAsia="仿宋"/>
          <w:color w:val="auto"/>
          <w:sz w:val="32"/>
          <w:szCs w:val="32"/>
        </w:rPr>
        <w:t xml:space="preserve">838.14 </w:t>
      </w:r>
      <w:r>
        <w:rPr>
          <w:rFonts w:hint="eastAsia" w:ascii="仿宋" w:hAnsi="仿宋" w:eastAsia="仿宋"/>
          <w:color w:val="auto"/>
          <w:sz w:val="32"/>
          <w:szCs w:val="32"/>
        </w:rPr>
        <w:t>万元，执行数</w:t>
      </w:r>
      <w:r>
        <w:rPr>
          <w:rFonts w:ascii="仿宋" w:hAnsi="仿宋" w:eastAsia="仿宋"/>
          <w:color w:val="auto"/>
          <w:sz w:val="32"/>
          <w:szCs w:val="32"/>
        </w:rPr>
        <w:t>760.27</w:t>
      </w:r>
      <w:r>
        <w:rPr>
          <w:rFonts w:hint="eastAsia" w:ascii="仿宋" w:hAnsi="仿宋" w:eastAsia="仿宋"/>
          <w:color w:val="auto"/>
          <w:sz w:val="32"/>
          <w:szCs w:val="32"/>
        </w:rPr>
        <w:t>万元，财政拨款部分预算执行率为</w:t>
      </w:r>
      <w:r>
        <w:rPr>
          <w:rFonts w:ascii="仿宋" w:hAnsi="仿宋" w:eastAsia="仿宋"/>
          <w:color w:val="auto"/>
          <w:sz w:val="32"/>
          <w:szCs w:val="32"/>
        </w:rPr>
        <w:t>90.71%</w:t>
      </w:r>
      <w:r>
        <w:rPr>
          <w:rFonts w:hint="eastAsia" w:ascii="仿宋" w:hAnsi="仿宋" w:eastAsia="仿宋"/>
          <w:color w:val="auto"/>
          <w:sz w:val="32"/>
          <w:szCs w:val="32"/>
        </w:rPr>
        <w:t>。</w:t>
      </w:r>
    </w:p>
    <w:p>
      <w:pPr>
        <w:spacing w:line="360" w:lineRule="auto"/>
        <w:ind w:firstLine="640" w:firstLineChars="200"/>
        <w:rPr>
          <w:color w:val="auto"/>
        </w:rPr>
      </w:pPr>
      <w:r>
        <w:rPr>
          <w:rFonts w:hint="eastAsia" w:ascii="仿宋" w:hAnsi="仿宋" w:eastAsia="仿宋"/>
          <w:color w:val="auto"/>
          <w:sz w:val="32"/>
          <w:szCs w:val="32"/>
        </w:rPr>
        <w:t>根据年初工作计划、监督工作计划的要求，认真履行职责，我单位较好地完成了年初确定的各项任务，为推进全省农业农村发展和对外援助做出了积极贡献。根据《单位整体支出绩效自评表》自评分</w:t>
      </w:r>
      <w:r>
        <w:rPr>
          <w:rFonts w:hint="eastAsia" w:ascii="仿宋" w:hAnsi="仿宋" w:eastAsia="仿宋"/>
          <w:color w:val="auto"/>
          <w:sz w:val="32"/>
          <w:szCs w:val="32"/>
        </w:rPr>
        <w:t>93.82分（详见附件2</w:t>
      </w:r>
      <w:r>
        <w:rPr>
          <w:rFonts w:hint="eastAsia" w:ascii="仿宋" w:hAnsi="仿宋" w:eastAsia="仿宋"/>
          <w:color w:val="auto"/>
          <w:sz w:val="32"/>
          <w:szCs w:val="32"/>
        </w:rPr>
        <w:t>），单位整体支出绩效为“优”。</w:t>
      </w:r>
    </w:p>
    <w:p>
      <w:pPr>
        <w:pStyle w:val="14"/>
        <w:spacing w:line="360" w:lineRule="auto"/>
        <w:ind w:firstLine="480" w:firstLineChars="150"/>
        <w:rPr>
          <w:rFonts w:ascii="楷体" w:hAnsi="楷体" w:eastAsia="楷体" w:cs="楷体"/>
          <w:b/>
          <w:bCs/>
          <w:color w:val="auto"/>
          <w:sz w:val="32"/>
          <w:szCs w:val="32"/>
        </w:rPr>
      </w:pPr>
      <w:r>
        <w:rPr>
          <w:rFonts w:hint="eastAsia" w:ascii="楷体" w:hAnsi="楷体" w:eastAsia="楷体" w:cs="楷体"/>
          <w:b/>
          <w:bCs/>
          <w:color w:val="auto"/>
          <w:sz w:val="32"/>
          <w:szCs w:val="32"/>
        </w:rPr>
        <w:t>（一）运行成本</w:t>
      </w:r>
    </w:p>
    <w:p>
      <w:pPr>
        <w:pStyle w:val="14"/>
        <w:spacing w:line="360" w:lineRule="auto"/>
        <w:ind w:firstLine="640" w:firstLineChars="200"/>
        <w:rPr>
          <w:rFonts w:ascii="仿宋" w:hAnsi="仿宋" w:eastAsia="仿宋" w:cs="Times New Roman"/>
          <w:color w:val="auto"/>
          <w:kern w:val="2"/>
          <w:sz w:val="32"/>
          <w:szCs w:val="32"/>
        </w:rPr>
      </w:pPr>
      <w:r>
        <w:rPr>
          <w:rFonts w:ascii="仿宋" w:hAnsi="仿宋" w:eastAsia="仿宋" w:cs="Times New Roman"/>
          <w:color w:val="auto"/>
          <w:kern w:val="2"/>
          <w:sz w:val="32"/>
          <w:szCs w:val="32"/>
        </w:rPr>
        <w:t>2023 年</w:t>
      </w:r>
      <w:r>
        <w:rPr>
          <w:rFonts w:hint="eastAsia" w:ascii="仿宋" w:hAnsi="仿宋" w:eastAsia="仿宋" w:cs="Times New Roman"/>
          <w:color w:val="auto"/>
          <w:kern w:val="2"/>
          <w:sz w:val="32"/>
          <w:szCs w:val="32"/>
        </w:rPr>
        <w:t>一般公共预算财政拨款公用经费</w:t>
      </w:r>
      <w:r>
        <w:rPr>
          <w:rFonts w:ascii="仿宋" w:hAnsi="仿宋" w:eastAsia="仿宋" w:cs="Times New Roman"/>
          <w:color w:val="auto"/>
          <w:kern w:val="2"/>
          <w:sz w:val="32"/>
          <w:szCs w:val="32"/>
        </w:rPr>
        <w:t>基本支出</w:t>
      </w:r>
      <w:r>
        <w:rPr>
          <w:rFonts w:hint="eastAsia" w:ascii="仿宋" w:hAnsi="仿宋" w:eastAsia="仿宋" w:cs="Times New Roman"/>
          <w:color w:val="auto"/>
          <w:kern w:val="2"/>
          <w:sz w:val="32"/>
          <w:szCs w:val="32"/>
        </w:rPr>
        <w:t>48.80</w:t>
      </w:r>
      <w:r>
        <w:rPr>
          <w:rFonts w:ascii="仿宋" w:hAnsi="仿宋" w:eastAsia="仿宋" w:cs="Times New Roman"/>
          <w:color w:val="auto"/>
          <w:kern w:val="2"/>
          <w:sz w:val="32"/>
          <w:szCs w:val="32"/>
        </w:rPr>
        <w:t>万元，</w:t>
      </w:r>
      <w:r>
        <w:rPr>
          <w:rFonts w:hint="eastAsia" w:ascii="仿宋" w:hAnsi="仿宋" w:eastAsia="仿宋" w:cs="Times New Roman"/>
          <w:color w:val="auto"/>
          <w:kern w:val="2"/>
          <w:sz w:val="32"/>
          <w:szCs w:val="32"/>
        </w:rPr>
        <w:t>较年初预算57.95万元节约9.15万元，节约15.79%。其中三公经费18.45万元，包括因公出国（境）费14.80</w:t>
      </w:r>
      <w:r>
        <w:rPr>
          <w:rFonts w:ascii="仿宋" w:hAnsi="仿宋" w:eastAsia="仿宋" w:cs="Times New Roman"/>
          <w:color w:val="auto"/>
          <w:kern w:val="2"/>
          <w:sz w:val="32"/>
          <w:szCs w:val="32"/>
        </w:rPr>
        <w:t>万元</w:t>
      </w:r>
      <w:r>
        <w:rPr>
          <w:rFonts w:hint="eastAsia" w:ascii="仿宋" w:hAnsi="仿宋" w:eastAsia="仿宋" w:cs="Times New Roman"/>
          <w:color w:val="auto"/>
          <w:kern w:val="2"/>
          <w:sz w:val="32"/>
          <w:szCs w:val="32"/>
        </w:rPr>
        <w:t>、公务用车购置及运行维护费0万元、公务接待费3.65万元，较年初预算19万元节约0.55万元，节约2.89%。</w:t>
      </w:r>
    </w:p>
    <w:p>
      <w:pPr>
        <w:pStyle w:val="14"/>
        <w:spacing w:line="360" w:lineRule="auto"/>
        <w:ind w:firstLine="480" w:firstLineChars="150"/>
        <w:rPr>
          <w:rFonts w:ascii="楷体" w:hAnsi="楷体" w:eastAsia="楷体" w:cs="楷体"/>
          <w:b/>
          <w:bCs/>
          <w:color w:val="auto"/>
          <w:sz w:val="32"/>
          <w:szCs w:val="32"/>
        </w:rPr>
      </w:pPr>
      <w:r>
        <w:rPr>
          <w:rFonts w:hint="eastAsia" w:ascii="楷体" w:hAnsi="楷体" w:eastAsia="楷体" w:cs="楷体"/>
          <w:b/>
          <w:bCs/>
          <w:color w:val="auto"/>
          <w:sz w:val="32"/>
          <w:szCs w:val="32"/>
        </w:rPr>
        <w:t>（二）管理效率</w:t>
      </w:r>
    </w:p>
    <w:p>
      <w:pPr>
        <w:pStyle w:val="15"/>
        <w:spacing w:line="360" w:lineRule="auto"/>
        <w:ind w:firstLine="739" w:firstLineChars="231"/>
        <w:rPr>
          <w:rFonts w:ascii="黑体" w:hAnsi="黑体" w:eastAsia="黑体" w:cs="黑体"/>
          <w:bCs/>
          <w:color w:val="auto"/>
          <w:sz w:val="32"/>
          <w:szCs w:val="32"/>
        </w:rPr>
      </w:pPr>
      <w:r>
        <w:rPr>
          <w:rFonts w:hint="eastAsia" w:ascii="黑体" w:hAnsi="黑体" w:eastAsia="黑体" w:cs="黑体"/>
          <w:bCs/>
          <w:color w:val="auto"/>
          <w:sz w:val="32"/>
          <w:szCs w:val="32"/>
        </w:rPr>
        <w:t>1、引资引智，充分发挥农业外资绩效</w:t>
      </w:r>
    </w:p>
    <w:p>
      <w:pPr>
        <w:pStyle w:val="15"/>
        <w:spacing w:line="360" w:lineRule="auto"/>
        <w:ind w:firstLineChars="0"/>
        <w:rPr>
          <w:rFonts w:ascii="仿宋" w:hAnsi="仿宋" w:eastAsia="仿宋" w:cs="楷体"/>
          <w:b/>
          <w:bCs/>
          <w:color w:val="auto"/>
          <w:sz w:val="32"/>
          <w:szCs w:val="32"/>
        </w:rPr>
      </w:pPr>
      <w:r>
        <w:rPr>
          <w:rFonts w:hint="eastAsia" w:ascii="仿宋" w:hAnsi="仿宋" w:eastAsia="仿宋" w:cs="楷体"/>
          <w:b/>
          <w:bCs/>
          <w:color w:val="auto"/>
          <w:sz w:val="32"/>
          <w:szCs w:val="32"/>
        </w:rPr>
        <w:t>（1）世行贷款湖南省农田污染综合管理项目</w:t>
      </w:r>
    </w:p>
    <w:p>
      <w:pPr>
        <w:pStyle w:val="15"/>
        <w:spacing w:line="360" w:lineRule="auto"/>
        <w:ind w:firstLine="643"/>
        <w:rPr>
          <w:rFonts w:ascii="仿宋" w:hAnsi="仿宋" w:eastAsia="仿宋"/>
          <w:color w:val="auto"/>
          <w:sz w:val="32"/>
          <w:szCs w:val="32"/>
        </w:rPr>
      </w:pPr>
      <w:r>
        <w:rPr>
          <w:rFonts w:hint="eastAsia" w:ascii="仿宋" w:hAnsi="仿宋" w:eastAsia="仿宋"/>
          <w:b/>
          <w:bCs/>
          <w:color w:val="auto"/>
          <w:sz w:val="32"/>
          <w:szCs w:val="32"/>
        </w:rPr>
        <w:t>一抓进度后进县。</w:t>
      </w:r>
      <w:r>
        <w:rPr>
          <w:rFonts w:hint="eastAsia" w:ascii="仿宋" w:hAnsi="仿宋" w:eastAsia="仿宋"/>
          <w:color w:val="auto"/>
          <w:sz w:val="32"/>
          <w:szCs w:val="32"/>
        </w:rPr>
        <w:t>联合省技术咨询委员会专家赴安化等后进县项目区现场指导，一周一督促，一月一通报，加快工程建设进度；</w:t>
      </w:r>
      <w:r>
        <w:rPr>
          <w:rFonts w:hint="eastAsia" w:ascii="仿宋" w:hAnsi="仿宋" w:eastAsia="仿宋"/>
          <w:b/>
          <w:bCs/>
          <w:color w:val="auto"/>
          <w:sz w:val="32"/>
          <w:szCs w:val="32"/>
        </w:rPr>
        <w:t>二抓项目进度落后项。</w:t>
      </w:r>
      <w:r>
        <w:rPr>
          <w:rFonts w:hint="eastAsia" w:ascii="仿宋" w:hAnsi="仿宋" w:eastAsia="仿宋"/>
          <w:color w:val="auto"/>
          <w:sz w:val="32"/>
          <w:szCs w:val="32"/>
        </w:rPr>
        <w:t>找准子项目进度落后的原因，合理规划，倒排工期，集中力量加快开展相关工作；</w:t>
      </w:r>
      <w:r>
        <w:rPr>
          <w:rFonts w:hint="eastAsia" w:ascii="仿宋" w:hAnsi="仿宋" w:eastAsia="仿宋"/>
          <w:b/>
          <w:bCs/>
          <w:color w:val="auto"/>
          <w:sz w:val="32"/>
          <w:szCs w:val="32"/>
        </w:rPr>
        <w:t>三抓报账与支付流程协调。</w:t>
      </w:r>
      <w:r>
        <w:rPr>
          <w:rFonts w:hint="eastAsia" w:ascii="仿宋" w:hAnsi="仿宋" w:eastAsia="仿宋"/>
          <w:color w:val="auto"/>
          <w:sz w:val="32"/>
          <w:szCs w:val="32"/>
        </w:rPr>
        <w:t>多次同世行项目经理、财务官员和省财政厅外经处沟通协调，加快报账与支付流程，延长报账期限，项目贷款资金报账宽限至2</w:t>
      </w:r>
      <w:r>
        <w:rPr>
          <w:rFonts w:ascii="仿宋" w:hAnsi="仿宋" w:eastAsia="仿宋"/>
          <w:color w:val="auto"/>
          <w:sz w:val="32"/>
          <w:szCs w:val="32"/>
        </w:rPr>
        <w:t>024</w:t>
      </w:r>
      <w:r>
        <w:rPr>
          <w:rFonts w:hint="eastAsia" w:ascii="仿宋" w:hAnsi="仿宋" w:eastAsia="仿宋"/>
          <w:color w:val="auto"/>
          <w:sz w:val="32"/>
          <w:szCs w:val="32"/>
        </w:rPr>
        <w:t>年4月；</w:t>
      </w:r>
      <w:r>
        <w:rPr>
          <w:rFonts w:hint="eastAsia" w:ascii="仿宋" w:hAnsi="仿宋" w:eastAsia="仿宋"/>
          <w:b/>
          <w:bCs/>
          <w:color w:val="auto"/>
          <w:sz w:val="32"/>
          <w:szCs w:val="32"/>
        </w:rPr>
        <w:t>四抓审计整改落实。</w:t>
      </w:r>
      <w:r>
        <w:rPr>
          <w:rFonts w:hint="eastAsia" w:ascii="仿宋" w:hAnsi="仿宋" w:eastAsia="仿宋"/>
          <w:color w:val="auto"/>
          <w:sz w:val="32"/>
          <w:szCs w:val="32"/>
        </w:rPr>
        <w:t>制定整改工作方案，明确整改主体，对照问题清单，开展现场督导核查，并及时开展“回头看”，堵塞整改漏洞，杜绝虚假整改；</w:t>
      </w:r>
      <w:r>
        <w:rPr>
          <w:rFonts w:hint="eastAsia" w:ascii="仿宋" w:hAnsi="仿宋" w:eastAsia="仿宋"/>
          <w:b/>
          <w:bCs/>
          <w:color w:val="auto"/>
          <w:sz w:val="32"/>
          <w:szCs w:val="32"/>
        </w:rPr>
        <w:t>五抓项目竣工准备齐步走。</w:t>
      </w:r>
      <w:r>
        <w:rPr>
          <w:rFonts w:hint="eastAsia" w:ascii="仿宋" w:hAnsi="仿宋" w:eastAsia="仿宋"/>
          <w:color w:val="auto"/>
          <w:sz w:val="32"/>
          <w:szCs w:val="32"/>
        </w:rPr>
        <w:t>一方面全面落实年度工作计划与任务，加快工程建设和提款报账进度，另一方面及时开展项目竣工培训，提前做好项目技术总结和竣工报告材料的编制，确保项目实施与竣工准备齐头并进。</w:t>
      </w:r>
    </w:p>
    <w:p>
      <w:pPr>
        <w:pStyle w:val="15"/>
        <w:spacing w:line="360" w:lineRule="auto"/>
        <w:ind w:firstLine="480" w:firstLineChars="150"/>
        <w:rPr>
          <w:rFonts w:ascii="仿宋" w:hAnsi="仿宋" w:eastAsia="仿宋" w:cs="楷体"/>
          <w:b/>
          <w:bCs/>
          <w:color w:val="auto"/>
          <w:sz w:val="32"/>
          <w:szCs w:val="32"/>
        </w:rPr>
      </w:pPr>
      <w:r>
        <w:rPr>
          <w:rFonts w:hint="eastAsia" w:ascii="仿宋" w:hAnsi="仿宋" w:eastAsia="仿宋" w:cs="楷体"/>
          <w:b/>
          <w:bCs/>
          <w:color w:val="auto"/>
          <w:sz w:val="32"/>
          <w:szCs w:val="32"/>
        </w:rPr>
        <w:t>（2） 国际农发基金贷款湖南省乡村振兴发展项目</w:t>
      </w:r>
    </w:p>
    <w:p>
      <w:pPr>
        <w:pStyle w:val="14"/>
        <w:spacing w:line="360" w:lineRule="auto"/>
        <w:ind w:firstLine="640" w:firstLineChars="200"/>
        <w:jc w:val="both"/>
        <w:rPr>
          <w:rFonts w:ascii="仿宋" w:hAnsi="仿宋" w:eastAsia="仿宋" w:cs="Times New Roman"/>
          <w:b/>
          <w:bCs/>
          <w:color w:val="auto"/>
          <w:kern w:val="2"/>
          <w:sz w:val="32"/>
          <w:szCs w:val="32"/>
        </w:rPr>
      </w:pPr>
      <w:r>
        <w:rPr>
          <w:rFonts w:hint="eastAsia" w:ascii="仿宋" w:hAnsi="仿宋" w:eastAsia="仿宋" w:cs="Times New Roman"/>
          <w:color w:val="auto"/>
          <w:kern w:val="2"/>
          <w:sz w:val="32"/>
          <w:szCs w:val="32"/>
        </w:rPr>
        <w:t>该项目总投资12.3亿元，其中利用贷款6</w:t>
      </w:r>
      <w:r>
        <w:rPr>
          <w:rFonts w:hint="eastAsia" w:ascii="仿宋" w:hAnsi="仿宋" w:eastAsia="仿宋"/>
          <w:color w:val="auto"/>
          <w:sz w:val="32"/>
          <w:szCs w:val="32"/>
        </w:rPr>
        <w:t>,</w:t>
      </w:r>
      <w:r>
        <w:rPr>
          <w:rFonts w:hint="eastAsia" w:ascii="仿宋" w:hAnsi="仿宋" w:eastAsia="仿宋" w:cs="Times New Roman"/>
          <w:color w:val="auto"/>
          <w:kern w:val="2"/>
          <w:sz w:val="32"/>
          <w:szCs w:val="32"/>
        </w:rPr>
        <w:t>020万美元。面对项目商业计划编制和实施这一阻碍项目推进的重大难题，我们积极转换思路，摒弃老办法、老套路。</w:t>
      </w:r>
    </w:p>
    <w:p>
      <w:pPr>
        <w:pStyle w:val="14"/>
        <w:spacing w:line="360" w:lineRule="auto"/>
        <w:ind w:firstLine="640" w:firstLineChars="200"/>
        <w:jc w:val="both"/>
        <w:rPr>
          <w:rFonts w:ascii="仿宋" w:hAnsi="仿宋" w:eastAsia="仿宋" w:cs="Times New Roman"/>
          <w:color w:val="auto"/>
          <w:kern w:val="2"/>
          <w:sz w:val="32"/>
          <w:szCs w:val="32"/>
        </w:rPr>
      </w:pPr>
      <w:r>
        <w:rPr>
          <w:rFonts w:hint="eastAsia" w:ascii="仿宋" w:hAnsi="仿宋" w:eastAsia="仿宋" w:cs="Times New Roman"/>
          <w:b/>
          <w:bCs/>
          <w:color w:val="auto"/>
          <w:kern w:val="2"/>
          <w:sz w:val="32"/>
          <w:szCs w:val="32"/>
        </w:rPr>
        <w:t>一是向先进学习</w:t>
      </w:r>
      <w:r>
        <w:rPr>
          <w:rFonts w:hint="eastAsia" w:ascii="仿宋" w:hAnsi="仿宋" w:eastAsia="仿宋" w:cs="Times New Roman"/>
          <w:color w:val="auto"/>
          <w:kern w:val="2"/>
          <w:sz w:val="32"/>
          <w:szCs w:val="32"/>
        </w:rPr>
        <w:t>。组织部分项目县参加农发基金在陕西举办的年会，学习国内其他项目省好的做法。组团赴国际农发基金总部实地与总部官员和专家交流，对农发基金实施项目要求和宗旨有了更深入地理解；</w:t>
      </w:r>
      <w:r>
        <w:rPr>
          <w:rFonts w:hint="eastAsia" w:ascii="仿宋" w:hAnsi="仿宋" w:eastAsia="仿宋" w:cs="Times New Roman"/>
          <w:b/>
          <w:bCs/>
          <w:color w:val="auto"/>
          <w:kern w:val="2"/>
          <w:sz w:val="32"/>
          <w:szCs w:val="32"/>
        </w:rPr>
        <w:t>二是召开现场会</w:t>
      </w:r>
      <w:r>
        <w:rPr>
          <w:rFonts w:hint="eastAsia" w:ascii="仿宋" w:hAnsi="仿宋" w:eastAsia="仿宋" w:cs="Times New Roman"/>
          <w:color w:val="auto"/>
          <w:kern w:val="2"/>
          <w:sz w:val="32"/>
          <w:szCs w:val="32"/>
        </w:rPr>
        <w:t>。以先进促后进，请先进现身说法，通过在邵东市举办商业计划书编写培训研讨会，培训与经验介绍相结合，加快了全省项目商业计划实施的推进；</w:t>
      </w:r>
      <w:r>
        <w:rPr>
          <w:rFonts w:hint="eastAsia" w:ascii="仿宋" w:hAnsi="仿宋" w:eastAsia="仿宋" w:cs="Times New Roman"/>
          <w:b/>
          <w:bCs/>
          <w:color w:val="auto"/>
          <w:kern w:val="2"/>
          <w:sz w:val="32"/>
          <w:szCs w:val="32"/>
        </w:rPr>
        <w:t>三是专家授课。</w:t>
      </w:r>
      <w:r>
        <w:rPr>
          <w:rFonts w:hint="eastAsia" w:ascii="仿宋" w:hAnsi="仿宋" w:eastAsia="仿宋" w:cs="Times New Roman"/>
          <w:color w:val="auto"/>
          <w:kern w:val="2"/>
          <w:sz w:val="32"/>
          <w:szCs w:val="32"/>
        </w:rPr>
        <w:t>邀请省级经济技术委员会相关专家对商业计划书进行备案前置审查，对项目产业发展、市场营销进行咨询和指导，以达到项目规定的要求；</w:t>
      </w:r>
      <w:r>
        <w:rPr>
          <w:rFonts w:hint="eastAsia" w:ascii="仿宋" w:hAnsi="仿宋" w:eastAsia="仿宋" w:cs="Times New Roman"/>
          <w:b/>
          <w:bCs/>
          <w:color w:val="auto"/>
          <w:kern w:val="2"/>
          <w:sz w:val="32"/>
          <w:szCs w:val="32"/>
        </w:rPr>
        <w:t>四是领导重视。</w:t>
      </w:r>
      <w:r>
        <w:rPr>
          <w:rFonts w:hint="eastAsia" w:ascii="仿宋" w:hAnsi="仿宋" w:eastAsia="仿宋" w:cs="Times New Roman"/>
          <w:color w:val="auto"/>
          <w:kern w:val="2"/>
          <w:sz w:val="32"/>
          <w:szCs w:val="32"/>
        </w:rPr>
        <w:t>农财联手行政推动，厅领导对项目实施情况牵挂在心，多次参加全省项目会议并亲赴项目县调研，针对问题作出具体指示，并推动农财两厅在项目管理、资金拨付等方面加强协调，联合向各项目县政府下发加快推进项目工作的函。</w:t>
      </w:r>
    </w:p>
    <w:p>
      <w:pPr>
        <w:pStyle w:val="14"/>
        <w:spacing w:line="360" w:lineRule="auto"/>
        <w:ind w:firstLine="640" w:firstLineChars="200"/>
        <w:jc w:val="both"/>
        <w:rPr>
          <w:rFonts w:hAnsi="黑体" w:cs="仿宋"/>
          <w:b/>
          <w:bCs/>
          <w:color w:val="auto"/>
          <w:sz w:val="32"/>
          <w:szCs w:val="32"/>
        </w:rPr>
      </w:pPr>
      <w:r>
        <w:rPr>
          <w:rFonts w:hint="eastAsia" w:hAnsi="黑体" w:cs="仿宋_GB2312"/>
          <w:b/>
          <w:bCs/>
          <w:color w:val="auto"/>
          <w:sz w:val="32"/>
          <w:szCs w:val="32"/>
        </w:rPr>
        <w:t>2、聚焦重点难题，</w:t>
      </w:r>
      <w:r>
        <w:rPr>
          <w:rFonts w:hint="eastAsia" w:hAnsi="黑体" w:cs="仿宋"/>
          <w:b/>
          <w:bCs/>
          <w:color w:val="auto"/>
          <w:sz w:val="32"/>
          <w:szCs w:val="32"/>
        </w:rPr>
        <w:t>调查研究务实功</w:t>
      </w:r>
    </w:p>
    <w:p>
      <w:pPr>
        <w:pStyle w:val="14"/>
        <w:spacing w:line="360" w:lineRule="auto"/>
        <w:ind w:firstLine="640" w:firstLineChars="200"/>
        <w:jc w:val="both"/>
        <w:rPr>
          <w:rFonts w:ascii="仿宋" w:hAnsi="仿宋" w:eastAsia="仿宋" w:cs="仿宋"/>
          <w:color w:val="auto"/>
          <w:sz w:val="32"/>
          <w:szCs w:val="32"/>
        </w:rPr>
      </w:pPr>
      <w:r>
        <w:rPr>
          <w:rFonts w:hint="eastAsia" w:ascii="仿宋" w:hAnsi="仿宋" w:eastAsia="仿宋" w:cs="仿宋"/>
          <w:color w:val="auto"/>
          <w:sz w:val="32"/>
          <w:szCs w:val="32"/>
        </w:rPr>
        <w:t>以“农业对外合作交流问题”为主题，就农业对外合作人才需求和派出的情况对我省部分农业外向型企业、科研院所、高校以及政府直属事业单位进行实地调研。共计走访单位15家，开展座谈访谈36人次，线上线下共征求意见建议18条，共查找本单位本系统存在的突出问题1个；2名班子成员开展接访下访，推动解决群众诉求2个。</w:t>
      </w:r>
    </w:p>
    <w:p>
      <w:pPr>
        <w:spacing w:line="360" w:lineRule="auto"/>
        <w:ind w:firstLine="640" w:firstLineChars="200"/>
        <w:rPr>
          <w:rFonts w:ascii="黑体" w:hAnsi="黑体" w:eastAsia="黑体" w:cs="黑体"/>
          <w:bCs/>
          <w:color w:val="auto"/>
          <w:sz w:val="32"/>
          <w:szCs w:val="32"/>
        </w:rPr>
      </w:pPr>
      <w:r>
        <w:rPr>
          <w:rFonts w:hint="eastAsia" w:ascii="黑体" w:hAnsi="黑体" w:eastAsia="黑体" w:cs="黑体"/>
          <w:bCs/>
          <w:color w:val="auto"/>
          <w:sz w:val="32"/>
          <w:szCs w:val="32"/>
        </w:rPr>
        <w:t>3、因势而新，积极参与农业对外经贸合作</w:t>
      </w:r>
    </w:p>
    <w:p>
      <w:pPr>
        <w:spacing w:line="360" w:lineRule="auto"/>
        <w:ind w:firstLine="641"/>
        <w:rPr>
          <w:rFonts w:ascii="仿宋" w:hAnsi="仿宋" w:eastAsia="仿宋"/>
          <w:bCs/>
          <w:color w:val="auto"/>
          <w:sz w:val="32"/>
          <w:szCs w:val="32"/>
        </w:rPr>
      </w:pPr>
      <w:r>
        <w:rPr>
          <w:rFonts w:hint="eastAsia" w:ascii="仿宋" w:hAnsi="仿宋" w:eastAsia="仿宋"/>
          <w:b/>
          <w:bCs/>
          <w:color w:val="auto"/>
          <w:sz w:val="32"/>
          <w:szCs w:val="32"/>
        </w:rPr>
        <w:t>一是参与中非经贸博览会、农机装备补短板大会、中部农业博览会等的接待工作。</w:t>
      </w:r>
      <w:r>
        <w:rPr>
          <w:rFonts w:hint="eastAsia" w:ascii="仿宋" w:hAnsi="仿宋" w:eastAsia="仿宋" w:cs="仿宋"/>
          <w:color w:val="auto"/>
          <w:kern w:val="0"/>
          <w:sz w:val="32"/>
          <w:szCs w:val="32"/>
        </w:rPr>
        <w:t>我们积极配合大会统一安排，圆满完成内宾和外宾团组接待、宴</w:t>
      </w:r>
      <w:r>
        <w:rPr>
          <w:rFonts w:hint="eastAsia" w:ascii="仿宋" w:hAnsi="仿宋" w:eastAsia="仿宋"/>
          <w:color w:val="auto"/>
          <w:sz w:val="32"/>
          <w:szCs w:val="32"/>
        </w:rPr>
        <w:t>请、论坛等活动；</w:t>
      </w:r>
      <w:r>
        <w:rPr>
          <w:rFonts w:hint="eastAsia" w:ascii="仿宋" w:hAnsi="仿宋" w:eastAsia="仿宋"/>
          <w:b/>
          <w:bCs/>
          <w:color w:val="auto"/>
          <w:sz w:val="32"/>
          <w:szCs w:val="32"/>
        </w:rPr>
        <w:t>二是协助筹备境外农机展活动。</w:t>
      </w:r>
      <w:r>
        <w:rPr>
          <w:rFonts w:hint="eastAsia" w:ascii="仿宋" w:hAnsi="仿宋" w:eastAsia="仿宋"/>
          <w:color w:val="auto"/>
          <w:sz w:val="32"/>
          <w:szCs w:val="32"/>
        </w:rPr>
        <w:t>派员参加厅里赴多米尼加、巴巴多斯团组，与对外交流合作处一道为多米尼加－湖南农机展活动的举办进行前期筹备对接，落实活动场地、方案等细节。</w:t>
      </w:r>
      <w:r>
        <w:rPr>
          <w:rFonts w:hint="eastAsia" w:ascii="仿宋" w:hAnsi="仿宋" w:eastAsia="仿宋"/>
          <w:b/>
          <w:bCs/>
          <w:color w:val="auto"/>
          <w:sz w:val="32"/>
          <w:szCs w:val="32"/>
        </w:rPr>
        <w:t>三是继续开展农业贸易相关课题研究。</w:t>
      </w:r>
      <w:r>
        <w:rPr>
          <w:rFonts w:hint="eastAsia" w:ascii="仿宋" w:hAnsi="仿宋" w:eastAsia="仿宋"/>
          <w:bCs/>
          <w:color w:val="auto"/>
          <w:sz w:val="32"/>
          <w:szCs w:val="32"/>
        </w:rPr>
        <w:t>分季度对我省农产品进出口数据进行分析、研判，并形成季度报告，同时，对照农业农村部贸促中心贸易救济工作要求，持续对我省水稻、油菜、柑橘三个品类开展产业损害监测预警课题研究，并形成各个品类的年度报告。</w:t>
      </w:r>
    </w:p>
    <w:p>
      <w:pPr>
        <w:pStyle w:val="14"/>
        <w:spacing w:line="360" w:lineRule="auto"/>
        <w:ind w:firstLine="640" w:firstLineChars="200"/>
        <w:jc w:val="both"/>
        <w:rPr>
          <w:rFonts w:hAnsi="黑体"/>
          <w:b/>
          <w:bCs/>
          <w:color w:val="auto"/>
          <w:sz w:val="32"/>
        </w:rPr>
      </w:pPr>
      <w:r>
        <w:rPr>
          <w:rFonts w:hint="eastAsia" w:hAnsi="黑体"/>
          <w:b/>
          <w:bCs/>
          <w:color w:val="auto"/>
          <w:sz w:val="32"/>
        </w:rPr>
        <w:t>4、全面支持农业农村部援外项目专家库建设</w:t>
      </w:r>
    </w:p>
    <w:p>
      <w:pPr>
        <w:pStyle w:val="14"/>
        <w:spacing w:line="360" w:lineRule="auto"/>
        <w:ind w:firstLine="640" w:firstLineChars="200"/>
        <w:jc w:val="both"/>
        <w:rPr>
          <w:rFonts w:ascii="仿宋" w:hAnsi="仿宋" w:eastAsia="仿宋" w:cs="Times New Roman"/>
          <w:bCs/>
          <w:color w:val="auto"/>
          <w:kern w:val="2"/>
          <w:sz w:val="32"/>
          <w:szCs w:val="32"/>
        </w:rPr>
      </w:pPr>
      <w:r>
        <w:rPr>
          <w:rFonts w:hint="eastAsia" w:ascii="仿宋" w:hAnsi="仿宋" w:eastAsia="仿宋" w:cs="Times New Roman"/>
          <w:bCs/>
          <w:color w:val="auto"/>
          <w:kern w:val="2"/>
          <w:sz w:val="32"/>
          <w:szCs w:val="32"/>
        </w:rPr>
        <w:t>全年为农业农村部共计推荐援外专家24人，为后续援外工作提供了坚实的人力资源储备。当年就有湖南专家前往布隆迪、圣普、布基纳法索、吉布提、埃塞俄比亚、莫桑比克、马拉维等7个国家实施农业援助。</w:t>
      </w:r>
    </w:p>
    <w:p>
      <w:pPr>
        <w:pStyle w:val="14"/>
        <w:spacing w:line="360" w:lineRule="auto"/>
        <w:ind w:firstLine="480" w:firstLineChars="150"/>
        <w:jc w:val="both"/>
        <w:rPr>
          <w:rFonts w:ascii="楷体" w:hAnsi="楷体" w:eastAsia="楷体" w:cs="仿宋"/>
          <w:b/>
          <w:bCs/>
          <w:color w:val="auto"/>
          <w:sz w:val="32"/>
          <w:szCs w:val="32"/>
        </w:rPr>
      </w:pPr>
      <w:r>
        <w:rPr>
          <w:rFonts w:hint="eastAsia" w:ascii="楷体" w:hAnsi="楷体" w:eastAsia="楷体" w:cs="仿宋"/>
          <w:b/>
          <w:bCs/>
          <w:color w:val="auto"/>
          <w:sz w:val="32"/>
          <w:szCs w:val="32"/>
        </w:rPr>
        <w:t>（三）履职效能</w:t>
      </w:r>
    </w:p>
    <w:p>
      <w:pPr>
        <w:spacing w:line="360" w:lineRule="auto"/>
        <w:ind w:firstLine="582" w:firstLineChars="182"/>
        <w:rPr>
          <w:rFonts w:ascii="楷体" w:hAnsi="楷体" w:eastAsia="楷体" w:cs="楷体"/>
          <w:b/>
          <w:bCs/>
          <w:color w:val="auto"/>
          <w:sz w:val="32"/>
        </w:rPr>
      </w:pPr>
      <w:r>
        <w:rPr>
          <w:rFonts w:hint="eastAsia" w:ascii="仿宋" w:hAnsi="仿宋" w:eastAsia="仿宋" w:cs="楷体"/>
          <w:b/>
          <w:bCs/>
          <w:color w:val="auto"/>
          <w:sz w:val="32"/>
        </w:rPr>
        <w:t>1、 援萨摩亚第五期农业技术合作项目成效叠显</w:t>
      </w:r>
    </w:p>
    <w:p>
      <w:pPr>
        <w:pStyle w:val="14"/>
        <w:spacing w:line="360" w:lineRule="auto"/>
        <w:ind w:firstLine="640" w:firstLineChars="200"/>
        <w:jc w:val="both"/>
        <w:rPr>
          <w:rFonts w:ascii="仿宋" w:hAnsi="仿宋" w:eastAsia="仿宋"/>
          <w:color w:val="auto"/>
          <w:sz w:val="32"/>
          <w:szCs w:val="32"/>
        </w:rPr>
      </w:pPr>
      <w:r>
        <w:rPr>
          <w:rFonts w:hint="eastAsia" w:ascii="仿宋" w:hAnsi="仿宋" w:eastAsia="仿宋" w:cs="Times New Roman"/>
          <w:bCs/>
          <w:color w:val="auto"/>
          <w:kern w:val="2"/>
          <w:sz w:val="32"/>
          <w:szCs w:val="32"/>
        </w:rPr>
        <w:t>我中心承担实施的援萨摩亚第五期农业技术合作项目受到疫情阻隔，2023年项目实施期得到顺利展期，并完成部分专家人员更替，工作开展平稳有序。全年完成了3个作物新品种审定、</w:t>
      </w:r>
      <w:r>
        <w:rPr>
          <w:rFonts w:hint="eastAsia" w:ascii="仿宋" w:hAnsi="仿宋" w:eastAsia="仿宋"/>
          <w:color w:val="auto"/>
          <w:sz w:val="32"/>
          <w:szCs w:val="32"/>
        </w:rPr>
        <w:t>3项科研成果鉴定，编印4套技术培训手册、撰写3份产业调研报告等13项智力成果。项目建立了30个蔬菜示范户，2023年示范户蔬菜收入达到1,174,695塔拉，比2020年增加811,335塔拉，增长145%。特别是项目首次在萨摩亚建成放养肉鸡产业链设施并投入使用，为项目养鸡示范农户增加收入达50万塔拉。</w:t>
      </w:r>
    </w:p>
    <w:p>
      <w:pPr>
        <w:pStyle w:val="15"/>
        <w:spacing w:line="360" w:lineRule="auto"/>
        <w:ind w:firstLine="643"/>
        <w:rPr>
          <w:rFonts w:ascii="仿宋" w:hAnsi="仿宋" w:eastAsia="仿宋" w:cs="楷体"/>
          <w:b/>
          <w:bCs/>
          <w:color w:val="auto"/>
          <w:sz w:val="32"/>
          <w:szCs w:val="32"/>
        </w:rPr>
      </w:pPr>
      <w:r>
        <w:rPr>
          <w:rFonts w:hint="eastAsia" w:ascii="仿宋" w:hAnsi="仿宋" w:eastAsia="仿宋" w:cs="楷体"/>
          <w:b/>
          <w:bCs/>
          <w:color w:val="auto"/>
          <w:sz w:val="32"/>
          <w:szCs w:val="32"/>
        </w:rPr>
        <w:t>2、 高质量完成世行贷款湖南省农田污染综合管理项目建设，实现项目圆满竣工</w:t>
      </w:r>
    </w:p>
    <w:p>
      <w:pPr>
        <w:pStyle w:val="14"/>
        <w:spacing w:line="360" w:lineRule="auto"/>
        <w:ind w:left="160" w:firstLine="640" w:firstLineChars="200"/>
        <w:jc w:val="both"/>
        <w:rPr>
          <w:rFonts w:ascii="仿宋" w:hAnsi="仿宋" w:eastAsia="仿宋"/>
          <w:color w:val="auto"/>
          <w:sz w:val="32"/>
          <w:szCs w:val="32"/>
        </w:rPr>
      </w:pPr>
      <w:r>
        <w:rPr>
          <w:rFonts w:hint="eastAsia" w:ascii="仿宋" w:hAnsi="仿宋" w:eastAsia="仿宋"/>
          <w:color w:val="auto"/>
          <w:sz w:val="32"/>
          <w:szCs w:val="32"/>
        </w:rPr>
        <w:t>该项目利用世行贷款1亿美元，项目主要建设内容包括基于风险的农田管理示范、加强农业环境监测和管理、能力建设与知识管理、项目管理与监测评价四部分。当年专家审核批复了全省14个县63个项目片区实施示范方案，全省实施面积14.25万亩，其中农艺措施面积13.12万亩（含复种面积），种植结构调整1.13万亩。</w:t>
      </w:r>
    </w:p>
    <w:p>
      <w:pPr>
        <w:pStyle w:val="15"/>
        <w:spacing w:line="360" w:lineRule="auto"/>
        <w:ind w:firstLine="640"/>
        <w:rPr>
          <w:rFonts w:ascii="仿宋" w:hAnsi="仿宋" w:eastAsia="仿宋"/>
          <w:bCs/>
          <w:color w:val="auto"/>
          <w:sz w:val="32"/>
          <w:szCs w:val="32"/>
        </w:rPr>
      </w:pPr>
      <w:r>
        <w:rPr>
          <w:rFonts w:hint="eastAsia" w:ascii="仿宋" w:hAnsi="仿宋" w:eastAsia="仿宋"/>
          <w:color w:val="auto"/>
          <w:sz w:val="32"/>
          <w:szCs w:val="32"/>
        </w:rPr>
        <w:t>2</w:t>
      </w:r>
      <w:r>
        <w:rPr>
          <w:rFonts w:ascii="仿宋" w:hAnsi="仿宋" w:eastAsia="仿宋"/>
          <w:color w:val="auto"/>
          <w:sz w:val="32"/>
          <w:szCs w:val="32"/>
        </w:rPr>
        <w:t>023</w:t>
      </w:r>
      <w:r>
        <w:rPr>
          <w:rFonts w:hint="eastAsia" w:ascii="仿宋" w:hAnsi="仿宋" w:eastAsia="仿宋"/>
          <w:color w:val="auto"/>
          <w:sz w:val="32"/>
          <w:szCs w:val="32"/>
        </w:rPr>
        <w:t>年项目全年已完成投资1.22亿元，全省共累计完成总投资6.88亿元，占比98.08%。</w:t>
      </w:r>
      <w:r>
        <w:rPr>
          <w:rFonts w:hint="eastAsia" w:ascii="仿宋" w:hAnsi="仿宋" w:eastAsia="仿宋"/>
          <w:bCs/>
          <w:color w:val="auto"/>
          <w:sz w:val="32"/>
          <w:szCs w:val="32"/>
        </w:rPr>
        <w:t>稻米镉、砷平均达标率分别为</w:t>
      </w:r>
      <w:r>
        <w:rPr>
          <w:rFonts w:ascii="仿宋" w:hAnsi="仿宋" w:eastAsia="仿宋"/>
          <w:bCs/>
          <w:color w:val="auto"/>
          <w:sz w:val="32"/>
          <w:szCs w:val="32"/>
        </w:rPr>
        <w:t>97.34%</w:t>
      </w:r>
      <w:r>
        <w:rPr>
          <w:rFonts w:hint="eastAsia" w:ascii="仿宋" w:hAnsi="仿宋" w:eastAsia="仿宋"/>
          <w:bCs/>
          <w:color w:val="auto"/>
          <w:sz w:val="32"/>
          <w:szCs w:val="32"/>
        </w:rPr>
        <w:t>、9</w:t>
      </w:r>
      <w:r>
        <w:rPr>
          <w:rFonts w:ascii="仿宋" w:hAnsi="仿宋" w:eastAsia="仿宋"/>
          <w:bCs/>
          <w:color w:val="auto"/>
          <w:sz w:val="32"/>
          <w:szCs w:val="32"/>
        </w:rPr>
        <w:t>9.47%</w:t>
      </w:r>
      <w:r>
        <w:rPr>
          <w:rFonts w:hint="eastAsia" w:ascii="仿宋" w:hAnsi="仿宋" w:eastAsia="仿宋"/>
          <w:bCs/>
          <w:color w:val="auto"/>
          <w:sz w:val="32"/>
          <w:szCs w:val="32"/>
        </w:rPr>
        <w:t>，</w:t>
      </w:r>
      <w:r>
        <w:rPr>
          <w:rFonts w:hint="eastAsia" w:ascii="仿宋" w:hAnsi="仿宋" w:eastAsia="仿宋"/>
          <w:color w:val="auto"/>
          <w:sz w:val="32"/>
          <w:szCs w:val="32"/>
        </w:rPr>
        <w:t>项目</w:t>
      </w:r>
      <w:r>
        <w:rPr>
          <w:rFonts w:hint="eastAsia" w:ascii="仿宋" w:hAnsi="仿宋" w:eastAsia="仿宋"/>
          <w:bCs/>
          <w:color w:val="auto"/>
          <w:sz w:val="32"/>
          <w:szCs w:val="32"/>
        </w:rPr>
        <w:t>实施效果良好。</w:t>
      </w:r>
    </w:p>
    <w:p>
      <w:pPr>
        <w:pStyle w:val="15"/>
        <w:spacing w:line="360" w:lineRule="auto"/>
        <w:ind w:firstLine="643"/>
        <w:rPr>
          <w:rFonts w:ascii="仿宋" w:hAnsi="仿宋" w:eastAsia="仿宋" w:cs="楷体"/>
          <w:b/>
          <w:bCs/>
          <w:color w:val="auto"/>
          <w:sz w:val="32"/>
          <w:szCs w:val="32"/>
        </w:rPr>
      </w:pPr>
      <w:r>
        <w:rPr>
          <w:rFonts w:hint="eastAsia" w:ascii="仿宋" w:hAnsi="仿宋" w:eastAsia="仿宋" w:cs="楷体"/>
          <w:b/>
          <w:bCs/>
          <w:color w:val="auto"/>
          <w:sz w:val="32"/>
          <w:szCs w:val="32"/>
        </w:rPr>
        <w:t>3、 攻坚克难，国际农发基金贷款湖南省乡村振兴发展项目取得良好进展态势</w:t>
      </w:r>
    </w:p>
    <w:p>
      <w:pPr>
        <w:pStyle w:val="14"/>
        <w:spacing w:line="360" w:lineRule="auto"/>
        <w:ind w:firstLine="640" w:firstLineChars="200"/>
        <w:jc w:val="both"/>
        <w:rPr>
          <w:rFonts w:ascii="仿宋" w:hAnsi="仿宋" w:eastAsia="仿宋"/>
          <w:color w:val="auto"/>
          <w:sz w:val="32"/>
          <w:szCs w:val="32"/>
        </w:rPr>
      </w:pPr>
      <w:r>
        <w:rPr>
          <w:rFonts w:hint="eastAsia" w:ascii="仿宋" w:hAnsi="仿宋" w:eastAsia="仿宋" w:cs="Times New Roman"/>
          <w:color w:val="auto"/>
          <w:kern w:val="2"/>
          <w:sz w:val="32"/>
          <w:szCs w:val="32"/>
        </w:rPr>
        <w:t>2023年项目完成投资</w:t>
      </w:r>
      <w:r>
        <w:rPr>
          <w:rFonts w:hint="eastAsia" w:ascii="仿宋" w:hAnsi="仿宋" w:eastAsia="仿宋"/>
          <w:color w:val="auto"/>
          <w:sz w:val="32"/>
          <w:szCs w:val="32"/>
        </w:rPr>
        <w:t>3.12亿</w:t>
      </w:r>
      <w:r>
        <w:rPr>
          <w:rFonts w:hint="eastAsia" w:ascii="仿宋" w:hAnsi="仿宋" w:eastAsia="仿宋" w:cs="Times New Roman"/>
          <w:color w:val="auto"/>
          <w:kern w:val="2"/>
          <w:sz w:val="32"/>
          <w:szCs w:val="32"/>
        </w:rPr>
        <w:t>元，占年度计划的62.9%。其中，</w:t>
      </w:r>
      <w:r>
        <w:rPr>
          <w:rFonts w:hint="eastAsia" w:ascii="仿宋" w:hAnsi="仿宋" w:eastAsia="仿宋"/>
          <w:color w:val="auto"/>
          <w:sz w:val="32"/>
          <w:szCs w:val="32"/>
        </w:rPr>
        <w:t>完成商业计划备案37个、青年/妇女创业计划53个，总计投资5,875.4万元；完成了15个土建工程合同包的采购，涉及金额2,878.45万元，建设内容包括灌溉渠道、输水管道、山塘等灌溉设施。</w:t>
      </w:r>
      <w:r>
        <w:rPr>
          <w:rFonts w:hint="eastAsia" w:ascii="仿宋" w:hAnsi="仿宋" w:eastAsia="仿宋" w:cs="Times New Roman"/>
          <w:color w:val="auto"/>
          <w:kern w:val="2"/>
          <w:sz w:val="32"/>
          <w:szCs w:val="32"/>
        </w:rPr>
        <w:t>目前，</w:t>
      </w:r>
      <w:r>
        <w:rPr>
          <w:rFonts w:hint="eastAsia" w:ascii="仿宋" w:hAnsi="仿宋" w:eastAsia="仿宋"/>
          <w:color w:val="auto"/>
          <w:sz w:val="32"/>
          <w:szCs w:val="32"/>
        </w:rPr>
        <w:t>项目实施呈现有序推进的良好态势。</w:t>
      </w:r>
    </w:p>
    <w:p>
      <w:pPr>
        <w:pStyle w:val="14"/>
        <w:spacing w:line="360" w:lineRule="auto"/>
        <w:ind w:firstLine="640" w:firstLineChars="200"/>
        <w:jc w:val="both"/>
        <w:rPr>
          <w:rFonts w:ascii="仿宋" w:hAnsi="仿宋" w:eastAsia="仿宋" w:cs="楷体"/>
          <w:b/>
          <w:bCs/>
          <w:color w:val="auto"/>
          <w:kern w:val="2"/>
          <w:sz w:val="32"/>
          <w:szCs w:val="32"/>
        </w:rPr>
      </w:pPr>
      <w:r>
        <w:rPr>
          <w:rFonts w:hint="eastAsia" w:ascii="仿宋" w:hAnsi="仿宋" w:eastAsia="仿宋" w:cs="楷体"/>
          <w:b/>
          <w:bCs/>
          <w:color w:val="auto"/>
          <w:kern w:val="2"/>
          <w:sz w:val="32"/>
          <w:szCs w:val="32"/>
        </w:rPr>
        <w:t>4、 申请世行贷款绿色农业和乡村振兴项目贷款获得世行执行董事会通过</w:t>
      </w:r>
    </w:p>
    <w:p>
      <w:pPr>
        <w:spacing w:line="360" w:lineRule="auto"/>
        <w:ind w:firstLine="640" w:firstLineChars="200"/>
        <w:rPr>
          <w:rFonts w:ascii="仿宋" w:hAnsi="仿宋" w:eastAsia="仿宋"/>
          <w:color w:val="auto"/>
          <w:sz w:val="32"/>
          <w:szCs w:val="32"/>
        </w:rPr>
      </w:pPr>
      <w:r>
        <w:rPr>
          <w:rFonts w:hint="eastAsia" w:ascii="仿宋" w:hAnsi="仿宋" w:eastAsia="仿宋"/>
          <w:color w:val="auto"/>
          <w:sz w:val="32"/>
          <w:szCs w:val="32"/>
        </w:rPr>
        <w:t>瞄准绿色农业和乡村振兴，我们继续努力推进争取工作。2023年初，周到安排世行评估团来湘开展正式评估，确认了项目评估文件（PAD）草案中的文本内容，每个支付关联指标和结果框架指标的基线值、目标值、监测评估方案和核验方案，以及促进支付关联指标实现的项目行动计划。完成了项目经济和财务分析，并商定了项目谈判前需完成的工作及预期谈判时间；2023年3月，我们热情接待了世行高级代表团访湘，实地考察了我省正在实施的项目，湖南农业外贷项目成就得到了代表团成员高度称赞。2023年4月，我们精心组织，在长沙承担了由财政部主谈各项目省份参加的技术磋商和谈判，签署了会议纪要；目前，该项目已通过世行执董会审批，预计2024年将如期启动实施。项目相关准备工作正按计划推进。</w:t>
      </w:r>
    </w:p>
    <w:p>
      <w:pPr>
        <w:spacing w:line="360" w:lineRule="auto"/>
        <w:ind w:firstLine="480" w:firstLineChars="150"/>
        <w:rPr>
          <w:rFonts w:ascii="楷体" w:hAnsi="楷体" w:eastAsia="楷体"/>
          <w:b/>
          <w:color w:val="auto"/>
          <w:sz w:val="32"/>
          <w:szCs w:val="32"/>
        </w:rPr>
      </w:pPr>
      <w:r>
        <w:rPr>
          <w:rFonts w:hint="eastAsia" w:ascii="楷体" w:hAnsi="楷体" w:eastAsia="楷体"/>
          <w:b/>
          <w:color w:val="auto"/>
          <w:sz w:val="32"/>
          <w:szCs w:val="32"/>
        </w:rPr>
        <w:t>（四）社会效益</w:t>
      </w:r>
    </w:p>
    <w:p>
      <w:pPr>
        <w:spacing w:line="360" w:lineRule="auto"/>
        <w:ind w:firstLine="640" w:firstLineChars="200"/>
        <w:rPr>
          <w:rFonts w:ascii="仿宋" w:hAnsi="仿宋" w:eastAsia="仿宋"/>
          <w:color w:val="auto"/>
          <w:sz w:val="32"/>
          <w:szCs w:val="32"/>
        </w:rPr>
      </w:pPr>
      <w:r>
        <w:rPr>
          <w:rFonts w:hint="eastAsia" w:ascii="仿宋" w:hAnsi="仿宋" w:eastAsia="仿宋"/>
          <w:color w:val="auto"/>
          <w:sz w:val="32"/>
          <w:szCs w:val="32"/>
        </w:rPr>
        <w:t>萨摩亚第五期农业技术合作项目已成为南太平洋地区具有代表性的“小而美”农业援外项目，并受到了来自中央电视台、萨摩亚电视台、新华社、萨摩亚《新闻在线版》等多家境内外媒体报道达50余次。</w:t>
      </w:r>
      <w:r>
        <w:rPr>
          <w:rFonts w:hint="eastAsia" w:ascii="仿宋" w:hAnsi="仿宋" w:eastAsia="仿宋"/>
          <w:color w:val="auto"/>
          <w:sz w:val="32"/>
        </w:rPr>
        <w:t>2023年4月，农业农村部马有祥副部长率团实地考察中国援萨摩亚农业技术合作项目，听取了专家组汇报，对项目成效予以高度评价，赞誉援外专家“使命光荣，责任重大”；</w:t>
      </w:r>
      <w:r>
        <w:rPr>
          <w:rFonts w:hint="eastAsia" w:ascii="仿宋" w:hAnsi="仿宋" w:eastAsia="仿宋"/>
          <w:color w:val="auto"/>
          <w:sz w:val="32"/>
          <w:szCs w:val="32"/>
        </w:rPr>
        <w:t>2023年11月，我中心实施的</w:t>
      </w:r>
      <w:r>
        <w:rPr>
          <w:rFonts w:hint="eastAsia" w:ascii="仿宋" w:hAnsi="仿宋" w:eastAsia="仿宋"/>
          <w:color w:val="auto"/>
          <w:sz w:val="32"/>
        </w:rPr>
        <w:t>中国援萨摩亚农业技术合作项目</w:t>
      </w:r>
      <w:r>
        <w:rPr>
          <w:rFonts w:hint="eastAsia" w:ascii="仿宋" w:hAnsi="仿宋" w:eastAsia="仿宋"/>
          <w:color w:val="auto"/>
          <w:sz w:val="32"/>
          <w:szCs w:val="32"/>
        </w:rPr>
        <w:t>被联合国粮农组织、世界粮食计划署、世界银行等七家国际知名机构联合评定为“全球最佳减贫案例”。</w:t>
      </w:r>
    </w:p>
    <w:p>
      <w:pPr>
        <w:spacing w:line="360" w:lineRule="auto"/>
        <w:ind w:firstLine="480" w:firstLineChars="150"/>
        <w:rPr>
          <w:rFonts w:ascii="楷体" w:hAnsi="楷体" w:eastAsia="楷体"/>
          <w:b/>
          <w:color w:val="auto"/>
          <w:sz w:val="32"/>
        </w:rPr>
      </w:pPr>
      <w:r>
        <w:rPr>
          <w:rFonts w:hint="eastAsia" w:ascii="楷体" w:hAnsi="楷体" w:eastAsia="楷体"/>
          <w:b/>
          <w:color w:val="auto"/>
          <w:sz w:val="32"/>
          <w:szCs w:val="32"/>
        </w:rPr>
        <w:t>（五）</w:t>
      </w:r>
      <w:r>
        <w:rPr>
          <w:rFonts w:hint="eastAsia" w:ascii="楷体" w:hAnsi="楷体" w:eastAsia="楷体"/>
          <w:b/>
          <w:color w:val="auto"/>
          <w:sz w:val="32"/>
        </w:rPr>
        <w:t>可持续发展能力</w:t>
      </w:r>
    </w:p>
    <w:p>
      <w:pPr>
        <w:spacing w:line="360" w:lineRule="auto"/>
        <w:ind w:firstLine="640" w:firstLineChars="200"/>
        <w:rPr>
          <w:rFonts w:ascii="仿宋" w:hAnsi="仿宋" w:eastAsia="仿宋"/>
          <w:color w:val="auto"/>
          <w:sz w:val="32"/>
          <w:szCs w:val="32"/>
        </w:rPr>
      </w:pPr>
      <w:r>
        <w:rPr>
          <w:rFonts w:hint="eastAsia" w:ascii="仿宋" w:hAnsi="仿宋" w:eastAsia="仿宋"/>
          <w:b/>
          <w:bCs/>
          <w:color w:val="auto"/>
          <w:sz w:val="32"/>
        </w:rPr>
        <w:t>圆满完成了萨摩亚农业团来华培训。</w:t>
      </w:r>
      <w:r>
        <w:rPr>
          <w:rFonts w:hint="eastAsia" w:ascii="仿宋" w:hAnsi="仿宋" w:eastAsia="仿宋"/>
          <w:color w:val="auto"/>
          <w:sz w:val="32"/>
          <w:szCs w:val="32"/>
        </w:rPr>
        <w:t>精心安排培训课程，向20名来华学员教学、示范了我省蔬菜、水果、养鸡等实用农业技术，传授农业循环经济理念，展现了我省农业和经济社会成果，进一步深化了两国人民友谊；</w:t>
      </w:r>
      <w:r>
        <w:rPr>
          <w:rFonts w:hint="eastAsia" w:ascii="仿宋" w:hAnsi="仿宋" w:eastAsia="仿宋"/>
          <w:b/>
          <w:bCs/>
          <w:color w:val="auto"/>
          <w:sz w:val="32"/>
        </w:rPr>
        <w:t>高质量完成了湖南农业援外宣传片的摄制和校编。</w:t>
      </w:r>
      <w:r>
        <w:rPr>
          <w:rFonts w:hint="eastAsia" w:ascii="仿宋" w:hAnsi="仿宋" w:eastAsia="仿宋"/>
          <w:color w:val="auto"/>
          <w:sz w:val="32"/>
          <w:szCs w:val="32"/>
        </w:rPr>
        <w:t>并在华盛顿中文电视台、湖南卫视和红网等20多个境内外平台播出，累计播放61次，进一步打造湖南农业援外品牌，展示湖南农业援外专家奉献精神</w:t>
      </w:r>
      <w:r>
        <w:rPr>
          <w:rFonts w:hint="eastAsia" w:ascii="仿宋_GB2312" w:eastAsia="仿宋_GB2312"/>
          <w:color w:val="auto"/>
          <w:sz w:val="32"/>
        </w:rPr>
        <w:t>；</w:t>
      </w:r>
      <w:r>
        <w:rPr>
          <w:rFonts w:hint="eastAsia" w:ascii="仿宋" w:hAnsi="仿宋" w:eastAsia="仿宋"/>
          <w:b/>
          <w:bCs/>
          <w:color w:val="auto"/>
          <w:sz w:val="32"/>
        </w:rPr>
        <w:t>全面支持农业农村部援外项目专家库建设。</w:t>
      </w:r>
      <w:r>
        <w:rPr>
          <w:rFonts w:hint="eastAsia" w:ascii="仿宋" w:hAnsi="仿宋" w:eastAsia="仿宋"/>
          <w:color w:val="auto"/>
          <w:sz w:val="32"/>
          <w:szCs w:val="32"/>
        </w:rPr>
        <w:t>全年为农业农村部共计推荐援外专家24人，为后续援外工作提供了坚实的人力资源储备。当年就有湖南专家前往布隆迪、圣普、布基纳法索、吉布提、埃塞俄比亚、莫桑比克、马拉维等7个国家实施农业援助，我省专家在上述项目实施中发挥了积极的作用。</w:t>
      </w:r>
    </w:p>
    <w:p>
      <w:pPr>
        <w:spacing w:line="360" w:lineRule="auto"/>
        <w:ind w:firstLine="480" w:firstLineChars="150"/>
        <w:rPr>
          <w:rFonts w:ascii="楷体" w:hAnsi="楷体" w:eastAsia="楷体"/>
          <w:b/>
          <w:color w:val="auto"/>
          <w:sz w:val="32"/>
        </w:rPr>
      </w:pPr>
      <w:r>
        <w:rPr>
          <w:rFonts w:hint="eastAsia" w:ascii="楷体" w:hAnsi="楷体" w:eastAsia="楷体"/>
          <w:b/>
          <w:color w:val="auto"/>
          <w:sz w:val="32"/>
        </w:rPr>
        <w:t>（六）服务对象满意度</w:t>
      </w:r>
    </w:p>
    <w:p>
      <w:pPr>
        <w:spacing w:line="360" w:lineRule="auto"/>
        <w:ind w:firstLine="560"/>
        <w:rPr>
          <w:rFonts w:ascii="仿宋" w:hAnsi="仿宋" w:eastAsia="仿宋"/>
          <w:color w:val="auto"/>
          <w:sz w:val="32"/>
          <w:szCs w:val="32"/>
        </w:rPr>
      </w:pPr>
      <w:r>
        <w:rPr>
          <w:rFonts w:hint="eastAsia" w:ascii="仿宋" w:hAnsi="仿宋" w:eastAsia="仿宋"/>
          <w:color w:val="auto"/>
          <w:sz w:val="32"/>
          <w:szCs w:val="32"/>
        </w:rPr>
        <w:t>我中心实施的中国援萨摩亚农业技术合作项目取得优异成绩</w:t>
      </w:r>
      <w:r>
        <w:rPr>
          <w:rFonts w:ascii="仿宋" w:hAnsi="仿宋" w:eastAsia="仿宋"/>
          <w:color w:val="auto"/>
          <w:sz w:val="32"/>
          <w:szCs w:val="32"/>
        </w:rPr>
        <w:t>,</w:t>
      </w:r>
      <w:r>
        <w:rPr>
          <w:rFonts w:hint="eastAsia" w:ascii="仿宋" w:hAnsi="仿宋" w:eastAsia="仿宋"/>
          <w:color w:val="auto"/>
          <w:sz w:val="32"/>
          <w:szCs w:val="32"/>
        </w:rPr>
        <w:t>项目影响力不断扩大，有力服务了国家外交大局，促进了两国友好关系，得到中萨两国政府、民众和媒体的高度评价。</w:t>
      </w:r>
    </w:p>
    <w:p>
      <w:pPr>
        <w:pStyle w:val="5"/>
        <w:spacing w:line="360" w:lineRule="auto"/>
        <w:ind w:firstLine="640"/>
        <w:rPr>
          <w:rFonts w:ascii="华文细黑" w:hAnsi="华文细黑" w:eastAsia="华文细黑" w:cs="华文细黑"/>
          <w:color w:val="auto"/>
          <w:sz w:val="32"/>
        </w:rPr>
      </w:pPr>
      <w:r>
        <w:rPr>
          <w:rFonts w:hint="eastAsia" w:ascii="华文细黑" w:hAnsi="华文细黑" w:eastAsia="华文细黑" w:cs="华文细黑"/>
          <w:color w:val="auto"/>
          <w:sz w:val="32"/>
        </w:rPr>
        <w:t>四、存在的问题及原因分析</w:t>
      </w:r>
    </w:p>
    <w:p>
      <w:pPr>
        <w:spacing w:line="360" w:lineRule="auto"/>
        <w:ind w:left="-140" w:leftChars="-67" w:firstLine="640" w:firstLineChars="200"/>
        <w:rPr>
          <w:rFonts w:ascii="仿宋" w:hAnsi="仿宋" w:eastAsia="仿宋"/>
          <w:color w:val="auto"/>
          <w:kern w:val="0"/>
          <w:sz w:val="32"/>
          <w:szCs w:val="32"/>
        </w:rPr>
      </w:pPr>
      <w:r>
        <w:rPr>
          <w:rFonts w:ascii="仿宋" w:hAnsi="仿宋" w:eastAsia="仿宋"/>
          <w:color w:val="auto"/>
          <w:sz w:val="32"/>
          <w:szCs w:val="32"/>
        </w:rPr>
        <w:t>2023</w:t>
      </w:r>
      <w:r>
        <w:rPr>
          <w:rFonts w:hint="eastAsia" w:ascii="仿宋" w:hAnsi="仿宋" w:eastAsia="仿宋"/>
          <w:color w:val="auto"/>
          <w:sz w:val="32"/>
          <w:szCs w:val="32"/>
        </w:rPr>
        <w:t>年度单位整体预算执行率不高，主</w:t>
      </w:r>
      <w:r>
        <w:rPr>
          <w:rFonts w:hint="eastAsia" w:ascii="仿宋" w:hAnsi="仿宋" w:eastAsia="仿宋"/>
          <w:color w:val="auto"/>
          <w:kern w:val="0"/>
          <w:sz w:val="32"/>
          <w:szCs w:val="32"/>
        </w:rPr>
        <w:t>要原因一是</w:t>
      </w:r>
      <w:r>
        <w:rPr>
          <w:rFonts w:hint="eastAsia" w:ascii="仿宋" w:hAnsi="仿宋" w:eastAsia="仿宋" w:cs="仿宋"/>
          <w:color w:val="auto"/>
          <w:sz w:val="32"/>
          <w:szCs w:val="32"/>
        </w:rPr>
        <w:t>受我国对外援助项目管理方式的影响，当前对外援助项目实行的是项目资金报账回补制，并要求提供项目总金额10%非信用担保的履约保函；二</w:t>
      </w:r>
      <w:r>
        <w:rPr>
          <w:rFonts w:hint="eastAsia" w:ascii="仿宋" w:hAnsi="仿宋" w:eastAsia="仿宋"/>
          <w:color w:val="auto"/>
          <w:kern w:val="0"/>
          <w:sz w:val="32"/>
          <w:szCs w:val="32"/>
        </w:rPr>
        <w:t>是部分委托业务按</w:t>
      </w:r>
      <w:r>
        <w:rPr>
          <w:rFonts w:ascii="仿宋" w:hAnsi="仿宋" w:eastAsia="仿宋"/>
          <w:color w:val="auto"/>
          <w:kern w:val="0"/>
          <w:sz w:val="32"/>
          <w:szCs w:val="32"/>
        </w:rPr>
        <w:t>进度付款及跨年结算费用</w:t>
      </w:r>
      <w:r>
        <w:rPr>
          <w:rFonts w:hint="eastAsia" w:ascii="仿宋" w:hAnsi="仿宋" w:eastAsia="仿宋"/>
          <w:color w:val="auto"/>
          <w:kern w:val="0"/>
          <w:sz w:val="32"/>
          <w:szCs w:val="32"/>
        </w:rPr>
        <w:t xml:space="preserve">；三是根据相关要求压缩经费开支，以及落实绩效工资统筹所致。        </w:t>
      </w:r>
    </w:p>
    <w:p>
      <w:pPr>
        <w:spacing w:line="360" w:lineRule="auto"/>
        <w:ind w:left="-140" w:leftChars="-67" w:firstLine="640" w:firstLineChars="200"/>
        <w:rPr>
          <w:rFonts w:ascii="仿宋" w:hAnsi="仿宋" w:eastAsia="仿宋"/>
          <w:color w:val="auto"/>
          <w:kern w:val="0"/>
          <w:sz w:val="32"/>
          <w:szCs w:val="32"/>
        </w:rPr>
      </w:pPr>
      <w:r>
        <w:rPr>
          <w:rFonts w:hint="eastAsia" w:ascii="仿宋" w:hAnsi="仿宋" w:eastAsia="仿宋"/>
          <w:b/>
          <w:bCs/>
          <w:color w:val="auto"/>
          <w:sz w:val="32"/>
          <w:szCs w:val="32"/>
        </w:rPr>
        <w:t>下一步改进措施：</w:t>
      </w:r>
      <w:r>
        <w:rPr>
          <w:rFonts w:hint="eastAsia" w:ascii="仿宋" w:hAnsi="仿宋" w:eastAsia="仿宋"/>
          <w:color w:val="auto"/>
          <w:kern w:val="0"/>
          <w:sz w:val="32"/>
          <w:szCs w:val="32"/>
        </w:rPr>
        <w:t>进一步提高预算编制的科学性、准确性和合理性，强化预算管理，提高预算执行力度。通过定期对预算执行情况进行跟踪、分析，及时发现问题和解决问题，提高资金使用效益。</w:t>
      </w:r>
    </w:p>
    <w:p>
      <w:pPr>
        <w:spacing w:line="360" w:lineRule="auto"/>
        <w:ind w:left="-140" w:leftChars="-67" w:firstLine="640" w:firstLineChars="200"/>
        <w:rPr>
          <w:rFonts w:ascii="仿宋" w:hAnsi="仿宋" w:eastAsia="仿宋"/>
          <w:color w:val="auto"/>
          <w:kern w:val="0"/>
          <w:sz w:val="32"/>
          <w:szCs w:val="32"/>
        </w:rPr>
      </w:pPr>
    </w:p>
    <w:p>
      <w:pPr>
        <w:spacing w:line="360" w:lineRule="auto"/>
        <w:ind w:left="-140" w:leftChars="-67" w:firstLine="640" w:firstLineChars="200"/>
        <w:rPr>
          <w:rFonts w:ascii="仿宋" w:hAnsi="仿宋" w:eastAsia="仿宋"/>
          <w:color w:val="auto"/>
          <w:kern w:val="0"/>
          <w:sz w:val="32"/>
          <w:szCs w:val="32"/>
        </w:rPr>
      </w:pPr>
    </w:p>
    <w:p>
      <w:pPr>
        <w:spacing w:line="360" w:lineRule="auto"/>
        <w:ind w:firstLine="640" w:firstLineChars="200"/>
        <w:rPr>
          <w:rFonts w:ascii="仿宋" w:hAnsi="仿宋" w:eastAsia="仿宋"/>
          <w:color w:val="auto"/>
          <w:kern w:val="0"/>
          <w:sz w:val="32"/>
          <w:szCs w:val="32"/>
        </w:rPr>
      </w:pPr>
      <w:r>
        <w:rPr>
          <w:rFonts w:hint="eastAsia" w:ascii="仿宋" w:hAnsi="仿宋" w:eastAsia="仿宋"/>
          <w:color w:val="auto"/>
          <w:kern w:val="0"/>
          <w:sz w:val="32"/>
          <w:szCs w:val="32"/>
        </w:rPr>
        <w:t>附件</w:t>
      </w:r>
      <w:r>
        <w:rPr>
          <w:rFonts w:ascii="仿宋" w:hAnsi="仿宋" w:eastAsia="仿宋"/>
          <w:color w:val="auto"/>
          <w:kern w:val="0"/>
          <w:sz w:val="32"/>
          <w:szCs w:val="32"/>
        </w:rPr>
        <w:t>1</w:t>
      </w:r>
      <w:r>
        <w:rPr>
          <w:rFonts w:hint="eastAsia" w:ascii="仿宋" w:hAnsi="仿宋" w:eastAsia="仿宋"/>
          <w:color w:val="auto"/>
          <w:kern w:val="0"/>
          <w:sz w:val="32"/>
          <w:szCs w:val="32"/>
        </w:rPr>
        <w:t>：2023年度单位整体支出绩效评价基础数据表</w:t>
      </w:r>
    </w:p>
    <w:p>
      <w:pPr>
        <w:spacing w:line="360" w:lineRule="auto"/>
        <w:ind w:left="-140" w:leftChars="-67" w:firstLine="800" w:firstLineChars="250"/>
        <w:rPr>
          <w:rFonts w:ascii="仿宋" w:hAnsi="仿宋" w:eastAsia="仿宋"/>
          <w:color w:val="auto"/>
          <w:kern w:val="0"/>
          <w:sz w:val="32"/>
          <w:szCs w:val="32"/>
        </w:rPr>
      </w:pPr>
      <w:r>
        <w:rPr>
          <w:rFonts w:hint="eastAsia" w:ascii="仿宋" w:hAnsi="仿宋" w:eastAsia="仿宋"/>
          <w:color w:val="auto"/>
          <w:kern w:val="0"/>
          <w:sz w:val="32"/>
          <w:szCs w:val="32"/>
        </w:rPr>
        <w:t>附件</w:t>
      </w:r>
      <w:r>
        <w:rPr>
          <w:rFonts w:ascii="仿宋" w:hAnsi="仿宋" w:eastAsia="仿宋"/>
          <w:color w:val="auto"/>
          <w:kern w:val="0"/>
          <w:sz w:val="32"/>
          <w:szCs w:val="32"/>
        </w:rPr>
        <w:t>2</w:t>
      </w:r>
      <w:r>
        <w:rPr>
          <w:rFonts w:hint="eastAsia" w:ascii="仿宋" w:hAnsi="仿宋" w:eastAsia="仿宋"/>
          <w:color w:val="auto"/>
          <w:kern w:val="0"/>
          <w:sz w:val="32"/>
          <w:szCs w:val="32"/>
        </w:rPr>
        <w:t>：2023年度单位整体支出绩效自评表</w:t>
      </w:r>
    </w:p>
    <w:p>
      <w:pPr>
        <w:spacing w:line="360" w:lineRule="auto"/>
        <w:ind w:left="-140" w:leftChars="-67" w:firstLine="800" w:firstLineChars="250"/>
        <w:rPr>
          <w:rFonts w:ascii="仿宋" w:hAnsi="仿宋" w:eastAsia="仿宋"/>
          <w:color w:val="auto"/>
          <w:kern w:val="0"/>
          <w:sz w:val="32"/>
          <w:szCs w:val="32"/>
        </w:rPr>
      </w:pPr>
    </w:p>
    <w:p>
      <w:pPr>
        <w:spacing w:line="360" w:lineRule="auto"/>
        <w:ind w:left="-140" w:leftChars="-67" w:firstLine="800" w:firstLineChars="250"/>
        <w:rPr>
          <w:rFonts w:ascii="仿宋" w:hAnsi="仿宋" w:eastAsia="仿宋"/>
          <w:color w:val="auto"/>
          <w:kern w:val="0"/>
          <w:sz w:val="32"/>
          <w:szCs w:val="32"/>
        </w:rPr>
      </w:pPr>
    </w:p>
    <w:p>
      <w:pPr>
        <w:spacing w:line="360" w:lineRule="auto"/>
        <w:ind w:left="-140" w:leftChars="-67" w:firstLine="800" w:firstLineChars="250"/>
        <w:rPr>
          <w:rFonts w:ascii="仿宋" w:hAnsi="仿宋" w:eastAsia="仿宋"/>
          <w:color w:val="auto"/>
          <w:kern w:val="0"/>
          <w:sz w:val="32"/>
          <w:szCs w:val="32"/>
        </w:rPr>
      </w:pPr>
    </w:p>
    <w:p>
      <w:pPr>
        <w:spacing w:line="360" w:lineRule="auto"/>
        <w:ind w:left="-140" w:leftChars="-67" w:firstLine="800" w:firstLineChars="250"/>
        <w:rPr>
          <w:rFonts w:ascii="仿宋" w:hAnsi="仿宋" w:eastAsia="仿宋"/>
          <w:color w:val="auto"/>
          <w:kern w:val="0"/>
          <w:sz w:val="32"/>
          <w:szCs w:val="32"/>
        </w:rPr>
      </w:pPr>
    </w:p>
    <w:p>
      <w:pPr>
        <w:spacing w:line="360" w:lineRule="auto"/>
        <w:ind w:left="-140" w:leftChars="-67" w:firstLine="800" w:firstLineChars="250"/>
        <w:rPr>
          <w:rFonts w:ascii="仿宋" w:hAnsi="仿宋" w:eastAsia="仿宋"/>
          <w:color w:val="auto"/>
          <w:kern w:val="0"/>
          <w:sz w:val="32"/>
          <w:szCs w:val="32"/>
        </w:rPr>
      </w:pPr>
    </w:p>
    <w:p>
      <w:pPr>
        <w:spacing w:line="360" w:lineRule="auto"/>
        <w:ind w:left="-140" w:leftChars="-67" w:firstLine="800" w:firstLineChars="250"/>
        <w:rPr>
          <w:rFonts w:ascii="仿宋" w:hAnsi="仿宋" w:eastAsia="仿宋"/>
          <w:color w:val="auto"/>
          <w:kern w:val="0"/>
          <w:sz w:val="32"/>
          <w:szCs w:val="32"/>
        </w:rPr>
      </w:pPr>
    </w:p>
    <w:p>
      <w:pPr>
        <w:spacing w:line="360" w:lineRule="auto"/>
        <w:ind w:left="-140" w:leftChars="-67" w:firstLine="800" w:firstLineChars="250"/>
        <w:rPr>
          <w:rFonts w:ascii="仿宋" w:hAnsi="仿宋" w:eastAsia="仿宋"/>
          <w:color w:val="auto"/>
          <w:kern w:val="0"/>
          <w:sz w:val="32"/>
          <w:szCs w:val="32"/>
        </w:rPr>
      </w:pPr>
    </w:p>
    <w:p>
      <w:pPr>
        <w:spacing w:line="360" w:lineRule="auto"/>
        <w:ind w:left="-140" w:leftChars="-67" w:firstLine="800" w:firstLineChars="250"/>
        <w:rPr>
          <w:rFonts w:ascii="仿宋" w:hAnsi="仿宋" w:eastAsia="仿宋"/>
          <w:color w:val="auto"/>
          <w:kern w:val="0"/>
          <w:sz w:val="32"/>
          <w:szCs w:val="32"/>
        </w:rPr>
      </w:pPr>
    </w:p>
    <w:p>
      <w:pPr>
        <w:spacing w:afterLines="50" w:line="600" w:lineRule="exact"/>
        <w:rPr>
          <w:rFonts w:ascii="Times New Roman" w:hAnsi="Times New Roman" w:eastAsia="黑体"/>
          <w:color w:val="auto"/>
          <w:sz w:val="32"/>
          <w:szCs w:val="32"/>
        </w:rPr>
      </w:pPr>
    </w:p>
    <w:p>
      <w:pPr>
        <w:spacing w:afterLines="50" w:line="600" w:lineRule="exact"/>
        <w:rPr>
          <w:rFonts w:ascii="Times New Roman" w:hAnsi="Times New Roman" w:eastAsia="黑体"/>
          <w:color w:val="auto"/>
          <w:sz w:val="32"/>
          <w:szCs w:val="32"/>
        </w:rPr>
      </w:pPr>
      <w:r>
        <w:rPr>
          <w:rFonts w:ascii="Times New Roman" w:hAnsi="Times New Roman" w:eastAsia="黑体"/>
          <w:color w:val="auto"/>
          <w:sz w:val="32"/>
          <w:szCs w:val="32"/>
        </w:rPr>
        <w:t>附件</w:t>
      </w:r>
      <w:r>
        <w:rPr>
          <w:rFonts w:hint="eastAsia" w:ascii="Times New Roman" w:hAnsi="Times New Roman" w:eastAsia="黑体"/>
          <w:color w:val="auto"/>
          <w:sz w:val="32"/>
          <w:szCs w:val="32"/>
        </w:rPr>
        <w:t>1</w:t>
      </w:r>
    </w:p>
    <w:p>
      <w:pPr>
        <w:spacing w:afterLines="50" w:line="600" w:lineRule="exact"/>
        <w:jc w:val="center"/>
        <w:rPr>
          <w:rFonts w:ascii="Times New Roman" w:hAnsi="Times New Roman" w:eastAsia="仿宋_GB2312"/>
          <w:color w:val="auto"/>
          <w:sz w:val="24"/>
        </w:rPr>
      </w:pPr>
      <w:r>
        <w:rPr>
          <w:rFonts w:ascii="Times New Roman" w:hAnsi="Times New Roman" w:eastAsia="方正小标宋_GBK"/>
          <w:color w:val="auto"/>
          <w:sz w:val="36"/>
          <w:szCs w:val="36"/>
        </w:rPr>
        <w:t>202</w:t>
      </w:r>
      <w:r>
        <w:rPr>
          <w:rFonts w:hint="eastAsia" w:ascii="Times New Roman" w:hAnsi="Times New Roman" w:eastAsia="方正小标宋_GBK"/>
          <w:color w:val="auto"/>
          <w:sz w:val="36"/>
          <w:szCs w:val="36"/>
        </w:rPr>
        <w:t>3</w:t>
      </w:r>
      <w:r>
        <w:rPr>
          <w:rFonts w:ascii="Times New Roman" w:hAnsi="Times New Roman" w:eastAsia="方正小标宋_GBK"/>
          <w:color w:val="auto"/>
          <w:sz w:val="36"/>
          <w:szCs w:val="36"/>
        </w:rPr>
        <w:t>年</w:t>
      </w:r>
      <w:r>
        <w:rPr>
          <w:rFonts w:hint="eastAsia" w:ascii="Times New Roman" w:hAnsi="Times New Roman" w:eastAsia="方正小标宋_GBK"/>
          <w:color w:val="auto"/>
          <w:sz w:val="36"/>
          <w:szCs w:val="36"/>
        </w:rPr>
        <w:t>度</w:t>
      </w:r>
      <w:r>
        <w:rPr>
          <w:rFonts w:ascii="Times New Roman" w:hAnsi="Times New Roman" w:eastAsia="方正小标宋_GBK"/>
          <w:color w:val="auto"/>
          <w:sz w:val="36"/>
          <w:szCs w:val="36"/>
        </w:rPr>
        <w:t>部门整体支出绩效评价基础数据表</w:t>
      </w:r>
    </w:p>
    <w:tbl>
      <w:tblPr>
        <w:tblStyle w:val="10"/>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jc w:val="center"/>
        </w:trPr>
        <w:tc>
          <w:tcPr>
            <w:tcW w:w="335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b/>
                <w:bCs/>
                <w:color w:val="auto"/>
                <w:sz w:val="20"/>
                <w:szCs w:val="20"/>
              </w:rPr>
            </w:pPr>
            <w:r>
              <w:rPr>
                <w:rFonts w:ascii="Times New Roman" w:hAnsi="Times New Roman" w:eastAsia="仿宋_GB2312"/>
                <w:b/>
                <w:bCs/>
                <w:color w:val="auto"/>
                <w:sz w:val="20"/>
                <w:szCs w:val="20"/>
              </w:rPr>
              <w:t>编制数</w:t>
            </w:r>
          </w:p>
        </w:tc>
        <w:tc>
          <w:tcPr>
            <w:tcW w:w="2240"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b/>
                <w:bCs/>
                <w:color w:val="auto"/>
                <w:sz w:val="20"/>
                <w:szCs w:val="20"/>
              </w:rPr>
            </w:pPr>
            <w:r>
              <w:rPr>
                <w:rFonts w:ascii="Times New Roman" w:hAnsi="Times New Roman" w:eastAsia="仿宋_GB2312"/>
                <w:b/>
                <w:bCs/>
                <w:color w:val="auto"/>
                <w:sz w:val="20"/>
                <w:szCs w:val="20"/>
              </w:rPr>
              <w:t>202</w:t>
            </w:r>
            <w:r>
              <w:rPr>
                <w:rFonts w:hint="eastAsia" w:ascii="Times New Roman" w:hAnsi="Times New Roman" w:eastAsia="仿宋_GB2312"/>
                <w:b/>
                <w:bCs/>
                <w:color w:val="auto"/>
                <w:sz w:val="20"/>
                <w:szCs w:val="20"/>
              </w:rPr>
              <w:t>3</w:t>
            </w:r>
            <w:r>
              <w:rPr>
                <w:rFonts w:ascii="Times New Roman" w:hAnsi="Times New Roman" w:eastAsia="仿宋_GB2312"/>
                <w:b/>
                <w:bCs/>
                <w:color w:val="auto"/>
                <w:sz w:val="20"/>
                <w:szCs w:val="20"/>
              </w:rPr>
              <w:t>年实际在职人数</w:t>
            </w:r>
          </w:p>
        </w:tc>
        <w:tc>
          <w:tcPr>
            <w:tcW w:w="2041"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b/>
                <w:bCs/>
                <w:color w:val="auto"/>
                <w:sz w:val="20"/>
                <w:szCs w:val="20"/>
              </w:rPr>
            </w:pPr>
            <w:r>
              <w:rPr>
                <w:rFonts w:ascii="Times New Roman" w:hAnsi="Times New Roman" w:eastAsia="仿宋_GB2312"/>
                <w:b/>
                <w:bCs/>
                <w:color w:val="auto"/>
                <w:sz w:val="20"/>
                <w:szCs w:val="20"/>
              </w:rPr>
              <w:t>控制率</w:t>
            </w:r>
          </w:p>
        </w:tc>
      </w:tr>
      <w:tr>
        <w:tblPrEx>
          <w:tblLayout w:type="fixed"/>
          <w:tblCellMar>
            <w:top w:w="0" w:type="dxa"/>
            <w:left w:w="108" w:type="dxa"/>
            <w:bottom w:w="0" w:type="dxa"/>
            <w:right w:w="108" w:type="dxa"/>
          </w:tblCellMar>
        </w:tblPrEx>
        <w:trPr>
          <w:jc w:val="center"/>
        </w:trPr>
        <w:tc>
          <w:tcPr>
            <w:tcW w:w="335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p>
        </w:tc>
        <w:tc>
          <w:tcPr>
            <w:tcW w:w="2038"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　15</w:t>
            </w:r>
          </w:p>
        </w:tc>
        <w:tc>
          <w:tcPr>
            <w:tcW w:w="2240"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13　</w:t>
            </w:r>
          </w:p>
        </w:tc>
        <w:tc>
          <w:tcPr>
            <w:tcW w:w="2041"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86.67%</w:t>
            </w: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b/>
                <w:bCs/>
                <w:color w:val="auto"/>
                <w:sz w:val="20"/>
                <w:szCs w:val="20"/>
              </w:rPr>
            </w:pPr>
            <w:r>
              <w:rPr>
                <w:rFonts w:ascii="Times New Roman" w:hAnsi="Times New Roman" w:eastAsia="仿宋_GB2312"/>
                <w:b/>
                <w:bCs/>
                <w:color w:val="auto"/>
                <w:sz w:val="20"/>
                <w:szCs w:val="20"/>
              </w:rPr>
              <w:t>202</w:t>
            </w:r>
            <w:r>
              <w:rPr>
                <w:rFonts w:hint="eastAsia" w:ascii="Times New Roman" w:hAnsi="Times New Roman" w:eastAsia="仿宋_GB2312"/>
                <w:b/>
                <w:bCs/>
                <w:color w:val="auto"/>
                <w:sz w:val="20"/>
                <w:szCs w:val="20"/>
              </w:rPr>
              <w:t>2</w:t>
            </w:r>
            <w:r>
              <w:rPr>
                <w:rFonts w:ascii="Times New Roman" w:hAnsi="Times New Roman" w:eastAsia="仿宋_GB2312"/>
                <w:b/>
                <w:bCs/>
                <w:color w:val="auto"/>
                <w:sz w:val="20"/>
                <w:szCs w:val="20"/>
              </w:rPr>
              <w:t>年决算数</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b/>
                <w:bCs/>
                <w:color w:val="auto"/>
                <w:sz w:val="20"/>
                <w:szCs w:val="20"/>
              </w:rPr>
            </w:pPr>
            <w:r>
              <w:rPr>
                <w:rFonts w:ascii="Times New Roman" w:hAnsi="Times New Roman" w:eastAsia="仿宋_GB2312"/>
                <w:b/>
                <w:bCs/>
                <w:color w:val="auto"/>
                <w:sz w:val="20"/>
                <w:szCs w:val="20"/>
              </w:rPr>
              <w:t>202</w:t>
            </w:r>
            <w:r>
              <w:rPr>
                <w:rFonts w:hint="eastAsia" w:ascii="Times New Roman" w:hAnsi="Times New Roman" w:eastAsia="仿宋_GB2312"/>
                <w:b/>
                <w:bCs/>
                <w:color w:val="auto"/>
                <w:sz w:val="20"/>
                <w:szCs w:val="20"/>
              </w:rPr>
              <w:t>3</w:t>
            </w:r>
            <w:r>
              <w:rPr>
                <w:rFonts w:ascii="Times New Roman" w:hAnsi="Times New Roman" w:eastAsia="仿宋_GB2312"/>
                <w:b/>
                <w:bCs/>
                <w:color w:val="auto"/>
                <w:sz w:val="20"/>
                <w:szCs w:val="20"/>
              </w:rPr>
              <w:t>年预算数</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b/>
                <w:bCs/>
                <w:color w:val="auto"/>
                <w:sz w:val="20"/>
                <w:szCs w:val="20"/>
              </w:rPr>
            </w:pPr>
            <w:r>
              <w:rPr>
                <w:rFonts w:ascii="Times New Roman" w:hAnsi="Times New Roman" w:eastAsia="仿宋_GB2312"/>
                <w:b/>
                <w:bCs/>
                <w:color w:val="auto"/>
                <w:sz w:val="20"/>
                <w:szCs w:val="20"/>
              </w:rPr>
              <w:t>202</w:t>
            </w:r>
            <w:r>
              <w:rPr>
                <w:rFonts w:hint="eastAsia" w:ascii="Times New Roman" w:hAnsi="Times New Roman" w:eastAsia="仿宋_GB2312"/>
                <w:b/>
                <w:bCs/>
                <w:color w:val="auto"/>
                <w:sz w:val="20"/>
                <w:szCs w:val="20"/>
              </w:rPr>
              <w:t>3</w:t>
            </w:r>
            <w:r>
              <w:rPr>
                <w:rFonts w:ascii="Times New Roman" w:hAnsi="Times New Roman" w:eastAsia="仿宋_GB2312"/>
                <w:b/>
                <w:bCs/>
                <w:color w:val="auto"/>
                <w:sz w:val="20"/>
                <w:szCs w:val="20"/>
              </w:rPr>
              <w:t>年决算数</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三公经费</w:t>
            </w:r>
            <w:r>
              <w:rPr>
                <w:rFonts w:hint="eastAsia" w:ascii="Times New Roman" w:hAnsi="Times New Roman" w:eastAsia="仿宋_GB2312"/>
                <w:color w:val="auto"/>
                <w:sz w:val="20"/>
                <w:szCs w:val="20"/>
              </w:rPr>
              <w:t>:</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2.46</w:t>
            </w:r>
            <w:r>
              <w:rPr>
                <w:rFonts w:ascii="Times New Roman" w:hAnsi="Times New Roman" w:eastAsia="仿宋_GB2312"/>
                <w:color w:val="auto"/>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19</w:t>
            </w:r>
            <w:r>
              <w:rPr>
                <w:rFonts w:ascii="Times New Roman" w:hAnsi="Times New Roman" w:eastAsia="仿宋_GB2312"/>
                <w:color w:val="auto"/>
                <w:sz w:val="20"/>
                <w:szCs w:val="20"/>
              </w:rPr>
              <w:t>　</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18.45</w:t>
            </w: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0</w:t>
            </w:r>
            <w:r>
              <w:rPr>
                <w:rFonts w:ascii="Times New Roman" w:hAnsi="Times New Roman" w:eastAsia="仿宋_GB2312"/>
                <w:color w:val="auto"/>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0</w:t>
            </w:r>
            <w:r>
              <w:rPr>
                <w:rFonts w:ascii="Times New Roman" w:hAnsi="Times New Roman" w:eastAsia="仿宋_GB2312"/>
                <w:color w:val="auto"/>
                <w:sz w:val="20"/>
                <w:szCs w:val="20"/>
              </w:rPr>
              <w:t>　</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0</w:t>
            </w: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0</w:t>
            </w:r>
            <w:r>
              <w:rPr>
                <w:rFonts w:ascii="Times New Roman" w:hAnsi="Times New Roman" w:eastAsia="仿宋_GB2312"/>
                <w:color w:val="auto"/>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0</w:t>
            </w:r>
            <w:r>
              <w:rPr>
                <w:rFonts w:ascii="Times New Roman" w:hAnsi="Times New Roman" w:eastAsia="仿宋_GB2312"/>
                <w:color w:val="auto"/>
                <w:sz w:val="20"/>
                <w:szCs w:val="20"/>
              </w:rPr>
              <w:t>　</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0</w:t>
            </w: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0</w:t>
            </w:r>
            <w:r>
              <w:rPr>
                <w:rFonts w:ascii="Times New Roman" w:hAnsi="Times New Roman" w:eastAsia="仿宋_GB2312"/>
                <w:color w:val="auto"/>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0</w:t>
            </w:r>
            <w:r>
              <w:rPr>
                <w:rFonts w:ascii="Times New Roman" w:hAnsi="Times New Roman" w:eastAsia="仿宋_GB2312"/>
                <w:color w:val="auto"/>
                <w:sz w:val="20"/>
                <w:szCs w:val="20"/>
              </w:rPr>
              <w:t>　</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0</w:t>
            </w: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0</w:t>
            </w:r>
            <w:r>
              <w:rPr>
                <w:rFonts w:ascii="Times New Roman" w:hAnsi="Times New Roman" w:eastAsia="仿宋_GB2312"/>
                <w:color w:val="auto"/>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15</w:t>
            </w:r>
            <w:r>
              <w:rPr>
                <w:rFonts w:ascii="Times New Roman" w:hAnsi="Times New Roman" w:eastAsia="仿宋_GB2312"/>
                <w:color w:val="auto"/>
                <w:sz w:val="20"/>
                <w:szCs w:val="20"/>
              </w:rPr>
              <w:t>　</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14.8</w:t>
            </w: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2.46</w:t>
            </w:r>
            <w:r>
              <w:rPr>
                <w:rFonts w:ascii="Times New Roman" w:hAnsi="Times New Roman" w:eastAsia="仿宋_GB2312"/>
                <w:color w:val="auto"/>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4</w:t>
            </w:r>
            <w:r>
              <w:rPr>
                <w:rFonts w:ascii="Times New Roman" w:hAnsi="Times New Roman" w:eastAsia="仿宋_GB2312"/>
                <w:color w:val="auto"/>
                <w:sz w:val="20"/>
                <w:szCs w:val="20"/>
              </w:rPr>
              <w:t>　</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3.65</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项目支出：</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433.4</w:t>
            </w:r>
            <w:r>
              <w:rPr>
                <w:rFonts w:ascii="Times New Roman" w:hAnsi="Times New Roman" w:eastAsia="仿宋_GB2312"/>
                <w:color w:val="auto"/>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316.24</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256</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412.22</w:t>
            </w:r>
            <w:r>
              <w:rPr>
                <w:rFonts w:ascii="Times New Roman" w:hAnsi="Times New Roman" w:eastAsia="仿宋_GB2312"/>
                <w:color w:val="auto"/>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304.42</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250.11</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　</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ind w:firstLine="400" w:firstLineChars="200"/>
              <w:jc w:val="left"/>
              <w:rPr>
                <w:rFonts w:ascii="Times New Roman" w:hAnsi="Times New Roman" w:eastAsia="仿宋_GB2312"/>
                <w:color w:val="auto"/>
                <w:sz w:val="20"/>
                <w:szCs w:val="20"/>
              </w:rPr>
            </w:pPr>
            <w:r>
              <w:rPr>
                <w:rFonts w:ascii="Times New Roman" w:hAnsi="Times New Roman" w:eastAsia="仿宋_GB2312"/>
                <w:color w:val="auto"/>
                <w:sz w:val="20"/>
                <w:szCs w:val="20"/>
              </w:rPr>
              <w:t>3、省级专项资金</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21.18</w:t>
            </w:r>
            <w:r>
              <w:rPr>
                <w:rFonts w:ascii="Times New Roman" w:hAnsi="Times New Roman" w:eastAsia="仿宋_GB2312"/>
                <w:color w:val="auto"/>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11.82</w:t>
            </w:r>
            <w:r>
              <w:rPr>
                <w:rFonts w:ascii="Times New Roman" w:hAnsi="Times New Roman" w:eastAsia="仿宋_GB2312"/>
                <w:color w:val="auto"/>
                <w:sz w:val="20"/>
                <w:szCs w:val="20"/>
              </w:rPr>
              <w:t>　</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5.89</w:t>
            </w: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ind w:firstLine="400" w:firstLineChars="200"/>
              <w:rPr>
                <w:rFonts w:ascii="Times New Roman" w:hAnsi="Times New Roman" w:eastAsia="仿宋_GB2312"/>
                <w:color w:val="auto"/>
                <w:sz w:val="20"/>
                <w:szCs w:val="20"/>
              </w:rPr>
            </w:pPr>
            <w:r>
              <w:rPr>
                <w:rFonts w:hint="eastAsia" w:ascii="Times New Roman" w:hAnsi="Times New Roman" w:eastAsia="仿宋_GB2312"/>
                <w:color w:val="auto"/>
                <w:sz w:val="20"/>
                <w:szCs w:val="20"/>
              </w:rPr>
              <w:t>现代农业生产发展</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21.18</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8.82</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5.89</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ind w:firstLine="400" w:firstLineChars="200"/>
              <w:jc w:val="left"/>
              <w:rPr>
                <w:rFonts w:ascii="Times New Roman" w:hAnsi="Times New Roman" w:eastAsia="仿宋_GB2312"/>
                <w:color w:val="auto"/>
                <w:sz w:val="20"/>
                <w:szCs w:val="20"/>
              </w:rPr>
            </w:pPr>
            <w:r>
              <w:rPr>
                <w:rFonts w:ascii="Times New Roman" w:hAnsi="Times New Roman" w:eastAsia="仿宋_GB2312"/>
                <w:color w:val="auto"/>
                <w:sz w:val="20"/>
                <w:szCs w:val="20"/>
              </w:rPr>
              <w:t>2023</w:t>
            </w:r>
            <w:r>
              <w:rPr>
                <w:rFonts w:hint="eastAsia" w:ascii="Times New Roman" w:hAnsi="Times New Roman" w:eastAsia="仿宋_GB2312"/>
                <w:color w:val="auto"/>
                <w:sz w:val="20"/>
                <w:szCs w:val="20"/>
              </w:rPr>
              <w:t>年对外经济合作资金</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0</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3</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公用经费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65.46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57.95</w:t>
            </w:r>
            <w:r>
              <w:rPr>
                <w:rFonts w:ascii="Times New Roman" w:hAnsi="Times New Roman" w:eastAsia="仿宋_GB2312"/>
                <w:color w:val="auto"/>
                <w:sz w:val="20"/>
                <w:szCs w:val="20"/>
              </w:rPr>
              <w:t>　</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48.8</w:t>
            </w: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8.4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　5</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5.26</w:t>
            </w: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7.05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4.5　</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4.97</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0.5　</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　0.5</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0</w:t>
            </w: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政府采购金额</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　</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135.73</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　</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3354"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楼堂馆所控制情况</w:t>
            </w:r>
            <w:r>
              <w:rPr>
                <w:rFonts w:ascii="Times New Roman" w:hAnsi="Times New Roman" w:eastAsia="仿宋_GB2312"/>
                <w:color w:val="auto"/>
                <w:sz w:val="20"/>
                <w:szCs w:val="20"/>
              </w:rPr>
              <w:br w:type="textWrapping"/>
            </w:r>
            <w:r>
              <w:rPr>
                <w:rFonts w:ascii="Times New Roman" w:hAnsi="Times New Roman" w:eastAsia="仿宋_GB2312"/>
                <w:color w:val="auto"/>
                <w:sz w:val="20"/>
                <w:szCs w:val="20"/>
              </w:rPr>
              <w:t>（202</w:t>
            </w:r>
            <w:r>
              <w:rPr>
                <w:rFonts w:hint="eastAsia" w:ascii="Times New Roman" w:hAnsi="Times New Roman" w:eastAsia="仿宋_GB2312"/>
                <w:color w:val="auto"/>
                <w:sz w:val="20"/>
                <w:szCs w:val="20"/>
              </w:rPr>
              <w:t>3</w:t>
            </w:r>
            <w:r>
              <w:rPr>
                <w:rFonts w:ascii="Times New Roman" w:hAnsi="Times New Roman" w:eastAsia="仿宋_GB2312"/>
                <w:color w:val="auto"/>
                <w:sz w:val="20"/>
                <w:szCs w:val="20"/>
              </w:rPr>
              <w:t>年完工项目）</w:t>
            </w:r>
          </w:p>
        </w:tc>
        <w:tc>
          <w:tcPr>
            <w:tcW w:w="1189"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bCs/>
                <w:color w:val="auto"/>
                <w:sz w:val="20"/>
                <w:szCs w:val="20"/>
              </w:rPr>
            </w:pPr>
            <w:r>
              <w:rPr>
                <w:rFonts w:ascii="Times New Roman" w:hAnsi="Times New Roman" w:eastAsia="仿宋_GB2312"/>
                <w:bCs/>
                <w:color w:val="auto"/>
                <w:sz w:val="20"/>
                <w:szCs w:val="20"/>
              </w:rPr>
              <w:t>批复规模</w:t>
            </w:r>
            <w:r>
              <w:rPr>
                <w:rFonts w:ascii="Times New Roman" w:hAnsi="Times New Roman" w:eastAsia="仿宋_GB2312"/>
                <w:bCs/>
                <w:color w:val="auto"/>
                <w:sz w:val="20"/>
                <w:szCs w:val="20"/>
              </w:rPr>
              <w:br w:type="textWrapping"/>
            </w:r>
            <w:r>
              <w:rPr>
                <w:rFonts w:ascii="Times New Roman" w:hAnsi="Times New Roman" w:eastAsia="仿宋_GB2312"/>
                <w:bCs/>
                <w:color w:val="auto"/>
                <w:sz w:val="20"/>
                <w:szCs w:val="20"/>
              </w:rPr>
              <w:t>（</w:t>
            </w:r>
            <w:r>
              <w:rPr>
                <w:rFonts w:ascii="Times New Roman" w:hAnsi="Times New Roman"/>
                <w:bCs/>
                <w:color w:val="auto"/>
                <w:sz w:val="20"/>
                <w:szCs w:val="20"/>
              </w:rPr>
              <w:t>㎡</w:t>
            </w:r>
            <w:r>
              <w:rPr>
                <w:rFonts w:ascii="Times New Roman" w:hAnsi="Times New Roman" w:eastAsia="仿宋_GB2312"/>
                <w:bCs/>
                <w:color w:val="auto"/>
                <w:sz w:val="20"/>
                <w:szCs w:val="20"/>
              </w:rPr>
              <w:t>）</w:t>
            </w:r>
          </w:p>
        </w:tc>
        <w:tc>
          <w:tcPr>
            <w:tcW w:w="849"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bCs/>
                <w:color w:val="auto"/>
                <w:sz w:val="20"/>
                <w:szCs w:val="20"/>
              </w:rPr>
            </w:pPr>
            <w:r>
              <w:rPr>
                <w:rFonts w:ascii="Times New Roman" w:hAnsi="Times New Roman" w:eastAsia="仿宋_GB2312"/>
                <w:bCs/>
                <w:color w:val="auto"/>
                <w:sz w:val="20"/>
                <w:szCs w:val="20"/>
              </w:rPr>
              <w:t>实际规模（</w:t>
            </w:r>
            <w:r>
              <w:rPr>
                <w:rFonts w:ascii="Times New Roman" w:hAnsi="Times New Roman"/>
                <w:bCs/>
                <w:color w:val="auto"/>
                <w:sz w:val="20"/>
                <w:szCs w:val="20"/>
              </w:rPr>
              <w:t>㎡</w:t>
            </w:r>
            <w:r>
              <w:rPr>
                <w:rFonts w:ascii="Times New Roman" w:hAnsi="Times New Roman" w:eastAsia="仿宋_GB2312"/>
                <w:bCs/>
                <w:color w:val="auto"/>
                <w:sz w:val="20"/>
                <w:szCs w:val="20"/>
              </w:rPr>
              <w:t>）</w:t>
            </w:r>
          </w:p>
        </w:tc>
        <w:tc>
          <w:tcPr>
            <w:tcW w:w="1129"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bCs/>
                <w:color w:val="auto"/>
                <w:sz w:val="20"/>
                <w:szCs w:val="20"/>
              </w:rPr>
            </w:pPr>
            <w:r>
              <w:rPr>
                <w:rFonts w:ascii="Times New Roman" w:hAnsi="Times New Roman" w:eastAsia="仿宋_GB2312"/>
                <w:bCs/>
                <w:color w:val="auto"/>
                <w:sz w:val="20"/>
                <w:szCs w:val="20"/>
              </w:rPr>
              <w:t>规模控制率</w:t>
            </w:r>
          </w:p>
        </w:tc>
        <w:tc>
          <w:tcPr>
            <w:tcW w:w="1111"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bCs/>
                <w:color w:val="auto"/>
                <w:sz w:val="20"/>
                <w:szCs w:val="20"/>
              </w:rPr>
            </w:pPr>
            <w:r>
              <w:rPr>
                <w:rFonts w:ascii="Times New Roman" w:hAnsi="Times New Roman" w:eastAsia="仿宋_GB2312"/>
                <w:bCs/>
                <w:color w:val="auto"/>
                <w:sz w:val="20"/>
                <w:szCs w:val="20"/>
              </w:rPr>
              <w:t>预算投资（万元）</w:t>
            </w:r>
          </w:p>
        </w:tc>
        <w:tc>
          <w:tcPr>
            <w:tcW w:w="1081"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bCs/>
                <w:color w:val="auto"/>
                <w:sz w:val="20"/>
                <w:szCs w:val="20"/>
              </w:rPr>
            </w:pPr>
            <w:r>
              <w:rPr>
                <w:rFonts w:ascii="Times New Roman" w:hAnsi="Times New Roman" w:eastAsia="仿宋_GB2312"/>
                <w:bCs/>
                <w:color w:val="auto"/>
                <w:sz w:val="20"/>
                <w:szCs w:val="20"/>
              </w:rPr>
              <w:t>实际投资（万元）</w:t>
            </w:r>
          </w:p>
        </w:tc>
        <w:tc>
          <w:tcPr>
            <w:tcW w:w="960"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bCs/>
                <w:color w:val="auto"/>
                <w:sz w:val="20"/>
                <w:szCs w:val="20"/>
              </w:rPr>
            </w:pPr>
            <w:r>
              <w:rPr>
                <w:rFonts w:ascii="Times New Roman" w:hAnsi="Times New Roman" w:eastAsia="仿宋_GB2312"/>
                <w:bCs/>
                <w:color w:val="auto"/>
                <w:sz w:val="20"/>
                <w:szCs w:val="20"/>
              </w:rPr>
              <w:t>投资概算控制率</w:t>
            </w:r>
          </w:p>
        </w:tc>
      </w:tr>
      <w:tr>
        <w:tblPrEx>
          <w:tblLayout w:type="fixed"/>
          <w:tblCellMar>
            <w:top w:w="0" w:type="dxa"/>
            <w:left w:w="108" w:type="dxa"/>
            <w:bottom w:w="0" w:type="dxa"/>
            <w:right w:w="108" w:type="dxa"/>
          </w:tblCellMar>
        </w:tblPrEx>
        <w:trPr>
          <w:jc w:val="center"/>
        </w:trPr>
        <w:tc>
          <w:tcPr>
            <w:tcW w:w="3354"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p>
        </w:tc>
        <w:tc>
          <w:tcPr>
            <w:tcW w:w="1189"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　</w:t>
            </w:r>
          </w:p>
        </w:tc>
        <w:tc>
          <w:tcPr>
            <w:tcW w:w="849" w:type="dxa"/>
            <w:tcBorders>
              <w:top w:val="nil"/>
              <w:left w:val="nil"/>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p>
        </w:tc>
        <w:tc>
          <w:tcPr>
            <w:tcW w:w="1129" w:type="dxa"/>
            <w:tcBorders>
              <w:top w:val="nil"/>
              <w:left w:val="nil"/>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p>
        </w:tc>
        <w:tc>
          <w:tcPr>
            <w:tcW w:w="1111" w:type="dxa"/>
            <w:tcBorders>
              <w:top w:val="nil"/>
              <w:left w:val="nil"/>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p>
        </w:tc>
        <w:tc>
          <w:tcPr>
            <w:tcW w:w="1081" w:type="dxa"/>
            <w:tcBorders>
              <w:top w:val="nil"/>
              <w:left w:val="nil"/>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p>
        </w:tc>
        <w:tc>
          <w:tcPr>
            <w:tcW w:w="960" w:type="dxa"/>
            <w:tcBorders>
              <w:top w:val="nil"/>
              <w:left w:val="nil"/>
              <w:bottom w:val="single" w:color="auto" w:sz="4" w:space="0"/>
              <w:right w:val="single" w:color="auto" w:sz="4" w:space="0"/>
            </w:tcBorders>
            <w:vAlign w:val="center"/>
          </w:tcPr>
          <w:p>
            <w:pPr>
              <w:widowControl/>
              <w:spacing w:line="36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　</w:t>
            </w:r>
          </w:p>
        </w:tc>
      </w:tr>
    </w:tbl>
    <w:p>
      <w:pPr>
        <w:widowControl/>
        <w:spacing w:line="400" w:lineRule="exact"/>
        <w:jc w:val="left"/>
        <w:rPr>
          <w:rFonts w:ascii="Times New Roman" w:hAnsi="Times New Roman" w:eastAsia="仿宋_GB2312"/>
          <w:color w:val="auto"/>
          <w:sz w:val="22"/>
        </w:rPr>
      </w:pPr>
      <w:r>
        <w:rPr>
          <w:rFonts w:ascii="Times New Roman" w:hAnsi="Times New Roman" w:eastAsia="仿宋_GB2312"/>
          <w:color w:val="auto"/>
          <w:sz w:val="22"/>
        </w:rPr>
        <w:t>说明：“项目支出”需要填报基本支出以外的所有项目支出情况，“公用经费”填报基本支出中的一般商品和服务支出。</w:t>
      </w:r>
    </w:p>
    <w:p>
      <w:pPr>
        <w:widowControl/>
        <w:spacing w:line="400" w:lineRule="exact"/>
        <w:jc w:val="left"/>
        <w:rPr>
          <w:rFonts w:ascii="Times New Roman" w:hAnsi="Times New Roman" w:eastAsia="仿宋_GB2312"/>
          <w:color w:val="auto"/>
          <w:sz w:val="22"/>
        </w:rPr>
      </w:pPr>
    </w:p>
    <w:p>
      <w:pPr>
        <w:widowControl/>
        <w:spacing w:line="400" w:lineRule="exact"/>
        <w:jc w:val="left"/>
        <w:rPr>
          <w:rFonts w:ascii="Times New Roman" w:hAnsi="Times New Roman" w:eastAsia="黑体"/>
          <w:color w:val="auto"/>
          <w:sz w:val="32"/>
          <w:szCs w:val="32"/>
        </w:rPr>
      </w:pPr>
      <w:r>
        <w:rPr>
          <w:rFonts w:ascii="Times New Roman" w:hAnsi="Times New Roman" w:eastAsia="仿宋_GB2312"/>
          <w:color w:val="auto"/>
          <w:sz w:val="22"/>
        </w:rPr>
        <w:t xml:space="preserve">填表人： </w:t>
      </w:r>
      <w:r>
        <w:rPr>
          <w:rFonts w:hint="eastAsia" w:ascii="Times New Roman" w:hAnsi="Times New Roman" w:eastAsia="仿宋_GB2312"/>
          <w:color w:val="auto"/>
          <w:sz w:val="22"/>
        </w:rPr>
        <w:t>刘燕琼</w:t>
      </w:r>
      <w:r>
        <w:rPr>
          <w:rFonts w:ascii="Times New Roman" w:hAnsi="Times New Roman" w:eastAsia="仿宋_GB2312"/>
          <w:color w:val="auto"/>
          <w:sz w:val="22"/>
        </w:rPr>
        <w:t xml:space="preserve">   填报日期：</w:t>
      </w:r>
      <w:r>
        <w:rPr>
          <w:rFonts w:hint="eastAsia" w:ascii="Times New Roman" w:hAnsi="Times New Roman" w:eastAsia="仿宋_GB2312"/>
          <w:color w:val="auto"/>
          <w:sz w:val="22"/>
        </w:rPr>
        <w:t xml:space="preserve">2024.4.18 </w:t>
      </w:r>
      <w:r>
        <w:rPr>
          <w:rFonts w:ascii="Times New Roman" w:hAnsi="Times New Roman" w:eastAsia="仿宋_GB2312"/>
          <w:color w:val="auto"/>
          <w:sz w:val="22"/>
        </w:rPr>
        <w:t xml:space="preserve"> 联系电话： </w:t>
      </w:r>
      <w:r>
        <w:rPr>
          <w:rFonts w:hint="eastAsia" w:ascii="Times New Roman" w:hAnsi="Times New Roman" w:eastAsia="仿宋_GB2312"/>
          <w:color w:val="auto"/>
          <w:sz w:val="22"/>
        </w:rPr>
        <w:t>84431492</w:t>
      </w:r>
      <w:r>
        <w:rPr>
          <w:rFonts w:ascii="Times New Roman" w:hAnsi="Times New Roman" w:eastAsia="仿宋_GB2312"/>
          <w:color w:val="auto"/>
          <w:sz w:val="22"/>
        </w:rPr>
        <w:t xml:space="preserve">  单位负责人签字：</w:t>
      </w:r>
      <w:r>
        <w:rPr>
          <w:rFonts w:hint="eastAsia" w:ascii="Times New Roman" w:hAnsi="Times New Roman" w:eastAsia="仿宋_GB2312"/>
          <w:color w:val="auto"/>
          <w:sz w:val="22"/>
        </w:rPr>
        <w:t>陈克云</w:t>
      </w:r>
      <w:r>
        <w:rPr>
          <w:rFonts w:ascii="Times New Roman" w:hAnsi="Times New Roman" w:eastAsia="仿宋_GB2312"/>
          <w:color w:val="auto"/>
          <w:sz w:val="22"/>
        </w:rPr>
        <w:br w:type="page"/>
      </w:r>
      <w:r>
        <w:rPr>
          <w:rFonts w:ascii="Times New Roman" w:hAnsi="Times New Roman" w:eastAsia="黑体"/>
          <w:color w:val="auto"/>
          <w:sz w:val="32"/>
          <w:szCs w:val="32"/>
        </w:rPr>
        <w:t>附件</w:t>
      </w:r>
      <w:r>
        <w:rPr>
          <w:rFonts w:hint="eastAsia" w:ascii="Times New Roman" w:hAnsi="Times New Roman" w:eastAsia="黑体"/>
          <w:color w:val="auto"/>
          <w:sz w:val="32"/>
          <w:szCs w:val="32"/>
        </w:rPr>
        <w:t>2</w:t>
      </w:r>
    </w:p>
    <w:p>
      <w:pPr>
        <w:widowControl/>
        <w:spacing w:afterLines="50"/>
        <w:jc w:val="center"/>
        <w:rPr>
          <w:rFonts w:ascii="Times New Roman" w:hAnsi="Times New Roman" w:eastAsia="方正小标宋_GBK"/>
          <w:color w:val="auto"/>
          <w:sz w:val="36"/>
          <w:szCs w:val="36"/>
        </w:rPr>
      </w:pPr>
      <w:r>
        <w:rPr>
          <w:rFonts w:ascii="Times New Roman" w:hAnsi="Times New Roman" w:eastAsia="方正小标宋_GBK"/>
          <w:color w:val="auto"/>
          <w:sz w:val="36"/>
          <w:szCs w:val="36"/>
        </w:rPr>
        <w:t>202</w:t>
      </w:r>
      <w:r>
        <w:rPr>
          <w:rFonts w:hint="eastAsia" w:ascii="Times New Roman" w:hAnsi="Times New Roman" w:eastAsia="方正小标宋_GBK"/>
          <w:color w:val="auto"/>
          <w:sz w:val="36"/>
          <w:szCs w:val="36"/>
        </w:rPr>
        <w:t>3</w:t>
      </w:r>
      <w:r>
        <w:rPr>
          <w:rFonts w:ascii="Times New Roman" w:hAnsi="Times New Roman" w:eastAsia="方正小标宋_GBK"/>
          <w:color w:val="auto"/>
          <w:sz w:val="36"/>
          <w:szCs w:val="36"/>
        </w:rPr>
        <w:t>年</w:t>
      </w:r>
      <w:r>
        <w:rPr>
          <w:rFonts w:hint="eastAsia" w:ascii="Times New Roman" w:hAnsi="Times New Roman" w:eastAsia="方正小标宋_GBK"/>
          <w:color w:val="auto"/>
          <w:sz w:val="36"/>
          <w:szCs w:val="36"/>
        </w:rPr>
        <w:t>度</w:t>
      </w:r>
      <w:r>
        <w:rPr>
          <w:rFonts w:ascii="Times New Roman" w:hAnsi="Times New Roman" w:eastAsia="方正小标宋_GBK"/>
          <w:color w:val="auto"/>
          <w:sz w:val="36"/>
          <w:szCs w:val="36"/>
        </w:rPr>
        <w:t>部门整体支出绩效自评表</w:t>
      </w:r>
    </w:p>
    <w:tbl>
      <w:tblPr>
        <w:tblStyle w:val="10"/>
        <w:tblW w:w="10079" w:type="dxa"/>
        <w:jc w:val="center"/>
        <w:tblInd w:w="0" w:type="dxa"/>
        <w:tblLayout w:type="fixed"/>
        <w:tblCellMar>
          <w:top w:w="0" w:type="dxa"/>
          <w:left w:w="108" w:type="dxa"/>
          <w:bottom w:w="0" w:type="dxa"/>
          <w:right w:w="108" w:type="dxa"/>
        </w:tblCellMar>
      </w:tblPr>
      <w:tblGrid>
        <w:gridCol w:w="1080"/>
        <w:gridCol w:w="1080"/>
        <w:gridCol w:w="1034"/>
        <w:gridCol w:w="1270"/>
        <w:gridCol w:w="1311"/>
        <w:gridCol w:w="1269"/>
        <w:gridCol w:w="716"/>
        <w:gridCol w:w="873"/>
        <w:gridCol w:w="1446"/>
      </w:tblGrid>
      <w:tr>
        <w:tblPrEx>
          <w:tblLayout w:type="fixed"/>
          <w:tblCellMar>
            <w:top w:w="0" w:type="dxa"/>
            <w:left w:w="108" w:type="dxa"/>
            <w:bottom w:w="0" w:type="dxa"/>
            <w:right w:w="108" w:type="dxa"/>
          </w:tblCellMar>
        </w:tblPrEx>
        <w:trPr>
          <w:jc w:val="center"/>
        </w:trPr>
        <w:tc>
          <w:tcPr>
            <w:tcW w:w="3194"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省级预算部门</w:t>
            </w:r>
            <w:r>
              <w:rPr>
                <w:rFonts w:hint="eastAsia" w:ascii="Times New Roman" w:hAnsi="Times New Roman" w:eastAsia="仿宋_GB2312"/>
                <w:color w:val="auto"/>
                <w:sz w:val="20"/>
                <w:szCs w:val="20"/>
              </w:rPr>
              <w:t>、单位</w:t>
            </w:r>
            <w:r>
              <w:rPr>
                <w:rFonts w:ascii="Times New Roman" w:hAnsi="Times New Roman" w:eastAsia="仿宋_GB2312"/>
                <w:color w:val="auto"/>
                <w:sz w:val="20"/>
                <w:szCs w:val="20"/>
              </w:rPr>
              <w:t>名称</w:t>
            </w:r>
          </w:p>
        </w:tc>
        <w:tc>
          <w:tcPr>
            <w:tcW w:w="688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湖南省农业对外经济合作中心</w:t>
            </w: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年度预</w:t>
            </w:r>
          </w:p>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算申请</w:t>
            </w:r>
            <w:r>
              <w:rPr>
                <w:rFonts w:ascii="Times New Roman" w:hAnsi="Times New Roman" w:eastAsia="仿宋_GB2312"/>
                <w:color w:val="auto"/>
                <w:sz w:val="20"/>
                <w:szCs w:val="20"/>
              </w:rPr>
              <w:br w:type="textWrapping"/>
            </w:r>
            <w:r>
              <w:rPr>
                <w:rFonts w:ascii="Times New Roman" w:hAnsi="Times New Roman" w:eastAsia="仿宋_GB2312"/>
                <w:color w:val="auto"/>
                <w:sz w:val="20"/>
                <w:szCs w:val="20"/>
              </w:rPr>
              <w:t>（万元）</w:t>
            </w:r>
          </w:p>
        </w:tc>
        <w:tc>
          <w:tcPr>
            <w:tcW w:w="2114"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olor w:val="auto"/>
                <w:sz w:val="20"/>
                <w:szCs w:val="20"/>
              </w:rPr>
            </w:pPr>
          </w:p>
        </w:tc>
        <w:tc>
          <w:tcPr>
            <w:tcW w:w="127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年初预算数</w:t>
            </w:r>
          </w:p>
        </w:tc>
        <w:tc>
          <w:tcPr>
            <w:tcW w:w="1311"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全年预算数</w:t>
            </w:r>
          </w:p>
        </w:tc>
        <w:tc>
          <w:tcPr>
            <w:tcW w:w="1269"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全年执行数</w:t>
            </w:r>
          </w:p>
        </w:tc>
        <w:tc>
          <w:tcPr>
            <w:tcW w:w="71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分值</w:t>
            </w:r>
          </w:p>
        </w:tc>
        <w:tc>
          <w:tcPr>
            <w:tcW w:w="873"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执行率</w:t>
            </w:r>
          </w:p>
        </w:tc>
        <w:tc>
          <w:tcPr>
            <w:tcW w:w="144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自评</w:t>
            </w:r>
            <w:r>
              <w:rPr>
                <w:rFonts w:ascii="Times New Roman" w:hAnsi="Times New Roman" w:eastAsia="仿宋_GB2312"/>
                <w:color w:val="auto"/>
                <w:sz w:val="20"/>
                <w:szCs w:val="20"/>
              </w:rPr>
              <w:t>得分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p>
        </w:tc>
        <w:tc>
          <w:tcPr>
            <w:tcW w:w="2114" w:type="dxa"/>
            <w:gridSpan w:val="2"/>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年度资金总额</w:t>
            </w:r>
          </w:p>
        </w:tc>
        <w:tc>
          <w:tcPr>
            <w:tcW w:w="127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1320.35</w:t>
            </w:r>
          </w:p>
        </w:tc>
        <w:tc>
          <w:tcPr>
            <w:tcW w:w="1311"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2337.25</w:t>
            </w:r>
          </w:p>
        </w:tc>
        <w:tc>
          <w:tcPr>
            <w:tcW w:w="1269"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1359.34</w:t>
            </w:r>
          </w:p>
        </w:tc>
        <w:tc>
          <w:tcPr>
            <w:tcW w:w="71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olor w:val="auto"/>
                <w:sz w:val="20"/>
                <w:szCs w:val="20"/>
              </w:rPr>
            </w:pPr>
            <w:r>
              <w:rPr>
                <w:rFonts w:ascii="Times New Roman" w:hAnsi="Times New Roman" w:eastAsia="仿宋_GB2312"/>
                <w:b/>
                <w:bCs/>
                <w:color w:val="auto"/>
                <w:sz w:val="20"/>
                <w:szCs w:val="20"/>
              </w:rPr>
              <w:t>10</w:t>
            </w:r>
          </w:p>
        </w:tc>
        <w:tc>
          <w:tcPr>
            <w:tcW w:w="873"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58.16%</w:t>
            </w:r>
          </w:p>
        </w:tc>
        <w:tc>
          <w:tcPr>
            <w:tcW w:w="144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5.82</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p>
        </w:tc>
        <w:tc>
          <w:tcPr>
            <w:tcW w:w="4695"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按收入性质分：</w:t>
            </w:r>
          </w:p>
        </w:tc>
        <w:tc>
          <w:tcPr>
            <w:tcW w:w="4304"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按支出性质分：</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p>
        </w:tc>
        <w:tc>
          <w:tcPr>
            <w:tcW w:w="4695"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xml:space="preserve">  其中：  一般公共预算：</w:t>
            </w:r>
            <w:r>
              <w:rPr>
                <w:rFonts w:hint="eastAsia" w:ascii="Times New Roman" w:hAnsi="Times New Roman" w:eastAsia="仿宋_GB2312"/>
                <w:color w:val="auto"/>
                <w:sz w:val="20"/>
                <w:szCs w:val="20"/>
              </w:rPr>
              <w:t>760.90</w:t>
            </w:r>
          </w:p>
        </w:tc>
        <w:tc>
          <w:tcPr>
            <w:tcW w:w="4304"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其中：基本支出：</w:t>
            </w:r>
            <w:r>
              <w:rPr>
                <w:rFonts w:hint="eastAsia" w:ascii="Times New Roman" w:hAnsi="Times New Roman" w:eastAsia="仿宋_GB2312"/>
                <w:color w:val="auto"/>
                <w:sz w:val="20"/>
                <w:szCs w:val="20"/>
              </w:rPr>
              <w:t>506.80</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p>
        </w:tc>
        <w:tc>
          <w:tcPr>
            <w:tcW w:w="4695" w:type="dxa"/>
            <w:gridSpan w:val="4"/>
            <w:tcBorders>
              <w:top w:val="nil"/>
              <w:left w:val="nil"/>
              <w:bottom w:val="single" w:color="auto" w:sz="4" w:space="0"/>
              <w:right w:val="single" w:color="auto" w:sz="4" w:space="0"/>
            </w:tcBorders>
            <w:vAlign w:val="center"/>
          </w:tcPr>
          <w:p>
            <w:pPr>
              <w:widowControl/>
              <w:spacing w:line="240" w:lineRule="exact"/>
              <w:ind w:firstLine="800" w:firstLineChars="400"/>
              <w:jc w:val="left"/>
              <w:rPr>
                <w:rFonts w:ascii="Times New Roman" w:hAnsi="Times New Roman" w:eastAsia="仿宋_GB2312"/>
                <w:color w:val="auto"/>
                <w:sz w:val="20"/>
                <w:szCs w:val="20"/>
              </w:rPr>
            </w:pPr>
            <w:r>
              <w:rPr>
                <w:rFonts w:ascii="Times New Roman" w:hAnsi="Times New Roman" w:eastAsia="仿宋_GB2312"/>
                <w:color w:val="auto"/>
                <w:sz w:val="20"/>
                <w:szCs w:val="20"/>
              </w:rPr>
              <w:t>政府性基金拨款：</w:t>
            </w:r>
          </w:p>
        </w:tc>
        <w:tc>
          <w:tcPr>
            <w:tcW w:w="4304" w:type="dxa"/>
            <w:gridSpan w:val="4"/>
            <w:tcBorders>
              <w:top w:val="nil"/>
              <w:left w:val="nil"/>
              <w:bottom w:val="single" w:color="auto" w:sz="4" w:space="0"/>
              <w:right w:val="single" w:color="auto" w:sz="4" w:space="0"/>
            </w:tcBorders>
            <w:vAlign w:val="center"/>
          </w:tcPr>
          <w:p>
            <w:pPr>
              <w:widowControl/>
              <w:spacing w:line="240" w:lineRule="exact"/>
              <w:ind w:firstLine="600" w:firstLineChars="300"/>
              <w:jc w:val="left"/>
              <w:rPr>
                <w:rFonts w:ascii="Times New Roman" w:hAnsi="Times New Roman" w:eastAsia="仿宋_GB2312"/>
                <w:color w:val="auto"/>
                <w:sz w:val="20"/>
                <w:szCs w:val="20"/>
              </w:rPr>
            </w:pPr>
            <w:r>
              <w:rPr>
                <w:rFonts w:ascii="Times New Roman" w:hAnsi="Times New Roman" w:eastAsia="仿宋_GB2312"/>
                <w:color w:val="auto"/>
                <w:sz w:val="20"/>
                <w:szCs w:val="20"/>
              </w:rPr>
              <w:t>项目支出：</w:t>
            </w:r>
            <w:r>
              <w:rPr>
                <w:rFonts w:hint="eastAsia" w:ascii="Times New Roman" w:hAnsi="Times New Roman" w:eastAsia="仿宋_GB2312"/>
                <w:color w:val="auto"/>
                <w:sz w:val="20"/>
                <w:szCs w:val="20"/>
              </w:rPr>
              <w:t>852.54</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p>
        </w:tc>
        <w:tc>
          <w:tcPr>
            <w:tcW w:w="4695"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纳入专户管理的非税收入拨款：</w:t>
            </w:r>
          </w:p>
        </w:tc>
        <w:tc>
          <w:tcPr>
            <w:tcW w:w="4304"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p>
        </w:tc>
        <w:tc>
          <w:tcPr>
            <w:tcW w:w="4695" w:type="dxa"/>
            <w:gridSpan w:val="4"/>
            <w:tcBorders>
              <w:top w:val="nil"/>
              <w:left w:val="nil"/>
              <w:bottom w:val="single" w:color="auto" w:sz="4" w:space="0"/>
              <w:right w:val="single" w:color="auto" w:sz="4" w:space="0"/>
            </w:tcBorders>
            <w:vAlign w:val="center"/>
          </w:tcPr>
          <w:p>
            <w:pPr>
              <w:widowControl/>
              <w:spacing w:line="240" w:lineRule="exact"/>
              <w:ind w:firstLine="1400" w:firstLineChars="700"/>
              <w:jc w:val="left"/>
              <w:rPr>
                <w:rFonts w:ascii="Times New Roman" w:hAnsi="Times New Roman" w:eastAsia="仿宋_GB2312"/>
                <w:color w:val="auto"/>
                <w:sz w:val="20"/>
                <w:szCs w:val="20"/>
              </w:rPr>
            </w:pPr>
            <w:r>
              <w:rPr>
                <w:rFonts w:ascii="Times New Roman" w:hAnsi="Times New Roman" w:eastAsia="仿宋_GB2312"/>
                <w:color w:val="auto"/>
                <w:sz w:val="20"/>
                <w:szCs w:val="20"/>
              </w:rPr>
              <w:t>其他资金：</w:t>
            </w:r>
            <w:r>
              <w:rPr>
                <w:rFonts w:hint="eastAsia" w:ascii="Times New Roman" w:hAnsi="Times New Roman" w:eastAsia="仿宋_GB2312"/>
                <w:color w:val="auto"/>
                <w:sz w:val="20"/>
                <w:szCs w:val="20"/>
              </w:rPr>
              <w:t>1576.35</w:t>
            </w:r>
          </w:p>
        </w:tc>
        <w:tc>
          <w:tcPr>
            <w:tcW w:w="4304"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年度总体目标</w:t>
            </w:r>
          </w:p>
        </w:tc>
        <w:tc>
          <w:tcPr>
            <w:tcW w:w="4695" w:type="dxa"/>
            <w:gridSpan w:val="4"/>
            <w:tcBorders>
              <w:top w:val="single" w:color="auto" w:sz="4" w:space="0"/>
              <w:left w:val="nil"/>
              <w:bottom w:val="single" w:color="auto" w:sz="4" w:space="0"/>
              <w:right w:val="single" w:color="000000"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预期目标</w:t>
            </w:r>
          </w:p>
        </w:tc>
        <w:tc>
          <w:tcPr>
            <w:tcW w:w="4304"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实际完成情况　</w:t>
            </w:r>
          </w:p>
        </w:tc>
      </w:tr>
      <w:tr>
        <w:tblPrEx>
          <w:tblLayout w:type="fixed"/>
          <w:tblCellMar>
            <w:top w:w="0" w:type="dxa"/>
            <w:left w:w="108" w:type="dxa"/>
            <w:bottom w:w="0" w:type="dxa"/>
            <w:right w:w="108" w:type="dxa"/>
          </w:tblCellMar>
        </w:tblPrEx>
        <w:trPr>
          <w:trHeight w:val="1993" w:hRule="atLeast"/>
          <w:jc w:val="center"/>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p>
        </w:tc>
        <w:tc>
          <w:tcPr>
            <w:tcW w:w="4695" w:type="dxa"/>
            <w:gridSpan w:val="4"/>
            <w:tcBorders>
              <w:top w:val="single" w:color="auto" w:sz="4" w:space="0"/>
              <w:left w:val="nil"/>
              <w:bottom w:val="single" w:color="auto" w:sz="4" w:space="0"/>
              <w:right w:val="single" w:color="000000" w:sz="4" w:space="0"/>
            </w:tcBorders>
            <w:vAlign w:val="center"/>
          </w:tcPr>
          <w:p>
            <w:pPr>
              <w:widowControl/>
              <w:spacing w:line="200" w:lineRule="exact"/>
              <w:rPr>
                <w:rFonts w:ascii="宋体" w:hAnsi="宋体" w:cs="宋体"/>
                <w:color w:val="auto"/>
                <w:sz w:val="20"/>
                <w:szCs w:val="20"/>
              </w:rPr>
            </w:pPr>
            <w:r>
              <w:rPr>
                <w:rFonts w:ascii="Times New Roman" w:hAnsi="Times New Roman" w:eastAsia="仿宋_GB2312"/>
                <w:color w:val="auto"/>
                <w:sz w:val="20"/>
                <w:szCs w:val="20"/>
              </w:rPr>
              <w:t>　　</w:t>
            </w:r>
            <w:r>
              <w:rPr>
                <w:rFonts w:hint="eastAsia"/>
                <w:color w:val="auto"/>
                <w:sz w:val="20"/>
                <w:szCs w:val="20"/>
              </w:rPr>
              <w:t>1、完成援萨摩亚第五期农业技术援助实施任务及马达加斯加南南合作等南南合作项目管理。</w:t>
            </w:r>
            <w:r>
              <w:rPr>
                <w:rFonts w:hint="eastAsia"/>
                <w:color w:val="auto"/>
                <w:sz w:val="20"/>
                <w:szCs w:val="20"/>
              </w:rPr>
              <w:br w:type="textWrapping"/>
            </w:r>
            <w:r>
              <w:rPr>
                <w:rFonts w:hint="eastAsia"/>
                <w:color w:val="auto"/>
                <w:sz w:val="20"/>
                <w:szCs w:val="20"/>
              </w:rPr>
              <w:t>2、顺利完成世行贷款湖南省农田污染综合管理等项目。</w:t>
            </w:r>
            <w:r>
              <w:rPr>
                <w:rFonts w:hint="eastAsia"/>
                <w:color w:val="auto"/>
                <w:sz w:val="20"/>
                <w:szCs w:val="20"/>
              </w:rPr>
              <w:br w:type="textWrapping"/>
            </w:r>
            <w:r>
              <w:rPr>
                <w:rFonts w:hint="eastAsia"/>
                <w:color w:val="auto"/>
                <w:sz w:val="20"/>
                <w:szCs w:val="20"/>
              </w:rPr>
              <w:t>3、大力扶持湖南出口型农业企业稳外贸、增订单。</w:t>
            </w:r>
            <w:r>
              <w:rPr>
                <w:rFonts w:hint="eastAsia"/>
                <w:color w:val="auto"/>
                <w:sz w:val="20"/>
                <w:szCs w:val="20"/>
              </w:rPr>
              <w:br w:type="textWrapping"/>
            </w:r>
            <w:r>
              <w:rPr>
                <w:rFonts w:hint="eastAsia"/>
                <w:color w:val="auto"/>
                <w:sz w:val="20"/>
                <w:szCs w:val="20"/>
              </w:rPr>
              <w:t>4、做好日常工作管理。</w:t>
            </w:r>
          </w:p>
          <w:p>
            <w:pPr>
              <w:widowControl/>
              <w:spacing w:line="200" w:lineRule="exact"/>
              <w:rPr>
                <w:rFonts w:ascii="Times New Roman" w:hAnsi="Times New Roman" w:eastAsia="仿宋_GB2312"/>
                <w:color w:val="auto"/>
                <w:sz w:val="20"/>
                <w:szCs w:val="20"/>
              </w:rPr>
            </w:pPr>
          </w:p>
        </w:tc>
        <w:tc>
          <w:tcPr>
            <w:tcW w:w="4304" w:type="dxa"/>
            <w:gridSpan w:val="4"/>
            <w:tcBorders>
              <w:top w:val="single" w:color="auto" w:sz="4" w:space="0"/>
              <w:left w:val="nil"/>
              <w:bottom w:val="single" w:color="auto" w:sz="4" w:space="0"/>
              <w:right w:val="single" w:color="auto" w:sz="4" w:space="0"/>
            </w:tcBorders>
            <w:vAlign w:val="center"/>
          </w:tcPr>
          <w:p>
            <w:pPr>
              <w:widowControl/>
              <w:spacing w:line="20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p>
          <w:p>
            <w:pPr>
              <w:spacing w:line="200" w:lineRule="exact"/>
              <w:jc w:val="left"/>
              <w:rPr>
                <w:rFonts w:ascii="Times New Roman" w:hAnsi="Times New Roman" w:eastAsia="仿宋_GB2312"/>
                <w:color w:val="auto"/>
                <w:sz w:val="20"/>
                <w:szCs w:val="20"/>
              </w:rPr>
            </w:pPr>
            <w:r>
              <w:rPr>
                <w:rFonts w:hint="eastAsia"/>
                <w:color w:val="auto"/>
                <w:sz w:val="20"/>
                <w:szCs w:val="20"/>
              </w:rPr>
              <w:t>1、基本完成援外项目实施任务及援马达加斯加等南南合作项目管理。</w:t>
            </w:r>
            <w:r>
              <w:rPr>
                <w:rFonts w:hint="eastAsia"/>
                <w:color w:val="auto"/>
                <w:sz w:val="20"/>
                <w:szCs w:val="20"/>
              </w:rPr>
              <w:br w:type="textWrapping"/>
            </w:r>
            <w:r>
              <w:rPr>
                <w:rFonts w:hint="eastAsia"/>
                <w:color w:val="auto"/>
                <w:sz w:val="20"/>
                <w:szCs w:val="20"/>
              </w:rPr>
              <w:t>2、圆满完成世行贷款湖南省农田污染综合管理项目建设；国际农发基金贷款湖南省乡村振兴发展项目有序推进；世行贷款绿色农业和乡村振兴项目通过世行执董会通过。</w:t>
            </w:r>
            <w:r>
              <w:rPr>
                <w:rFonts w:hint="eastAsia"/>
                <w:color w:val="auto"/>
                <w:sz w:val="20"/>
                <w:szCs w:val="20"/>
              </w:rPr>
              <w:br w:type="textWrapping"/>
            </w:r>
            <w:r>
              <w:rPr>
                <w:rFonts w:hint="eastAsia"/>
                <w:color w:val="auto"/>
                <w:sz w:val="20"/>
                <w:szCs w:val="20"/>
              </w:rPr>
              <w:t>3、积极组织企业参展，为我省农产品出口企业提供服务。</w:t>
            </w:r>
            <w:r>
              <w:rPr>
                <w:rFonts w:hint="eastAsia"/>
                <w:color w:val="auto"/>
                <w:sz w:val="20"/>
                <w:szCs w:val="20"/>
              </w:rPr>
              <w:br w:type="textWrapping"/>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绩</w:t>
            </w:r>
          </w:p>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效</w:t>
            </w:r>
          </w:p>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指</w:t>
            </w:r>
          </w:p>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标</w:t>
            </w:r>
          </w:p>
          <w:p>
            <w:pPr>
              <w:widowControl/>
              <w:spacing w:line="240" w:lineRule="exact"/>
              <w:jc w:val="center"/>
              <w:rPr>
                <w:rFonts w:ascii="Times New Roman" w:hAnsi="Times New Roman" w:eastAsia="仿宋_GB2312"/>
                <w:color w:val="auto"/>
                <w:sz w:val="20"/>
                <w:szCs w:val="20"/>
              </w:rPr>
            </w:pP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一级指标</w:t>
            </w:r>
          </w:p>
        </w:tc>
        <w:tc>
          <w:tcPr>
            <w:tcW w:w="10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二级指标</w:t>
            </w: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三级指标</w:t>
            </w:r>
          </w:p>
        </w:tc>
        <w:tc>
          <w:tcPr>
            <w:tcW w:w="1311"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eastAsia="仿宋_GB2312"/>
                <w:color w:val="auto"/>
                <w:sz w:val="20"/>
                <w:szCs w:val="20"/>
              </w:rPr>
            </w:pPr>
            <w:r>
              <w:rPr>
                <w:rFonts w:ascii="Times New Roman" w:hAnsi="Times New Roman" w:eastAsia="仿宋_GB2312"/>
                <w:color w:val="auto"/>
                <w:sz w:val="20"/>
                <w:szCs w:val="20"/>
              </w:rPr>
              <w:t>年度指标值</w:t>
            </w:r>
          </w:p>
        </w:tc>
        <w:tc>
          <w:tcPr>
            <w:tcW w:w="1269"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eastAsia="仿宋_GB2312"/>
                <w:color w:val="auto"/>
                <w:sz w:val="20"/>
                <w:szCs w:val="20"/>
              </w:rPr>
            </w:pPr>
            <w:r>
              <w:rPr>
                <w:rFonts w:ascii="Times New Roman" w:hAnsi="Times New Roman" w:eastAsia="仿宋_GB2312"/>
                <w:color w:val="auto"/>
                <w:sz w:val="20"/>
                <w:szCs w:val="20"/>
              </w:rPr>
              <w:t>实际完成值</w:t>
            </w:r>
          </w:p>
        </w:tc>
        <w:tc>
          <w:tcPr>
            <w:tcW w:w="71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分值</w:t>
            </w:r>
          </w:p>
        </w:tc>
        <w:tc>
          <w:tcPr>
            <w:tcW w:w="87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16"/>
                <w:szCs w:val="16"/>
              </w:rPr>
              <w:t>自评</w:t>
            </w:r>
            <w:r>
              <w:rPr>
                <w:rFonts w:ascii="Times New Roman" w:hAnsi="Times New Roman" w:eastAsia="仿宋_GB2312"/>
                <w:color w:val="auto"/>
                <w:sz w:val="16"/>
                <w:szCs w:val="16"/>
              </w:rPr>
              <w:t>得分</w:t>
            </w:r>
          </w:p>
        </w:tc>
        <w:tc>
          <w:tcPr>
            <w:tcW w:w="1446"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eastAsia="仿宋_GB2312"/>
                <w:color w:val="auto"/>
                <w:sz w:val="20"/>
                <w:szCs w:val="20"/>
              </w:rPr>
            </w:pPr>
            <w:r>
              <w:rPr>
                <w:rFonts w:ascii="Times New Roman" w:hAnsi="Times New Roman" w:eastAsia="仿宋_GB2312"/>
                <w:color w:val="auto"/>
                <w:sz w:val="20"/>
                <w:szCs w:val="20"/>
              </w:rPr>
              <w:t>偏差原因分析及改进措施</w:t>
            </w:r>
          </w:p>
        </w:tc>
      </w:tr>
      <w:tr>
        <w:tblPrEx>
          <w:tblLayout w:type="fixed"/>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80" w:type="dxa"/>
            <w:vMerge w:val="restart"/>
            <w:tcBorders>
              <w:top w:val="single" w:color="auto" w:sz="4" w:space="0"/>
              <w:left w:val="nil"/>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产出指标</w:t>
            </w:r>
          </w:p>
          <w:p>
            <w:pPr>
              <w:widowControl/>
              <w:spacing w:line="240" w:lineRule="exact"/>
              <w:jc w:val="center"/>
              <w:rPr>
                <w:rFonts w:ascii="Times New Roman" w:hAnsi="Times New Roman" w:eastAsia="仿宋_GB2312"/>
                <w:color w:val="auto"/>
                <w:sz w:val="20"/>
                <w:szCs w:val="20"/>
              </w:rPr>
            </w:pPr>
          </w:p>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(50分)</w:t>
            </w:r>
          </w:p>
        </w:tc>
        <w:tc>
          <w:tcPr>
            <w:tcW w:w="1034" w:type="dxa"/>
            <w:vMerge w:val="restart"/>
            <w:tcBorders>
              <w:top w:val="nil"/>
              <w:left w:val="nil"/>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数量指标</w:t>
            </w:r>
          </w:p>
        </w:tc>
        <w:tc>
          <w:tcPr>
            <w:tcW w:w="1270"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hint="eastAsia" w:ascii="Times New Roman" w:hAnsi="Times New Roman" w:eastAsia="仿宋_GB2312"/>
                <w:color w:val="auto"/>
                <w:sz w:val="20"/>
                <w:szCs w:val="20"/>
              </w:rPr>
              <w:t>技术培训</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≥1000人次</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hint="eastAsia" w:ascii="Times New Roman" w:hAnsi="Times New Roman" w:eastAsia="仿宋_GB2312"/>
                <w:color w:val="auto"/>
                <w:sz w:val="20"/>
                <w:szCs w:val="20"/>
              </w:rPr>
              <w:t>援萨摩亚农技项目提供技术培训≥1000人次</w:t>
            </w:r>
          </w:p>
        </w:tc>
        <w:tc>
          <w:tcPr>
            <w:tcW w:w="71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6</w:t>
            </w:r>
          </w:p>
        </w:tc>
        <w:tc>
          <w:tcPr>
            <w:tcW w:w="87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6</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34" w:type="dxa"/>
            <w:vMerge w:val="continue"/>
            <w:tcBorders>
              <w:left w:val="nil"/>
              <w:right w:val="single" w:color="auto" w:sz="4" w:space="0"/>
            </w:tcBorders>
            <w:vAlign w:val="center"/>
          </w:tcPr>
          <w:p>
            <w:pPr>
              <w:spacing w:line="240" w:lineRule="exact"/>
              <w:jc w:val="center"/>
              <w:rPr>
                <w:rFonts w:ascii="Times New Roman" w:hAnsi="Times New Roman" w:eastAsia="仿宋_GB2312"/>
                <w:color w:val="auto"/>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hint="eastAsia" w:ascii="Times New Roman" w:hAnsi="Times New Roman" w:eastAsia="仿宋_GB2312"/>
                <w:color w:val="auto"/>
                <w:sz w:val="20"/>
                <w:szCs w:val="20"/>
              </w:rPr>
              <w:t>建立萨摩亚蔬菜示范户</w:t>
            </w:r>
          </w:p>
        </w:tc>
        <w:tc>
          <w:tcPr>
            <w:tcW w:w="131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30</w:t>
            </w:r>
          </w:p>
        </w:tc>
        <w:tc>
          <w:tcPr>
            <w:tcW w:w="12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30</w:t>
            </w:r>
          </w:p>
        </w:tc>
        <w:tc>
          <w:tcPr>
            <w:tcW w:w="71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6</w:t>
            </w:r>
          </w:p>
        </w:tc>
        <w:tc>
          <w:tcPr>
            <w:tcW w:w="87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6</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34" w:type="dxa"/>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hint="eastAsia" w:ascii="Times New Roman" w:hAnsi="Times New Roman" w:eastAsia="仿宋_GB2312"/>
                <w:color w:val="auto"/>
                <w:sz w:val="20"/>
                <w:szCs w:val="20"/>
              </w:rPr>
              <w:t>组织国际性展会次数（次）</w:t>
            </w:r>
          </w:p>
        </w:tc>
        <w:tc>
          <w:tcPr>
            <w:tcW w:w="131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1</w:t>
            </w:r>
          </w:p>
        </w:tc>
        <w:tc>
          <w:tcPr>
            <w:tcW w:w="12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1</w:t>
            </w:r>
          </w:p>
        </w:tc>
        <w:tc>
          <w:tcPr>
            <w:tcW w:w="71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5</w:t>
            </w:r>
          </w:p>
        </w:tc>
        <w:tc>
          <w:tcPr>
            <w:tcW w:w="87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5</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34" w:type="dxa"/>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完成专题分析报告次数（次）</w:t>
            </w:r>
          </w:p>
        </w:tc>
        <w:tc>
          <w:tcPr>
            <w:tcW w:w="131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6</w:t>
            </w:r>
          </w:p>
        </w:tc>
        <w:tc>
          <w:tcPr>
            <w:tcW w:w="12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6</w:t>
            </w:r>
          </w:p>
        </w:tc>
        <w:tc>
          <w:tcPr>
            <w:tcW w:w="71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5</w:t>
            </w:r>
          </w:p>
        </w:tc>
        <w:tc>
          <w:tcPr>
            <w:tcW w:w="87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5</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34" w:type="dxa"/>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highlight w:val="yellow"/>
              </w:rPr>
            </w:pPr>
            <w:r>
              <w:rPr>
                <w:rFonts w:hint="eastAsia" w:ascii="Times New Roman" w:hAnsi="Times New Roman" w:eastAsia="仿宋_GB2312"/>
                <w:color w:val="auto"/>
                <w:sz w:val="20"/>
                <w:szCs w:val="20"/>
              </w:rPr>
              <w:t>农发项目完成年度投资计划</w:t>
            </w:r>
          </w:p>
        </w:tc>
        <w:tc>
          <w:tcPr>
            <w:tcW w:w="1311" w:type="dxa"/>
            <w:tcBorders>
              <w:top w:val="nil"/>
              <w:left w:val="nil"/>
              <w:bottom w:val="single" w:color="auto" w:sz="4" w:space="0"/>
              <w:right w:val="single" w:color="auto" w:sz="4" w:space="0"/>
            </w:tcBorders>
            <w:vAlign w:val="center"/>
          </w:tcPr>
          <w:p>
            <w:pPr>
              <w:widowControl/>
              <w:jc w:val="center"/>
              <w:rPr>
                <w:rFonts w:ascii="Times New Roman" w:hAnsi="Times New Roman"/>
                <w:color w:val="auto"/>
                <w:sz w:val="22"/>
              </w:rPr>
            </w:pPr>
            <w:r>
              <w:rPr>
                <w:rFonts w:ascii="Times New Roman" w:hAnsi="Times New Roman"/>
                <w:color w:val="auto"/>
                <w:sz w:val="22"/>
              </w:rPr>
              <w:t>≥90%</w:t>
            </w:r>
          </w:p>
        </w:tc>
        <w:tc>
          <w:tcPr>
            <w:tcW w:w="1269" w:type="dxa"/>
            <w:tcBorders>
              <w:top w:val="nil"/>
              <w:left w:val="nil"/>
              <w:bottom w:val="single" w:color="auto" w:sz="4" w:space="0"/>
              <w:right w:val="single" w:color="auto" w:sz="4" w:space="0"/>
            </w:tcBorders>
            <w:vAlign w:val="center"/>
          </w:tcPr>
          <w:p>
            <w:pPr>
              <w:jc w:val="center"/>
              <w:rPr>
                <w:rFonts w:ascii="Times New Roman" w:hAnsi="Times New Roman"/>
                <w:color w:val="auto"/>
                <w:sz w:val="22"/>
              </w:rPr>
            </w:pPr>
            <w:r>
              <w:rPr>
                <w:rFonts w:ascii="Times New Roman" w:hAnsi="Times New Roman"/>
                <w:color w:val="auto"/>
                <w:sz w:val="22"/>
              </w:rPr>
              <w:t>70%</w:t>
            </w:r>
          </w:p>
        </w:tc>
        <w:tc>
          <w:tcPr>
            <w:tcW w:w="71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8</w:t>
            </w:r>
          </w:p>
        </w:tc>
        <w:tc>
          <w:tcPr>
            <w:tcW w:w="87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6</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34" w:type="dxa"/>
            <w:vMerge w:val="restart"/>
            <w:tcBorders>
              <w:top w:val="nil"/>
              <w:left w:val="nil"/>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质量指标</w:t>
            </w: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特装搭建验收合格率（%）</w:t>
            </w:r>
          </w:p>
        </w:tc>
        <w:tc>
          <w:tcPr>
            <w:tcW w:w="131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100</w:t>
            </w:r>
          </w:p>
        </w:tc>
        <w:tc>
          <w:tcPr>
            <w:tcW w:w="12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100</w:t>
            </w:r>
          </w:p>
        </w:tc>
        <w:tc>
          <w:tcPr>
            <w:tcW w:w="71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6</w:t>
            </w:r>
          </w:p>
        </w:tc>
        <w:tc>
          <w:tcPr>
            <w:tcW w:w="87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6</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34" w:type="dxa"/>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与相关高校开展合作，完成湖南农产品贸易研究和产业损害监测预警等相关课题</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完成</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hint="eastAsia" w:ascii="Times New Roman" w:hAnsi="Times New Roman" w:eastAsia="仿宋_GB2312"/>
                <w:color w:val="auto"/>
                <w:sz w:val="20"/>
                <w:szCs w:val="20"/>
              </w:rPr>
              <w:t>成功与湖南农大团队、湖南工商大学团队开展合作研究，完成课题</w:t>
            </w:r>
          </w:p>
        </w:tc>
        <w:tc>
          <w:tcPr>
            <w:tcW w:w="71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6</w:t>
            </w:r>
          </w:p>
        </w:tc>
        <w:tc>
          <w:tcPr>
            <w:tcW w:w="87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6</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bottom w:val="single" w:color="auto" w:sz="4" w:space="0"/>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80" w:type="dxa"/>
            <w:vMerge w:val="continue"/>
            <w:tcBorders>
              <w:left w:val="nil"/>
              <w:bottom w:val="single" w:color="auto" w:sz="4" w:space="0"/>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34" w:type="dxa"/>
            <w:tcBorders>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时效指标</w:t>
            </w:r>
          </w:p>
        </w:tc>
        <w:tc>
          <w:tcPr>
            <w:tcW w:w="127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项目短期专家赴萨工作</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hint="eastAsia" w:ascii="Times New Roman" w:hAnsi="Times New Roman" w:eastAsia="仿宋_GB2312"/>
                <w:color w:val="auto"/>
                <w:sz w:val="20"/>
                <w:szCs w:val="20"/>
              </w:rPr>
              <w:t>3个月/人</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hint="eastAsia" w:ascii="Times New Roman" w:hAnsi="Times New Roman" w:eastAsia="仿宋_GB2312"/>
                <w:color w:val="auto"/>
                <w:sz w:val="20"/>
                <w:szCs w:val="20"/>
              </w:rPr>
              <w:t>3位短期专家赴萨工作3个月</w:t>
            </w:r>
          </w:p>
        </w:tc>
        <w:tc>
          <w:tcPr>
            <w:tcW w:w="71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8</w:t>
            </w:r>
          </w:p>
        </w:tc>
        <w:tc>
          <w:tcPr>
            <w:tcW w:w="87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8</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right w:val="single" w:color="auto" w:sz="4" w:space="0"/>
            </w:tcBorders>
            <w:vAlign w:val="center"/>
          </w:tcPr>
          <w:p>
            <w:pPr>
              <w:spacing w:line="240" w:lineRule="exact"/>
              <w:jc w:val="center"/>
              <w:rPr>
                <w:rFonts w:ascii="Times New Roman" w:hAnsi="Times New Roman" w:eastAsia="仿宋_GB2312"/>
                <w:color w:val="auto"/>
                <w:sz w:val="20"/>
                <w:szCs w:val="20"/>
              </w:rPr>
            </w:pPr>
          </w:p>
        </w:tc>
        <w:tc>
          <w:tcPr>
            <w:tcW w:w="1080" w:type="dxa"/>
            <w:vMerge w:val="restart"/>
            <w:tcBorders>
              <w:top w:val="single" w:color="auto" w:sz="4" w:space="0"/>
              <w:left w:val="nil"/>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效益指标</w:t>
            </w:r>
          </w:p>
          <w:p>
            <w:pPr>
              <w:widowControl/>
              <w:spacing w:line="240" w:lineRule="exact"/>
              <w:jc w:val="left"/>
              <w:rPr>
                <w:rFonts w:ascii="Times New Roman" w:hAnsi="Times New Roman" w:eastAsia="仿宋_GB2312"/>
                <w:color w:val="auto"/>
                <w:sz w:val="20"/>
                <w:szCs w:val="20"/>
              </w:rPr>
            </w:pPr>
          </w:p>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（30分）</w:t>
            </w:r>
          </w:p>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p>
        </w:tc>
        <w:tc>
          <w:tcPr>
            <w:tcW w:w="1034" w:type="dxa"/>
            <w:vMerge w:val="restart"/>
            <w:tcBorders>
              <w:top w:val="single" w:color="auto" w:sz="4" w:space="0"/>
              <w:left w:val="nil"/>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经济效</w:t>
            </w:r>
          </w:p>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益指标</w:t>
            </w:r>
          </w:p>
        </w:tc>
        <w:tc>
          <w:tcPr>
            <w:tcW w:w="127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hint="eastAsia" w:ascii="Times New Roman" w:hAnsi="Times New Roman" w:eastAsia="仿宋_GB2312"/>
                <w:color w:val="auto"/>
                <w:sz w:val="20"/>
                <w:szCs w:val="20"/>
              </w:rPr>
              <w:t>大力扶持湖南出口型农业企业稳外贸、增订单</w:t>
            </w:r>
          </w:p>
        </w:tc>
        <w:tc>
          <w:tcPr>
            <w:tcW w:w="1311"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hint="eastAsia" w:ascii="Times New Roman" w:hAnsi="Times New Roman" w:eastAsia="仿宋_GB2312"/>
                <w:color w:val="auto"/>
                <w:sz w:val="20"/>
                <w:szCs w:val="20"/>
              </w:rPr>
              <w:t>积极参加，出口额增加</w:t>
            </w:r>
          </w:p>
        </w:tc>
        <w:tc>
          <w:tcPr>
            <w:tcW w:w="1269"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hint="eastAsia" w:ascii="Times New Roman" w:hAnsi="Times New Roman" w:eastAsia="仿宋_GB2312"/>
                <w:color w:val="auto"/>
                <w:sz w:val="20"/>
                <w:szCs w:val="20"/>
              </w:rPr>
              <w:t>促成企业对外贸易合作意向订单量1000万元</w:t>
            </w:r>
          </w:p>
        </w:tc>
        <w:tc>
          <w:tcPr>
            <w:tcW w:w="71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6</w:t>
            </w:r>
          </w:p>
        </w:tc>
        <w:tc>
          <w:tcPr>
            <w:tcW w:w="87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6</w:t>
            </w:r>
          </w:p>
        </w:tc>
        <w:tc>
          <w:tcPr>
            <w:tcW w:w="144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34" w:type="dxa"/>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p>
        </w:tc>
        <w:tc>
          <w:tcPr>
            <w:tcW w:w="1270"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hint="eastAsia" w:ascii="Times New Roman" w:hAnsi="Times New Roman" w:eastAsia="仿宋_GB2312"/>
                <w:color w:val="auto"/>
                <w:sz w:val="20"/>
                <w:szCs w:val="20"/>
              </w:rPr>
              <w:t>增加示范农户收入</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年收入增加50万塔拉</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hint="eastAsia" w:ascii="Times New Roman" w:hAnsi="Times New Roman" w:eastAsia="仿宋_GB2312"/>
                <w:color w:val="auto"/>
                <w:sz w:val="20"/>
                <w:szCs w:val="20"/>
              </w:rPr>
              <w:t>蔬菜示范户年收入增加81.13万塔拉，养鸡示范户年收入增加50万塔拉</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6</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6</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社会效</w:t>
            </w:r>
          </w:p>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益指标</w:t>
            </w:r>
          </w:p>
        </w:tc>
        <w:tc>
          <w:tcPr>
            <w:tcW w:w="1270"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hint="eastAsia" w:ascii="Times New Roman" w:hAnsi="Times New Roman" w:eastAsia="仿宋_GB2312"/>
                <w:color w:val="auto"/>
                <w:sz w:val="20"/>
                <w:szCs w:val="20"/>
              </w:rPr>
              <w:t>顺利开展援萨摩亚第五期农业技术项目任务</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完成</w:t>
            </w:r>
          </w:p>
        </w:tc>
        <w:tc>
          <w:tcPr>
            <w:tcW w:w="1269" w:type="dxa"/>
            <w:tcBorders>
              <w:top w:val="nil"/>
              <w:left w:val="nil"/>
              <w:bottom w:val="single" w:color="auto" w:sz="4" w:space="0"/>
              <w:right w:val="single" w:color="auto" w:sz="4" w:space="0"/>
            </w:tcBorders>
            <w:vAlign w:val="center"/>
          </w:tcPr>
          <w:p>
            <w:pPr>
              <w:widowControl/>
              <w:spacing w:line="240" w:lineRule="exact"/>
              <w:rPr>
                <w:rFonts w:ascii="Times New Roman" w:hAnsi="Times New Roman" w:eastAsia="仿宋_GB2312"/>
                <w:color w:val="auto"/>
                <w:sz w:val="20"/>
                <w:szCs w:val="20"/>
              </w:rPr>
            </w:pPr>
            <w:r>
              <w:rPr>
                <w:rFonts w:hint="eastAsia" w:ascii="Times New Roman" w:hAnsi="Times New Roman" w:eastAsia="仿宋_GB2312"/>
                <w:color w:val="auto"/>
                <w:sz w:val="20"/>
                <w:szCs w:val="20"/>
              </w:rPr>
              <w:t>项目实施任务基本完成，被评定为“全球最佳减贫案例”</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6</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6</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34" w:type="dxa"/>
            <w:tcBorders>
              <w:top w:val="single" w:color="auto" w:sz="4" w:space="0"/>
              <w:left w:val="nil"/>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生态效</w:t>
            </w:r>
          </w:p>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益指标</w:t>
            </w:r>
          </w:p>
        </w:tc>
        <w:tc>
          <w:tcPr>
            <w:tcW w:w="1270"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hint="eastAsia" w:ascii="Times New Roman" w:hAnsi="Times New Roman" w:eastAsia="仿宋_GB2312"/>
                <w:color w:val="auto"/>
                <w:sz w:val="20"/>
                <w:szCs w:val="20"/>
              </w:rPr>
              <w:t>世行贷款湖南省农田污染综合管理项目实施效果良好</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hint="eastAsia" w:ascii="Times New Roman" w:hAnsi="Times New Roman" w:eastAsia="仿宋_GB2312"/>
                <w:color w:val="auto"/>
                <w:sz w:val="20"/>
                <w:szCs w:val="20"/>
              </w:rPr>
              <w:t>项目区农田稻米镉达标率</w:t>
            </w:r>
            <w:r>
              <w:rPr>
                <w:rFonts w:ascii="Times New Roman" w:hAnsi="Times New Roman"/>
                <w:color w:val="auto"/>
                <w:sz w:val="22"/>
              </w:rPr>
              <w:t>≥</w:t>
            </w:r>
            <w:r>
              <w:rPr>
                <w:rFonts w:hint="eastAsia" w:ascii="Times New Roman" w:hAnsi="Times New Roman"/>
                <w:color w:val="auto"/>
                <w:sz w:val="22"/>
              </w:rPr>
              <w:t>85%</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95%</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6</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6</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p>
        </w:tc>
        <w:tc>
          <w:tcPr>
            <w:tcW w:w="1080" w:type="dxa"/>
            <w:vMerge w:val="continue"/>
            <w:tcBorders>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p>
        </w:tc>
        <w:tc>
          <w:tcPr>
            <w:tcW w:w="10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可持续影响指标</w:t>
            </w:r>
          </w:p>
        </w:tc>
        <w:tc>
          <w:tcPr>
            <w:tcW w:w="127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hint="eastAsia" w:ascii="Times New Roman" w:hAnsi="Times New Roman" w:eastAsia="仿宋_GB2312"/>
                <w:color w:val="auto"/>
                <w:sz w:val="20"/>
                <w:szCs w:val="20"/>
              </w:rPr>
              <w:t>为巩固和深化中萨友好关系发挥重大作用</w:t>
            </w:r>
          </w:p>
        </w:tc>
        <w:tc>
          <w:tcPr>
            <w:tcW w:w="131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hint="eastAsia" w:ascii="Times New Roman" w:hAnsi="Times New Roman" w:eastAsia="仿宋_GB2312"/>
                <w:color w:val="auto"/>
                <w:sz w:val="20"/>
                <w:szCs w:val="20"/>
              </w:rPr>
              <w:t>影响力加强</w:t>
            </w:r>
          </w:p>
        </w:tc>
        <w:tc>
          <w:tcPr>
            <w:tcW w:w="12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hint="eastAsia" w:ascii="Times New Roman" w:hAnsi="Times New Roman" w:eastAsia="仿宋_GB2312"/>
                <w:color w:val="auto"/>
                <w:sz w:val="20"/>
                <w:szCs w:val="20"/>
              </w:rPr>
              <w:t>获得高度肯定</w:t>
            </w:r>
          </w:p>
        </w:tc>
        <w:tc>
          <w:tcPr>
            <w:tcW w:w="7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6</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6</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auto"/>
                <w:sz w:val="20"/>
                <w:szCs w:val="20"/>
              </w:rPr>
            </w:pPr>
          </w:p>
        </w:tc>
        <w:tc>
          <w:tcPr>
            <w:tcW w:w="1080" w:type="dxa"/>
            <w:tcBorders>
              <w:top w:val="single" w:color="auto" w:sz="4" w:space="0"/>
              <w:left w:val="nil"/>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满意度</w:t>
            </w:r>
          </w:p>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指标</w:t>
            </w:r>
          </w:p>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（10分）</w:t>
            </w:r>
          </w:p>
        </w:tc>
        <w:tc>
          <w:tcPr>
            <w:tcW w:w="1034" w:type="dxa"/>
            <w:tcBorders>
              <w:top w:val="single" w:color="auto" w:sz="4" w:space="0"/>
              <w:left w:val="nil"/>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服务对象满意度指标</w:t>
            </w:r>
          </w:p>
        </w:tc>
        <w:tc>
          <w:tcPr>
            <w:tcW w:w="1270"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hint="eastAsia" w:ascii="Times New Roman" w:hAnsi="Times New Roman" w:eastAsia="仿宋_GB2312"/>
                <w:color w:val="auto"/>
                <w:sz w:val="20"/>
                <w:szCs w:val="20"/>
              </w:rPr>
              <w:t>受援方满意程度</w:t>
            </w:r>
          </w:p>
        </w:tc>
        <w:tc>
          <w:tcPr>
            <w:tcW w:w="13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hint="eastAsia" w:ascii="Times New Roman" w:hAnsi="Times New Roman" w:eastAsia="仿宋_GB2312"/>
                <w:color w:val="auto"/>
                <w:sz w:val="20"/>
                <w:szCs w:val="20"/>
              </w:rPr>
              <w:t>萨摩亚方满意度高于90%</w:t>
            </w:r>
            <w:r>
              <w:rPr>
                <w:rFonts w:ascii="Times New Roman" w:hAnsi="Times New Roman" w:eastAsia="仿宋_GB2312"/>
                <w:color w:val="auto"/>
                <w:sz w:val="20"/>
                <w:szCs w:val="20"/>
              </w:rPr>
              <w:t>　</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hint="eastAsia" w:ascii="Times New Roman" w:hAnsi="Times New Roman" w:eastAsia="仿宋_GB2312"/>
                <w:color w:val="auto"/>
                <w:sz w:val="20"/>
                <w:szCs w:val="20"/>
              </w:rPr>
              <w:t>本项目共发放《满意度调查表》52 份，收到《满意度调查表》52 份,满意得分平均 98.8</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10</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10</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p>
        </w:tc>
      </w:tr>
      <w:tr>
        <w:tblPrEx>
          <w:tblLayout w:type="fixed"/>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总分</w:t>
            </w:r>
          </w:p>
        </w:tc>
        <w:tc>
          <w:tcPr>
            <w:tcW w:w="71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auto"/>
                <w:sz w:val="20"/>
                <w:szCs w:val="20"/>
              </w:rPr>
            </w:pPr>
            <w:r>
              <w:rPr>
                <w:rFonts w:ascii="Times New Roman" w:hAnsi="Times New Roman" w:eastAsia="仿宋_GB2312"/>
                <w:color w:val="auto"/>
                <w:sz w:val="20"/>
                <w:szCs w:val="20"/>
              </w:rPr>
              <w:t>100</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r>
              <w:rPr>
                <w:rFonts w:hint="eastAsia" w:ascii="Times New Roman" w:hAnsi="Times New Roman" w:eastAsia="仿宋_GB2312"/>
                <w:color w:val="auto"/>
                <w:sz w:val="20"/>
                <w:szCs w:val="20"/>
              </w:rPr>
              <w:t>93.82</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auto"/>
                <w:sz w:val="20"/>
                <w:szCs w:val="20"/>
              </w:rPr>
            </w:pPr>
            <w:r>
              <w:rPr>
                <w:rFonts w:ascii="Times New Roman" w:hAnsi="Times New Roman" w:eastAsia="仿宋_GB2312"/>
                <w:color w:val="auto"/>
                <w:sz w:val="20"/>
                <w:szCs w:val="20"/>
              </w:rPr>
              <w:t>　</w:t>
            </w:r>
          </w:p>
        </w:tc>
      </w:tr>
    </w:tbl>
    <w:p>
      <w:pPr>
        <w:widowControl/>
        <w:jc w:val="left"/>
        <w:rPr>
          <w:color w:val="auto"/>
          <w:kern w:val="0"/>
          <w:sz w:val="22"/>
        </w:rPr>
      </w:pPr>
      <w:r>
        <w:rPr>
          <w:color w:val="auto"/>
          <w:kern w:val="0"/>
          <w:sz w:val="22"/>
        </w:rPr>
        <w:t>说明：本表由农业农村厅部门本级和直属单位填写，市、县农业农村局不需填写。</w:t>
      </w:r>
    </w:p>
    <w:p>
      <w:pPr>
        <w:spacing w:line="360" w:lineRule="auto"/>
        <w:ind w:left="-140" w:leftChars="-67"/>
        <w:rPr>
          <w:rFonts w:ascii="仿宋" w:hAnsi="仿宋" w:eastAsia="仿宋"/>
          <w:color w:val="auto"/>
          <w:kern w:val="0"/>
          <w:sz w:val="32"/>
          <w:szCs w:val="32"/>
        </w:rPr>
      </w:pPr>
      <w:r>
        <w:rPr>
          <w:rFonts w:ascii="Times New Roman" w:hAnsi="Times New Roman" w:eastAsia="仿宋_GB2312"/>
          <w:color w:val="auto"/>
          <w:sz w:val="22"/>
        </w:rPr>
        <w:t>填表人：</w:t>
      </w:r>
      <w:r>
        <w:rPr>
          <w:rFonts w:hint="eastAsia" w:ascii="Times New Roman" w:hAnsi="Times New Roman" w:eastAsia="仿宋_GB2312"/>
          <w:color w:val="auto"/>
          <w:sz w:val="22"/>
        </w:rPr>
        <w:t>刘燕琼</w:t>
      </w:r>
      <w:r>
        <w:rPr>
          <w:rFonts w:ascii="Times New Roman" w:hAnsi="Times New Roman" w:eastAsia="仿宋_GB2312"/>
          <w:color w:val="auto"/>
          <w:sz w:val="22"/>
        </w:rPr>
        <w:t xml:space="preserve">  填报日期：</w:t>
      </w:r>
      <w:r>
        <w:rPr>
          <w:rFonts w:hint="eastAsia" w:ascii="Times New Roman" w:hAnsi="Times New Roman" w:eastAsia="仿宋_GB2312"/>
          <w:color w:val="auto"/>
          <w:sz w:val="22"/>
        </w:rPr>
        <w:t>2024.4.18</w:t>
      </w:r>
      <w:r>
        <w:rPr>
          <w:rFonts w:ascii="Times New Roman" w:hAnsi="Times New Roman" w:eastAsia="仿宋_GB2312"/>
          <w:color w:val="auto"/>
          <w:sz w:val="22"/>
        </w:rPr>
        <w:t xml:space="preserve">  联系电话：</w:t>
      </w:r>
      <w:r>
        <w:rPr>
          <w:rFonts w:hint="eastAsia" w:ascii="Times New Roman" w:hAnsi="Times New Roman" w:eastAsia="仿宋_GB2312"/>
          <w:color w:val="auto"/>
          <w:sz w:val="22"/>
        </w:rPr>
        <w:t xml:space="preserve">84431492   </w:t>
      </w:r>
      <w:r>
        <w:rPr>
          <w:rFonts w:ascii="Times New Roman" w:hAnsi="Times New Roman" w:eastAsia="仿宋_GB2312"/>
          <w:color w:val="auto"/>
          <w:sz w:val="22"/>
        </w:rPr>
        <w:t>单位负责人签字：</w:t>
      </w:r>
      <w:r>
        <w:rPr>
          <w:rFonts w:hint="eastAsia" w:ascii="Times New Roman" w:hAnsi="Times New Roman" w:eastAsia="仿宋_GB2312"/>
          <w:color w:val="auto"/>
          <w:sz w:val="22"/>
        </w:rPr>
        <w:t>陈克云</w:t>
      </w:r>
    </w:p>
    <w:p>
      <w:pPr>
        <w:pStyle w:val="14"/>
        <w:spacing w:line="600" w:lineRule="exact"/>
        <w:ind w:firstLine="640" w:firstLineChars="200"/>
        <w:rPr>
          <w:rFonts w:ascii="Times New Roman" w:hAnsi="Times New Roman" w:eastAsia="仿宋_GB2312"/>
          <w:color w:val="auto"/>
          <w:sz w:val="32"/>
          <w:szCs w:val="32"/>
        </w:rPr>
      </w:pPr>
    </w:p>
    <w:p>
      <w:pPr>
        <w:pStyle w:val="14"/>
        <w:jc w:val="center"/>
        <w:rPr>
          <w:color w:val="auto"/>
          <w:sz w:val="72"/>
          <w:szCs w:val="72"/>
        </w:rPr>
      </w:pPr>
    </w:p>
    <w:p>
      <w:pPr>
        <w:pStyle w:val="14"/>
        <w:jc w:val="center"/>
        <w:rPr>
          <w:color w:val="auto"/>
          <w:sz w:val="72"/>
          <w:szCs w:val="72"/>
        </w:rPr>
      </w:pPr>
    </w:p>
    <w:p>
      <w:pPr>
        <w:jc w:val="left"/>
        <w:rPr>
          <w:rFonts w:cs="黑体" w:asciiTheme="minorEastAsia" w:hAnsiTheme="minorEastAsia"/>
          <w:color w:val="auto"/>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auto"/>
    <w:pitch w:val="default"/>
    <w:sig w:usb0="00000000" w:usb1="00000000" w:usb2="00000012" w:usb3="00000000" w:csb0="00040001"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197E1A"/>
    <w:multiLevelType w:val="singleLevel"/>
    <w:tmpl w:val="CB197E1A"/>
    <w:lvl w:ilvl="0" w:tentative="0">
      <w:start w:val="1"/>
      <w:numFmt w:val="decimal"/>
      <w:suff w:val="nothing"/>
      <w:lvlText w:val="%1、"/>
      <w:lvlJc w:val="left"/>
    </w:lvl>
  </w:abstractNum>
  <w:abstractNum w:abstractNumId="1">
    <w:nsid w:val="FE94184F"/>
    <w:multiLevelType w:val="singleLevel"/>
    <w:tmpl w:val="FE94184F"/>
    <w:lvl w:ilvl="0" w:tentative="0">
      <w:start w:val="7"/>
      <w:numFmt w:val="chineseCounting"/>
      <w:suff w:val="nothing"/>
      <w:lvlText w:val="%1、"/>
      <w:lvlJc w:val="left"/>
      <w:rPr>
        <w:rFonts w:hint="eastAsia"/>
      </w:rPr>
    </w:lvl>
  </w:abstractNum>
  <w:abstractNum w:abstractNumId="2">
    <w:nsid w:val="2F687CE7"/>
    <w:multiLevelType w:val="singleLevel"/>
    <w:tmpl w:val="2F687CE7"/>
    <w:lvl w:ilvl="0" w:tentative="0">
      <w:start w:val="1"/>
      <w:numFmt w:val="decimal"/>
      <w:suff w:val="nothing"/>
      <w:lvlText w:val="%1、"/>
      <w:lvlJc w:val="left"/>
    </w:lvl>
  </w:abstractNum>
  <w:abstractNum w:abstractNumId="3">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1FA6"/>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A39E8"/>
    <w:rsid w:val="009B3ADF"/>
    <w:rsid w:val="009C3B52"/>
    <w:rsid w:val="009E6817"/>
    <w:rsid w:val="009E6E9A"/>
    <w:rsid w:val="00A01D2B"/>
    <w:rsid w:val="00A42218"/>
    <w:rsid w:val="00A70249"/>
    <w:rsid w:val="00A70B02"/>
    <w:rsid w:val="00A71D9F"/>
    <w:rsid w:val="00A92E9F"/>
    <w:rsid w:val="00AB18FF"/>
    <w:rsid w:val="00B170AB"/>
    <w:rsid w:val="00B33BEA"/>
    <w:rsid w:val="00B57C9F"/>
    <w:rsid w:val="00B63572"/>
    <w:rsid w:val="00B845B3"/>
    <w:rsid w:val="00B85D8B"/>
    <w:rsid w:val="00BB4A40"/>
    <w:rsid w:val="00BD6C3E"/>
    <w:rsid w:val="00BE3674"/>
    <w:rsid w:val="00C10681"/>
    <w:rsid w:val="00C1169F"/>
    <w:rsid w:val="00C3049A"/>
    <w:rsid w:val="00C31B1E"/>
    <w:rsid w:val="00C77645"/>
    <w:rsid w:val="00CE04C3"/>
    <w:rsid w:val="00CE76A0"/>
    <w:rsid w:val="00D148C6"/>
    <w:rsid w:val="00D17A8A"/>
    <w:rsid w:val="00D415BA"/>
    <w:rsid w:val="00D63780"/>
    <w:rsid w:val="00D644EE"/>
    <w:rsid w:val="00DB39BB"/>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A7B74C2"/>
    <w:rsid w:val="0BA2528F"/>
    <w:rsid w:val="1238575A"/>
    <w:rsid w:val="12820BEE"/>
    <w:rsid w:val="15337258"/>
    <w:rsid w:val="1BE457D7"/>
    <w:rsid w:val="1D97DEFF"/>
    <w:rsid w:val="1DFF72E5"/>
    <w:rsid w:val="1EE7046C"/>
    <w:rsid w:val="1EFC6F07"/>
    <w:rsid w:val="27AF75E5"/>
    <w:rsid w:val="2FDF85B8"/>
    <w:rsid w:val="2FFFEE04"/>
    <w:rsid w:val="31990EA4"/>
    <w:rsid w:val="34DF85B0"/>
    <w:rsid w:val="3B4C1174"/>
    <w:rsid w:val="3B8F36BC"/>
    <w:rsid w:val="400F2B54"/>
    <w:rsid w:val="424A4364"/>
    <w:rsid w:val="46495C02"/>
    <w:rsid w:val="491FF225"/>
    <w:rsid w:val="4955079E"/>
    <w:rsid w:val="4FFD214C"/>
    <w:rsid w:val="522E0DB3"/>
    <w:rsid w:val="5777D4F5"/>
    <w:rsid w:val="57B56BA1"/>
    <w:rsid w:val="593D1C26"/>
    <w:rsid w:val="59DD8326"/>
    <w:rsid w:val="5DEF592A"/>
    <w:rsid w:val="5EA42D9C"/>
    <w:rsid w:val="5FC6BB1E"/>
    <w:rsid w:val="5FF720F1"/>
    <w:rsid w:val="67FF5C0B"/>
    <w:rsid w:val="6BFB743A"/>
    <w:rsid w:val="6EFC0924"/>
    <w:rsid w:val="6FB74722"/>
    <w:rsid w:val="6FEF8B7E"/>
    <w:rsid w:val="71A6591B"/>
    <w:rsid w:val="737D59BA"/>
    <w:rsid w:val="77C37683"/>
    <w:rsid w:val="796D244E"/>
    <w:rsid w:val="79FF515B"/>
    <w:rsid w:val="7A283338"/>
    <w:rsid w:val="7A6F3323"/>
    <w:rsid w:val="7CDC1DA0"/>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99"/>
    <w:pPr>
      <w:keepNext/>
      <w:keepLines/>
      <w:spacing w:line="700" w:lineRule="exact"/>
      <w:jc w:val="center"/>
      <w:outlineLvl w:val="0"/>
    </w:pPr>
    <w:rPr>
      <w:rFonts w:eastAsia="方正小标宋简体"/>
      <w:bCs/>
      <w:kern w:val="44"/>
      <w:sz w:val="44"/>
      <w:szCs w:val="44"/>
    </w:rPr>
  </w:style>
  <w:style w:type="paragraph" w:styleId="5">
    <w:name w:val="heading 2"/>
    <w:basedOn w:val="1"/>
    <w:next w:val="1"/>
    <w:qFormat/>
    <w:uiPriority w:val="0"/>
    <w:pPr>
      <w:outlineLvl w:val="1"/>
    </w:pPr>
    <w:rPr>
      <w:rFonts w:eastAsia="黑体"/>
      <w:bCs/>
      <w:szCs w:val="32"/>
    </w:rPr>
  </w:style>
  <w:style w:type="character" w:default="1" w:styleId="11">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2"/>
    <w:unhideWhenUsed/>
    <w:qFormat/>
    <w:uiPriority w:val="99"/>
    <w:pPr>
      <w:widowControl/>
      <w:spacing w:after="120"/>
      <w:ind w:left="420" w:leftChars="200"/>
      <w:jc w:val="left"/>
    </w:pPr>
    <w:rPr>
      <w:rFonts w:ascii="宋体" w:hAnsi="宋体" w:eastAsia="宋体" w:cs="宋体"/>
      <w:kern w:val="0"/>
      <w:sz w:val="24"/>
    </w:rPr>
  </w:style>
  <w:style w:type="paragraph" w:styleId="6">
    <w:name w:val="Balloon Text"/>
    <w:basedOn w:val="1"/>
    <w:link w:val="16"/>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2"/>
    <w:semiHidden/>
    <w:qFormat/>
    <w:uiPriority w:val="0"/>
    <w:pPr>
      <w:snapToGrid w:val="0"/>
      <w:jc w:val="left"/>
    </w:pPr>
    <w:rPr>
      <w:sz w:val="18"/>
      <w:szCs w:val="18"/>
    </w:rPr>
  </w:style>
  <w:style w:type="character" w:customStyle="1" w:styleId="12">
    <w:name w:val="页眉 Char"/>
    <w:basedOn w:val="11"/>
    <w:link w:val="8"/>
    <w:qFormat/>
    <w:uiPriority w:val="99"/>
    <w:rPr>
      <w:sz w:val="18"/>
      <w:szCs w:val="18"/>
    </w:rPr>
  </w:style>
  <w:style w:type="character" w:customStyle="1" w:styleId="13">
    <w:name w:val="页脚 Char"/>
    <w:basedOn w:val="11"/>
    <w:link w:val="7"/>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6"/>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43</Pages>
  <Words>3380</Words>
  <Characters>19270</Characters>
  <Lines>160</Lines>
  <Paragraphs>45</Paragraphs>
  <TotalTime>1</TotalTime>
  <ScaleCrop>false</ScaleCrop>
  <LinksUpToDate>false</LinksUpToDate>
  <CharactersWithSpaces>22605</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2024-09-06T02:31:00Z</dcterms:created>
  <dc:creator>李航 null</dc:creator>
  <cp:lastModifiedBy>lenovo</cp:lastModifiedBy>
  <cp:lastPrinted>2024-08-08T10:20:00Z</cp:lastPrinted>
  <dcterms:modified xsi:type="dcterms:W3CDTF">2024-09-06T07:05:38Z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