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sz w:val="56"/>
          <w:szCs w:val="56"/>
        </w:rPr>
      </w:pPr>
    </w:p>
    <w:p>
      <w:pPr>
        <w:pStyle w:val="16"/>
        <w:jc w:val="center"/>
        <w:rPr>
          <w:sz w:val="56"/>
          <w:szCs w:val="56"/>
        </w:rPr>
      </w:pPr>
    </w:p>
    <w:p>
      <w:pPr>
        <w:pStyle w:val="16"/>
        <w:jc w:val="center"/>
        <w:rPr>
          <w:sz w:val="84"/>
          <w:szCs w:val="84"/>
        </w:rPr>
      </w:pPr>
    </w:p>
    <w:p>
      <w:pPr>
        <w:pStyle w:val="16"/>
        <w:jc w:val="center"/>
        <w:rPr>
          <w:sz w:val="84"/>
          <w:szCs w:val="84"/>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2023年度</w:t>
      </w: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湖南省农业农村厅机关后勤服务中心部门决算</w:t>
      </w:r>
    </w:p>
    <w:p>
      <w:pPr>
        <w:pStyle w:val="16"/>
        <w:jc w:val="center"/>
        <w:rPr>
          <w:rFonts w:ascii="方正小标宋_GBK" w:hAnsi="方正小标宋_GBK" w:eastAsia="方正小标宋_GBK" w:cs="方正小标宋_GBK"/>
          <w:sz w:val="56"/>
          <w:szCs w:val="56"/>
        </w:rPr>
      </w:pP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sz w:val="32"/>
          <w:szCs w:val="32"/>
        </w:rPr>
      </w:pPr>
    </w:p>
    <w:p>
      <w:pPr>
        <w:pStyle w:val="16"/>
        <w:jc w:val="center"/>
        <w:rPr>
          <w:sz w:val="32"/>
          <w:szCs w:val="32"/>
        </w:rPr>
      </w:pPr>
    </w:p>
    <w:p>
      <w:pPr>
        <w:pStyle w:val="16"/>
        <w:jc w:val="center"/>
        <w:rPr>
          <w:sz w:val="32"/>
          <w:szCs w:val="32"/>
        </w:rPr>
      </w:pPr>
    </w:p>
    <w:p>
      <w:pPr>
        <w:pStyle w:val="16"/>
        <w:spacing w:line="500" w:lineRule="exact"/>
        <w:jc w:val="center"/>
        <w:rPr>
          <w:b/>
          <w:sz w:val="36"/>
          <w:szCs w:val="28"/>
        </w:rPr>
      </w:pPr>
      <w:r>
        <w:rPr>
          <w:rFonts w:hint="eastAsia"/>
          <w:b/>
          <w:sz w:val="36"/>
          <w:szCs w:val="28"/>
        </w:rPr>
        <w:t>目录</w:t>
      </w:r>
    </w:p>
    <w:p>
      <w:pPr>
        <w:pStyle w:val="16"/>
        <w:spacing w:line="500" w:lineRule="exact"/>
        <w:rPr>
          <w:rFonts w:hAnsi="黑体"/>
          <w:bCs/>
          <w:sz w:val="28"/>
          <w:szCs w:val="28"/>
        </w:rPr>
      </w:pPr>
      <w:r>
        <w:rPr>
          <w:rFonts w:hint="eastAsia" w:hAnsi="黑体"/>
          <w:bCs/>
          <w:sz w:val="28"/>
          <w:szCs w:val="28"/>
        </w:rPr>
        <w:t>第一部分湖南省农业农村厅机关后勤服务中心概况</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6"/>
        <w:spacing w:line="500" w:lineRule="exact"/>
        <w:rPr>
          <w:rFonts w:hAnsi="黑体"/>
          <w:bCs/>
          <w:sz w:val="28"/>
          <w:szCs w:val="28"/>
        </w:rPr>
      </w:pPr>
      <w:r>
        <w:rPr>
          <w:rFonts w:hint="eastAsia" w:hAnsi="黑体"/>
          <w:bCs/>
          <w:sz w:val="28"/>
          <w:szCs w:val="28"/>
        </w:rPr>
        <w:t>第二部分部门决算表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6"/>
        <w:spacing w:line="500" w:lineRule="exact"/>
        <w:rPr>
          <w:rFonts w:hAnsi="黑体"/>
          <w:bCs/>
          <w:sz w:val="28"/>
          <w:szCs w:val="28"/>
        </w:rPr>
      </w:pPr>
      <w:r>
        <w:rPr>
          <w:rFonts w:hint="eastAsia" w:hAnsi="黑体"/>
          <w:bCs/>
          <w:sz w:val="28"/>
          <w:szCs w:val="28"/>
        </w:rPr>
        <w:t>第三部分部门决算情况说明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pPr>
        <w:pStyle w:val="16"/>
        <w:spacing w:line="500" w:lineRule="exact"/>
        <w:rPr>
          <w:rFonts w:hAnsi="黑体"/>
          <w:bCs/>
          <w:sz w:val="28"/>
          <w:szCs w:val="28"/>
        </w:rPr>
      </w:pPr>
      <w:r>
        <w:rPr>
          <w:rFonts w:hint="eastAsia" w:hAnsi="黑体"/>
          <w:bCs/>
          <w:sz w:val="28"/>
          <w:szCs w:val="28"/>
        </w:rPr>
        <w:t>第四部分名词解释</w:t>
      </w:r>
    </w:p>
    <w:p>
      <w:pPr>
        <w:pStyle w:val="16"/>
        <w:spacing w:line="500" w:lineRule="exact"/>
        <w:rPr>
          <w:rFonts w:hAnsi="黑体"/>
          <w:bCs/>
          <w:sz w:val="28"/>
          <w:szCs w:val="28"/>
        </w:rPr>
      </w:pPr>
      <w:r>
        <w:rPr>
          <w:rFonts w:hint="eastAsia" w:hAnsi="黑体"/>
          <w:bCs/>
          <w:sz w:val="28"/>
          <w:szCs w:val="28"/>
        </w:rPr>
        <w:t>第五部分附件</w:t>
      </w:r>
    </w:p>
    <w:p>
      <w:pPr>
        <w:pStyle w:val="16"/>
        <w:spacing w:line="500" w:lineRule="exact"/>
        <w:rPr>
          <w:rFonts w:hAnsi="黑体"/>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6"/>
        <w:jc w:val="center"/>
        <w:rPr>
          <w:rFonts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湖南省农业农村厅机关后勤服务中心概况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7"/>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widowControl/>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后勤中心是为厅机关服务并作为农业农村厅的一个窗口与外界各部门、机构进行工作衔接，主要负责为厅机关提供后勤保障服务，对厅机关交给后勤中心保管、使用的房屋、公用设施、专用设备等进行管理、维护、维修，保证机关大院的正常工作和生活秩序；按照厅党组的委托及授权，负责与当地各级政府部门进行工作衔接；后勤的工作职能决定其代表农业农村厅与省、市、区、社区等地方政府各职能部门进行工作联系，（计生办、治安联防、卫生防疫、园林绿化、节能节水、电力、税务、审计、国土局、消防、环保、文物局、防雷办、白蚁防治办、血防办、残联、街道办、爱卫会、文明办、居委会等等）并接受当地各级政府职能部门的管理、监督、检查。</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（一）内设机构设置。湖南省农业农村厅机关后勤服务中心内设机构包括：行政科、财务科、保卫科、人事老干科、动力科、机关车队、医务室、生活科等部门。</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（二）决算单位构成。湖南省农业农村厅机关后勤服务中心2023年部门决算汇总公开单位构成包括：湖南省农业农村厅机关后勤服务中心本级。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pStyle w:val="16"/>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6"/>
        <w:jc w:val="center"/>
        <w:rPr>
          <w:rFonts w:ascii="方正小标宋_GBK" w:hAnsi="方正小标宋_GBK" w:eastAsia="方正小标宋_GBK" w:cs="方正小标宋_GBK"/>
          <w:sz w:val="84"/>
          <w:szCs w:val="84"/>
        </w:rPr>
      </w:pPr>
    </w:p>
    <w:p>
      <w:pPr>
        <w:pStyle w:val="16"/>
        <w:jc w:val="center"/>
        <w:rPr>
          <w:sz w:val="72"/>
          <w:szCs w:val="72"/>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11"/>
        <w:tblW w:w="14732" w:type="dxa"/>
        <w:tblInd w:w="222" w:type="dxa"/>
        <w:tblLayout w:type="fixed"/>
        <w:tblCellMar>
          <w:top w:w="0" w:type="dxa"/>
          <w:left w:w="0" w:type="dxa"/>
          <w:bottom w:w="0" w:type="dxa"/>
          <w:right w:w="0" w:type="dxa"/>
        </w:tblCellMar>
      </w:tblPr>
      <w:tblGrid>
        <w:gridCol w:w="5734"/>
        <w:gridCol w:w="628"/>
        <w:gridCol w:w="1229"/>
        <w:gridCol w:w="4533"/>
        <w:gridCol w:w="628"/>
        <w:gridCol w:w="1980"/>
      </w:tblGrid>
      <w:tr>
        <w:tblPrEx>
          <w:tblLayout w:type="fixed"/>
          <w:tblCellMar>
            <w:top w:w="0" w:type="dxa"/>
            <w:left w:w="0" w:type="dxa"/>
            <w:bottom w:w="0" w:type="dxa"/>
            <w:right w:w="0" w:type="dxa"/>
          </w:tblCellMar>
        </w:tblPrEx>
        <w:trPr>
          <w:trHeight w:val="660" w:hRule="atLeast"/>
        </w:trPr>
        <w:tc>
          <w:tcPr>
            <w:tcW w:w="14732"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ascii="宋体" w:hAnsi="宋体" w:eastAsia="宋体" w:cs="宋体"/>
                <w:b/>
                <w:color w:val="000000"/>
                <w:sz w:val="24"/>
                <w:szCs w:val="24"/>
              </w:rPr>
            </w:pPr>
            <w:r>
              <w:rPr>
                <w:rFonts w:ascii="Times New Roman" w:hAnsi="Times New Roman" w:eastAsia="黑体" w:cs="Times New Roman"/>
                <w:bCs/>
                <w:kern w:val="0"/>
                <w:sz w:val="32"/>
                <w:szCs w:val="32"/>
              </w:rPr>
              <w:br w:type="page"/>
            </w:r>
            <w:r>
              <w:rPr>
                <w:rFonts w:hint="eastAsia" w:ascii="宋体" w:hAnsi="宋体" w:eastAsia="宋体" w:cs="宋体"/>
                <w:b/>
                <w:color w:val="000000"/>
                <w:kern w:val="0"/>
                <w:sz w:val="32"/>
                <w:szCs w:val="32"/>
              </w:rPr>
              <w:t>收入支出决算总表</w:t>
            </w:r>
          </w:p>
        </w:tc>
      </w:tr>
      <w:tr>
        <w:tblPrEx>
          <w:tblLayout w:type="fixed"/>
          <w:tblCellMar>
            <w:top w:w="0" w:type="dxa"/>
            <w:left w:w="0" w:type="dxa"/>
            <w:bottom w:w="0" w:type="dxa"/>
            <w:right w:w="0" w:type="dxa"/>
          </w:tblCellMar>
        </w:tblPrEx>
        <w:trPr>
          <w:trHeight w:val="280" w:hRule="atLeast"/>
        </w:trPr>
        <w:tc>
          <w:tcPr>
            <w:tcW w:w="573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628"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229"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4533"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628"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98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公开01表</w:t>
            </w:r>
          </w:p>
        </w:tc>
      </w:tr>
      <w:tr>
        <w:tblPrEx>
          <w:tblLayout w:type="fixed"/>
          <w:tblCellMar>
            <w:top w:w="0" w:type="dxa"/>
            <w:left w:w="0" w:type="dxa"/>
            <w:bottom w:w="0" w:type="dxa"/>
            <w:right w:w="0" w:type="dxa"/>
          </w:tblCellMar>
        </w:tblPrEx>
        <w:trPr>
          <w:trHeight w:val="280" w:hRule="atLeast"/>
        </w:trPr>
        <w:tc>
          <w:tcPr>
            <w:tcW w:w="5734" w:type="dxa"/>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000000"/>
                <w:sz w:val="22"/>
              </w:rPr>
            </w:pPr>
            <w:r>
              <w:rPr>
                <w:rFonts w:hint="eastAsia" w:ascii="宋体" w:hAnsi="宋体" w:eastAsia="宋体" w:cs="宋体"/>
                <w:color w:val="000000"/>
                <w:kern w:val="0"/>
                <w:sz w:val="22"/>
              </w:rPr>
              <w:t>部门：湖南省农业农村厅机关后勤服务中心</w:t>
            </w:r>
          </w:p>
        </w:tc>
        <w:tc>
          <w:tcPr>
            <w:tcW w:w="628"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229"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4533"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628"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98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759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收入</w:t>
            </w:r>
          </w:p>
        </w:tc>
        <w:tc>
          <w:tcPr>
            <w:tcW w:w="71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支出</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行次</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金额</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行次</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金额</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栏次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栏次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一、一般公共预算财政拨款收入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1,216.77</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一、一般公共服务支出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32</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二、政府性基金预算财政拨款收入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二、外交支出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33</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三、国有资本经营预算财政拨款收入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三、国防支出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34</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四、上级补助收入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四、公共安全支出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35</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五、事业收入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五、教育支出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36</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六、经营收入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六、科学技术支出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37</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七、附属单位上缴收入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七、文化旅游体育与传媒支出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38</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八、其他收入</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0.05</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八、社会保障和就业支出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39</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143.71</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九、卫生健康支出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40</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十、节能环保支出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41</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十一、城乡社区支出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42</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十二、农林水支出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43</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785.50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13</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十三、交通运输支出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44</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14</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十四、资源勘探工业信息等支出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45</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15</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十五、商业服务业等支出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46</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16</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十六、金融支出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47</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17</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十七、援助其他地区支出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48</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18</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十八、自然资源海洋气象等支出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49</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19</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十九、住房保障支出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50</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20</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二十、粮油物资储备支出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51</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21</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二十一、国有资本经营预算支出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52</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22</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二十二、灾害防治及应急管理支出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53</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23</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二十三、其他支出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54</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b/>
                <w:color w:val="000000"/>
                <w:sz w:val="20"/>
                <w:szCs w:val="20"/>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24</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二十四、债务还本支出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55</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0"/>
                <w:szCs w:val="20"/>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二十五、债务付息支出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56</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0"/>
                <w:szCs w:val="20"/>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26</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二十六、抗疫特别国债安排的支出</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57</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本年收入合计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27</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1,216.82</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本年支出合计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58</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929.21</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使用非财政拨款结余和专用结余</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28</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0.24</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结余分配</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59</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年初结转和结余</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29</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年末结转和结余</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60</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293.85</w:t>
            </w: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30</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61</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00" w:hRule="atLeast"/>
        </w:trPr>
        <w:tc>
          <w:tcPr>
            <w:tcW w:w="57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31</w:t>
            </w:r>
          </w:p>
        </w:tc>
        <w:tc>
          <w:tcPr>
            <w:tcW w:w="1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1,223.06</w:t>
            </w:r>
          </w:p>
        </w:tc>
        <w:tc>
          <w:tcPr>
            <w:tcW w:w="4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62</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1,223.06</w:t>
            </w:r>
          </w:p>
        </w:tc>
      </w:tr>
      <w:tr>
        <w:tblPrEx>
          <w:tblLayout w:type="fixed"/>
          <w:tblCellMar>
            <w:top w:w="0" w:type="dxa"/>
            <w:left w:w="0" w:type="dxa"/>
            <w:bottom w:w="0" w:type="dxa"/>
            <w:right w:w="0" w:type="dxa"/>
          </w:tblCellMar>
        </w:tblPrEx>
        <w:trPr>
          <w:trHeight w:val="300" w:hRule="atLeast"/>
        </w:trPr>
        <w:tc>
          <w:tcPr>
            <w:tcW w:w="1473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注：1.本表反映部门本年度的总收支和年末结转结余情况。</w:t>
            </w:r>
          </w:p>
        </w:tc>
      </w:tr>
      <w:tr>
        <w:tblPrEx>
          <w:tblLayout w:type="fixed"/>
          <w:tblCellMar>
            <w:top w:w="0" w:type="dxa"/>
            <w:left w:w="0" w:type="dxa"/>
            <w:bottom w:w="0" w:type="dxa"/>
            <w:right w:w="0" w:type="dxa"/>
          </w:tblCellMar>
        </w:tblPrEx>
        <w:trPr>
          <w:trHeight w:val="300" w:hRule="atLeast"/>
        </w:trPr>
        <w:tc>
          <w:tcPr>
            <w:tcW w:w="1473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sectPr>
          <w:pgSz w:w="16838" w:h="11906" w:orient="landscape"/>
          <w:pgMar w:top="720" w:right="720" w:bottom="720" w:left="720" w:header="851" w:footer="992" w:gutter="0"/>
          <w:cols w:space="425" w:num="1"/>
          <w:docGrid w:type="lines" w:linePitch="312" w:charSpace="0"/>
        </w:sectPr>
      </w:pPr>
      <w:bookmarkStart w:id="0" w:name="RANGE!A1:I22"/>
      <w:bookmarkEnd w:id="0"/>
      <w:bookmarkStart w:id="1" w:name="RANGE!A1:F16"/>
    </w:p>
    <w:tbl>
      <w:tblPr>
        <w:tblStyle w:val="11"/>
        <w:tblW w:w="15685" w:type="dxa"/>
        <w:tblInd w:w="0" w:type="dxa"/>
        <w:tblLayout w:type="fixed"/>
        <w:tblCellMar>
          <w:top w:w="0" w:type="dxa"/>
          <w:left w:w="0" w:type="dxa"/>
          <w:bottom w:w="0" w:type="dxa"/>
          <w:right w:w="0" w:type="dxa"/>
        </w:tblCellMar>
      </w:tblPr>
      <w:tblGrid>
        <w:gridCol w:w="264"/>
        <w:gridCol w:w="264"/>
        <w:gridCol w:w="594"/>
        <w:gridCol w:w="3750"/>
        <w:gridCol w:w="1751"/>
        <w:gridCol w:w="1751"/>
        <w:gridCol w:w="1447"/>
        <w:gridCol w:w="1447"/>
        <w:gridCol w:w="1447"/>
        <w:gridCol w:w="1447"/>
        <w:gridCol w:w="1523"/>
      </w:tblGrid>
      <w:tr>
        <w:tblPrEx>
          <w:tblLayout w:type="fixed"/>
          <w:tblCellMar>
            <w:top w:w="0" w:type="dxa"/>
            <w:left w:w="0" w:type="dxa"/>
            <w:bottom w:w="0" w:type="dxa"/>
            <w:right w:w="0" w:type="dxa"/>
          </w:tblCellMar>
        </w:tblPrEx>
        <w:trPr>
          <w:trHeight w:val="660" w:hRule="atLeast"/>
        </w:trPr>
        <w:tc>
          <w:tcPr>
            <w:tcW w:w="15685" w:type="dxa"/>
            <w:gridSpan w:val="11"/>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8"/>
                <w:szCs w:val="28"/>
              </w:rPr>
            </w:pPr>
            <w:r>
              <w:rPr>
                <w:rFonts w:hint="eastAsia" w:ascii="宋体" w:hAnsi="宋体" w:eastAsia="宋体" w:cs="宋体"/>
                <w:b/>
                <w:color w:val="000000"/>
                <w:kern w:val="0"/>
                <w:sz w:val="28"/>
                <w:szCs w:val="28"/>
              </w:rPr>
              <w:t>收入决算表</w:t>
            </w:r>
          </w:p>
        </w:tc>
      </w:tr>
      <w:tr>
        <w:tblPrEx>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59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375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75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751"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523"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公开02表</w:t>
            </w:r>
          </w:p>
        </w:tc>
      </w:tr>
      <w:tr>
        <w:tblPrEx>
          <w:tblLayout w:type="fixed"/>
          <w:tblCellMar>
            <w:top w:w="0" w:type="dxa"/>
            <w:left w:w="0" w:type="dxa"/>
            <w:bottom w:w="0" w:type="dxa"/>
            <w:right w:w="0" w:type="dxa"/>
          </w:tblCellMar>
        </w:tblPrEx>
        <w:trPr>
          <w:trHeight w:val="280" w:hRule="atLeast"/>
        </w:trPr>
        <w:tc>
          <w:tcPr>
            <w:tcW w:w="6623" w:type="dxa"/>
            <w:gridSpan w:val="5"/>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000000"/>
                <w:sz w:val="22"/>
              </w:rPr>
            </w:pPr>
            <w:r>
              <w:rPr>
                <w:rFonts w:hint="eastAsia" w:ascii="宋体" w:hAnsi="宋体" w:eastAsia="宋体" w:cs="宋体"/>
                <w:color w:val="000000"/>
                <w:kern w:val="0"/>
                <w:sz w:val="22"/>
              </w:rPr>
              <w:t>部门：湖南省农业农村厅机关后勤服务中心</w:t>
            </w:r>
          </w:p>
        </w:tc>
        <w:tc>
          <w:tcPr>
            <w:tcW w:w="1751"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523"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487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w:t>
            </w:r>
          </w:p>
        </w:tc>
        <w:tc>
          <w:tcPr>
            <w:tcW w:w="17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本年收入合计</w:t>
            </w:r>
          </w:p>
        </w:tc>
        <w:tc>
          <w:tcPr>
            <w:tcW w:w="17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财政拨款收入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上级补助收入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事业收入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经营收入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附属单位上缴收入</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其他收入</w:t>
            </w:r>
          </w:p>
        </w:tc>
      </w:tr>
      <w:tr>
        <w:tblPrEx>
          <w:tblLayout w:type="fixed"/>
          <w:tblCellMar>
            <w:top w:w="0" w:type="dxa"/>
            <w:left w:w="0" w:type="dxa"/>
            <w:bottom w:w="0" w:type="dxa"/>
            <w:right w:w="0" w:type="dxa"/>
          </w:tblCellMar>
        </w:tblPrEx>
        <w:trPr>
          <w:trHeight w:val="312" w:hRule="atLeast"/>
        </w:trPr>
        <w:tc>
          <w:tcPr>
            <w:tcW w:w="11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科目代码</w:t>
            </w:r>
          </w:p>
        </w:tc>
        <w:tc>
          <w:tcPr>
            <w:tcW w:w="37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科目名称</w:t>
            </w: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12" w:hRule="atLeast"/>
        </w:trPr>
        <w:tc>
          <w:tcPr>
            <w:tcW w:w="11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37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12" w:hRule="atLeast"/>
        </w:trPr>
        <w:tc>
          <w:tcPr>
            <w:tcW w:w="11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37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00" w:hRule="atLeast"/>
        </w:trPr>
        <w:tc>
          <w:tcPr>
            <w:tcW w:w="487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栏次</w:t>
            </w:r>
          </w:p>
        </w:tc>
        <w:tc>
          <w:tcPr>
            <w:tcW w:w="17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7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r>
      <w:tr>
        <w:tblPrEx>
          <w:tblLayout w:type="fixed"/>
          <w:tblCellMar>
            <w:top w:w="0" w:type="dxa"/>
            <w:left w:w="0" w:type="dxa"/>
            <w:bottom w:w="0" w:type="dxa"/>
            <w:right w:w="0" w:type="dxa"/>
          </w:tblCellMar>
        </w:tblPrEx>
        <w:trPr>
          <w:trHeight w:val="300" w:hRule="atLeast"/>
        </w:trPr>
        <w:tc>
          <w:tcPr>
            <w:tcW w:w="487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1,216.82</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1,216.77</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0.05</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社会保障和就业支出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148.66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148.66</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20805</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行政事业单位养老支出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99.20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99.20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2080505</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机关事业单位基本养老保险缴费支出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99.20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99.20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20808</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抚恤</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2080801</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死亡抚恤</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农林水支出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1,068.16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1,068.11</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0.05</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农业农村</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1,068.16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1,068.11</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0.05</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2130101</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行政运行</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254.96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254.96</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1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2130103</w:t>
            </w:r>
          </w:p>
        </w:tc>
        <w:tc>
          <w:tcPr>
            <w:tcW w:w="3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机关服务</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813.20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813.15</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0.05</w:t>
            </w:r>
          </w:p>
        </w:tc>
      </w:tr>
      <w:tr>
        <w:tblPrEx>
          <w:tblLayout w:type="fixed"/>
          <w:tblCellMar>
            <w:top w:w="0" w:type="dxa"/>
            <w:left w:w="0" w:type="dxa"/>
            <w:bottom w:w="0" w:type="dxa"/>
            <w:right w:w="0" w:type="dxa"/>
          </w:tblCellMar>
        </w:tblPrEx>
        <w:trPr>
          <w:trHeight w:val="300" w:hRule="atLeast"/>
        </w:trPr>
        <w:tc>
          <w:tcPr>
            <w:tcW w:w="15685" w:type="dxa"/>
            <w:gridSpan w:val="11"/>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注：本表反映部门本年度取得的各项收入情况。</w:t>
            </w:r>
          </w:p>
        </w:tc>
      </w:tr>
    </w:tbl>
    <w:p>
      <w:pPr>
        <w:pStyle w:val="10"/>
        <w:sectPr>
          <w:pgSz w:w="16838" w:h="11906" w:orient="landscape"/>
          <w:pgMar w:top="720" w:right="720" w:bottom="720" w:left="720" w:header="851" w:footer="992" w:gutter="0"/>
          <w:cols w:space="425" w:num="1"/>
          <w:docGrid w:type="lines" w:linePitch="312" w:charSpace="0"/>
        </w:sectPr>
      </w:pPr>
    </w:p>
    <w:tbl>
      <w:tblPr>
        <w:tblStyle w:val="11"/>
        <w:tblW w:w="14992" w:type="dxa"/>
        <w:tblInd w:w="0" w:type="dxa"/>
        <w:tblLayout w:type="fixed"/>
        <w:tblCellMar>
          <w:top w:w="0" w:type="dxa"/>
          <w:left w:w="0" w:type="dxa"/>
          <w:bottom w:w="0" w:type="dxa"/>
          <w:right w:w="0" w:type="dxa"/>
        </w:tblCellMar>
      </w:tblPr>
      <w:tblGrid>
        <w:gridCol w:w="264"/>
        <w:gridCol w:w="264"/>
        <w:gridCol w:w="962"/>
        <w:gridCol w:w="4075"/>
        <w:gridCol w:w="1609"/>
        <w:gridCol w:w="1609"/>
        <w:gridCol w:w="1456"/>
        <w:gridCol w:w="1456"/>
        <w:gridCol w:w="1456"/>
        <w:gridCol w:w="1841"/>
      </w:tblGrid>
      <w:tr>
        <w:tblPrEx>
          <w:tblLayout w:type="fixed"/>
          <w:tblCellMar>
            <w:top w:w="0" w:type="dxa"/>
            <w:left w:w="0" w:type="dxa"/>
            <w:bottom w:w="0" w:type="dxa"/>
            <w:right w:w="0" w:type="dxa"/>
          </w:tblCellMar>
        </w:tblPrEx>
        <w:trPr>
          <w:trHeight w:val="660" w:hRule="atLeast"/>
        </w:trPr>
        <w:tc>
          <w:tcPr>
            <w:tcW w:w="14992" w:type="dxa"/>
            <w:gridSpan w:val="10"/>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8"/>
                <w:szCs w:val="28"/>
              </w:rPr>
            </w:pPr>
            <w:r>
              <w:rPr>
                <w:rFonts w:hint="eastAsia" w:ascii="宋体" w:hAnsi="宋体" w:eastAsia="宋体" w:cs="宋体"/>
                <w:b/>
                <w:color w:val="000000"/>
                <w:kern w:val="0"/>
                <w:sz w:val="28"/>
                <w:szCs w:val="28"/>
              </w:rPr>
              <w:t>支出决算表</w:t>
            </w:r>
          </w:p>
        </w:tc>
      </w:tr>
      <w:tr>
        <w:tblPrEx>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962"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407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609"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609"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1456"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56"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56"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841"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0" w:type="dxa"/>
            <w:bottom w:w="0" w:type="dxa"/>
            <w:right w:w="0" w:type="dxa"/>
          </w:tblCellMar>
        </w:tblPrEx>
        <w:trPr>
          <w:trHeight w:val="280" w:hRule="atLeast"/>
        </w:trPr>
        <w:tc>
          <w:tcPr>
            <w:tcW w:w="7174" w:type="dxa"/>
            <w:gridSpan w:val="5"/>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000000"/>
                <w:sz w:val="22"/>
              </w:rPr>
            </w:pPr>
            <w:r>
              <w:rPr>
                <w:rFonts w:hint="eastAsia" w:ascii="宋体" w:hAnsi="宋体" w:eastAsia="宋体" w:cs="宋体"/>
                <w:color w:val="000000"/>
                <w:kern w:val="0"/>
                <w:sz w:val="22"/>
              </w:rPr>
              <w:t>部门：湖南省农业农村厅机关后勤服务中心</w:t>
            </w:r>
          </w:p>
        </w:tc>
        <w:tc>
          <w:tcPr>
            <w:tcW w:w="1609"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1456"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56"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56"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841"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55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本年支出合计</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基本支出</w:t>
            </w:r>
          </w:p>
        </w:tc>
        <w:tc>
          <w:tcPr>
            <w:tcW w:w="1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项目支出</w:t>
            </w:r>
          </w:p>
        </w:tc>
        <w:tc>
          <w:tcPr>
            <w:tcW w:w="1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上缴上级支出</w:t>
            </w:r>
          </w:p>
        </w:tc>
        <w:tc>
          <w:tcPr>
            <w:tcW w:w="1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经营支出</w:t>
            </w:r>
          </w:p>
        </w:tc>
        <w:tc>
          <w:tcPr>
            <w:tcW w:w="18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对附属单位补助支出</w:t>
            </w:r>
          </w:p>
        </w:tc>
      </w:tr>
      <w:tr>
        <w:tblPrEx>
          <w:tblLayout w:type="fixed"/>
          <w:tblCellMar>
            <w:top w:w="0" w:type="dxa"/>
            <w:left w:w="0" w:type="dxa"/>
            <w:bottom w:w="0" w:type="dxa"/>
            <w:right w:w="0" w:type="dxa"/>
          </w:tblCellMar>
        </w:tblPrEx>
        <w:trPr>
          <w:trHeight w:val="312" w:hRule="atLeast"/>
        </w:trPr>
        <w:tc>
          <w:tcPr>
            <w:tcW w:w="14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科目代码</w:t>
            </w:r>
          </w:p>
        </w:tc>
        <w:tc>
          <w:tcPr>
            <w:tcW w:w="407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科目名称</w:t>
            </w: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12" w:hRule="atLeast"/>
        </w:trPr>
        <w:tc>
          <w:tcPr>
            <w:tcW w:w="14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407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12" w:hRule="atLeast"/>
        </w:trPr>
        <w:tc>
          <w:tcPr>
            <w:tcW w:w="14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407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00" w:hRule="atLeast"/>
        </w:trPr>
        <w:tc>
          <w:tcPr>
            <w:tcW w:w="55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栏次</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r>
      <w:tr>
        <w:tblPrEx>
          <w:tblLayout w:type="fixed"/>
          <w:tblCellMar>
            <w:top w:w="0" w:type="dxa"/>
            <w:left w:w="0" w:type="dxa"/>
            <w:bottom w:w="0" w:type="dxa"/>
            <w:right w:w="0" w:type="dxa"/>
          </w:tblCellMar>
        </w:tblPrEx>
        <w:trPr>
          <w:trHeight w:val="300" w:hRule="atLeast"/>
        </w:trPr>
        <w:tc>
          <w:tcPr>
            <w:tcW w:w="55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929.21</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923.21</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6.00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社会保障和就业支出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143.71</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143.71</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20805</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行政事业单位养老支出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94.25</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94.25</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2080505</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机关事业单位基本养老保险缴费支出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94.25</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94.25</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20808</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抚恤</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2080801</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死亡抚恤</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农林水支出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785.50</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779.50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农业农村</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785.50</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779.50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2130101</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行政运行</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60.10</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60.10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2130103</w:t>
            </w:r>
          </w:p>
        </w:tc>
        <w:tc>
          <w:tcPr>
            <w:tcW w:w="40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机关服务</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725.40</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719.40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4992" w:type="dxa"/>
            <w:gridSpan w:val="10"/>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注：本表反映部门本年度各项支出情况。</w:t>
            </w:r>
          </w:p>
        </w:tc>
      </w:tr>
    </w:tbl>
    <w:p>
      <w:pPr>
        <w:pStyle w:val="2"/>
        <w:ind w:firstLine="480"/>
      </w:pPr>
    </w:p>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r>
        <w:rPr>
          <w:rFonts w:ascii="Times New Roman" w:hAnsi="Times New Roman" w:eastAsia="仿宋_GB2312" w:cs="Times New Roman"/>
          <w:bCs/>
          <w:kern w:val="0"/>
          <w:szCs w:val="21"/>
        </w:rPr>
        <w:br w:type="page"/>
      </w:r>
    </w:p>
    <w:tbl>
      <w:tblPr>
        <w:tblStyle w:val="11"/>
        <w:tblW w:w="15446" w:type="dxa"/>
        <w:tblInd w:w="0" w:type="dxa"/>
        <w:tblLayout w:type="fixed"/>
        <w:tblCellMar>
          <w:top w:w="0" w:type="dxa"/>
          <w:left w:w="0" w:type="dxa"/>
          <w:bottom w:w="0" w:type="dxa"/>
          <w:right w:w="0" w:type="dxa"/>
        </w:tblCellMar>
      </w:tblPr>
      <w:tblGrid>
        <w:gridCol w:w="3672"/>
        <w:gridCol w:w="454"/>
        <w:gridCol w:w="1451"/>
        <w:gridCol w:w="4215"/>
        <w:gridCol w:w="454"/>
        <w:gridCol w:w="1070"/>
        <w:gridCol w:w="1451"/>
        <w:gridCol w:w="1189"/>
        <w:gridCol w:w="1490"/>
      </w:tblGrid>
      <w:tr>
        <w:tblPrEx>
          <w:tblLayout w:type="fixed"/>
          <w:tblCellMar>
            <w:top w:w="0" w:type="dxa"/>
            <w:left w:w="0" w:type="dxa"/>
            <w:bottom w:w="0" w:type="dxa"/>
            <w:right w:w="0" w:type="dxa"/>
          </w:tblCellMar>
        </w:tblPrEx>
        <w:trPr>
          <w:trHeight w:val="660" w:hRule="atLeast"/>
        </w:trPr>
        <w:tc>
          <w:tcPr>
            <w:tcW w:w="15446" w:type="dxa"/>
            <w:gridSpan w:val="9"/>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8"/>
                <w:szCs w:val="28"/>
              </w:rPr>
            </w:pPr>
            <w:r>
              <w:rPr>
                <w:rFonts w:hint="eastAsia" w:ascii="宋体" w:hAnsi="宋体" w:eastAsia="宋体" w:cs="宋体"/>
                <w:b/>
                <w:color w:val="000000"/>
                <w:kern w:val="0"/>
                <w:sz w:val="28"/>
                <w:szCs w:val="28"/>
              </w:rPr>
              <w:t>财政拨款收入支出决算总表</w:t>
            </w:r>
          </w:p>
        </w:tc>
      </w:tr>
      <w:tr>
        <w:tblPrEx>
          <w:tblLayout w:type="fixed"/>
          <w:tblCellMar>
            <w:top w:w="0" w:type="dxa"/>
            <w:left w:w="0" w:type="dxa"/>
            <w:bottom w:w="0" w:type="dxa"/>
            <w:right w:w="0" w:type="dxa"/>
          </w:tblCellMar>
        </w:tblPrEx>
        <w:trPr>
          <w:trHeight w:val="280" w:hRule="atLeast"/>
        </w:trPr>
        <w:tc>
          <w:tcPr>
            <w:tcW w:w="3672"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45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421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070"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1451"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189"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9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0" w:type="dxa"/>
            <w:bottom w:w="0" w:type="dxa"/>
            <w:right w:w="0" w:type="dxa"/>
          </w:tblCellMar>
        </w:tblPrEx>
        <w:trPr>
          <w:trHeight w:val="280" w:hRule="atLeast"/>
        </w:trPr>
        <w:tc>
          <w:tcPr>
            <w:tcW w:w="5577" w:type="dxa"/>
            <w:gridSpan w:val="3"/>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000000"/>
                <w:sz w:val="22"/>
              </w:rPr>
            </w:pPr>
            <w:r>
              <w:rPr>
                <w:rFonts w:hint="eastAsia" w:ascii="宋体" w:hAnsi="宋体" w:eastAsia="宋体" w:cs="宋体"/>
                <w:color w:val="000000"/>
                <w:kern w:val="0"/>
                <w:sz w:val="22"/>
              </w:rPr>
              <w:t>部门：湖南省农业农村厅机关后勤服务中心</w:t>
            </w:r>
          </w:p>
        </w:tc>
        <w:tc>
          <w:tcPr>
            <w:tcW w:w="421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45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070"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1451"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189"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000000"/>
                <w:sz w:val="22"/>
              </w:rPr>
            </w:pPr>
          </w:p>
        </w:tc>
        <w:tc>
          <w:tcPr>
            <w:tcW w:w="149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557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收     入</w:t>
            </w:r>
          </w:p>
        </w:tc>
        <w:tc>
          <w:tcPr>
            <w:tcW w:w="9869"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支     出</w:t>
            </w:r>
          </w:p>
        </w:tc>
      </w:tr>
      <w:tr>
        <w:tblPrEx>
          <w:tblLayout w:type="fixed"/>
          <w:tblCellMar>
            <w:top w:w="0" w:type="dxa"/>
            <w:left w:w="0" w:type="dxa"/>
            <w:bottom w:w="0" w:type="dxa"/>
            <w:right w:w="0" w:type="dxa"/>
          </w:tblCellMar>
        </w:tblPrEx>
        <w:trPr>
          <w:trHeight w:val="312" w:hRule="atLeast"/>
        </w:trPr>
        <w:tc>
          <w:tcPr>
            <w:tcW w:w="367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行次</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金额</w:t>
            </w:r>
          </w:p>
        </w:tc>
        <w:tc>
          <w:tcPr>
            <w:tcW w:w="421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行次</w:t>
            </w:r>
          </w:p>
        </w:tc>
        <w:tc>
          <w:tcPr>
            <w:tcW w:w="10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一般公共预算财政拨款</w:t>
            </w:r>
          </w:p>
        </w:tc>
        <w:tc>
          <w:tcPr>
            <w:tcW w:w="118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政府性基金预算财政拨款</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国有资本经营预算财政拨款</w:t>
            </w:r>
          </w:p>
        </w:tc>
      </w:tr>
      <w:tr>
        <w:tblPrEx>
          <w:tblLayout w:type="fixed"/>
          <w:tblCellMar>
            <w:top w:w="0" w:type="dxa"/>
            <w:left w:w="0" w:type="dxa"/>
            <w:bottom w:w="0" w:type="dxa"/>
            <w:right w:w="0" w:type="dxa"/>
          </w:tblCellMar>
        </w:tblPrEx>
        <w:trPr>
          <w:trHeight w:val="600" w:hRule="atLeast"/>
        </w:trPr>
        <w:tc>
          <w:tcPr>
            <w:tcW w:w="36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42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0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1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栏次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栏次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1,216.77</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一、一般公共服务支出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33</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二、政府性基金预算财政拨款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二、外交支出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34</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三、国有资本经营预算财政拨款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三、国防支出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35</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四、公共安全支出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36</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五、教育支出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37</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六、科学技术支出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38</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七、文化旅游体育与传媒支出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39</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八、社会保障和就业支出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40</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143.71</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143.71</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九、卫生健康支出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41</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十、节能环保支出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42</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十一、城乡社区支出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43</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十二、农林水支出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44</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785.22</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785.22</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13</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十三、交通运输支出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45</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14</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十四、资源勘探工业信息等支出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46</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15</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十五、商业服务业等支出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47</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16</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十六、金融支出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48</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17</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十七、援助其他地区支出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49</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18</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十八、自然资源海洋气象等支出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50</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19</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十九、住房保障支出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51</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二十、粮油物资储备支出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52</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21</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二十一、国有资本经营预算支出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53</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22</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二十二、灾害防治及应急管理支出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54</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23</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二十三、其他支出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55</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b/>
                <w:color w:val="000000"/>
                <w:sz w:val="20"/>
                <w:szCs w:val="20"/>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24</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二十四、债务还本支出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56</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0"/>
                <w:szCs w:val="20"/>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25</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二十五、债务付息支出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57</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0"/>
                <w:szCs w:val="20"/>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26</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二十六、抗疫特别国债安排的支出</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58</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本年收入合计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27</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1,216.77</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本年支出合计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59</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928.92</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928.92</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年初财政拨款结转和结余</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28</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年末财政拨款结转和结余</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60</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293.85</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293.85</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一般公共预算财政拨款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29</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61</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政府性基金预算财政拨款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62</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国有资本经营预算财政拨款</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31</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000000"/>
                <w:sz w:val="22"/>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63</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00" w:hRule="atLeast"/>
        </w:trPr>
        <w:tc>
          <w:tcPr>
            <w:tcW w:w="3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32</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1,222.77</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64</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1,222.77</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1,222.77</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3956" w:type="dxa"/>
            <w:gridSpan w:val="8"/>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注：本表反映部门本年度一般公共预算财政拨款、政府性基金预算财政拨款和国有资本经营预算财政拨款的总收支和年末结转结余情况。</w:t>
            </w:r>
          </w:p>
        </w:tc>
        <w:tc>
          <w:tcPr>
            <w:tcW w:w="1490" w:type="dxa"/>
            <w:tcBorders>
              <w:top w:val="nil"/>
              <w:left w:val="nil"/>
              <w:bottom w:val="nil"/>
              <w:right w:val="nil"/>
            </w:tcBorders>
            <w:shd w:val="clear" w:color="auto" w:fill="FFFFFF"/>
            <w:noWrap/>
            <w:tcMar>
              <w:top w:w="10" w:type="dxa"/>
              <w:left w:w="10" w:type="dxa"/>
              <w:right w:w="10" w:type="dxa"/>
            </w:tcMar>
            <w:vAlign w:val="center"/>
          </w:tcPr>
          <w:p>
            <w:pPr>
              <w:jc w:val="left"/>
              <w:rPr>
                <w:rFonts w:ascii="宋体" w:hAnsi="宋体" w:eastAsia="宋体" w:cs="宋体"/>
                <w:color w:val="000000"/>
                <w:sz w:val="20"/>
                <w:szCs w:val="20"/>
              </w:rPr>
            </w:pPr>
          </w:p>
        </w:tc>
      </w:tr>
    </w:tbl>
    <w:p>
      <w:pPr>
        <w:pStyle w:val="10"/>
        <w:sectPr>
          <w:pgSz w:w="16838" w:h="11906" w:orient="landscape"/>
          <w:pgMar w:top="720" w:right="720" w:bottom="720" w:left="720" w:header="851" w:footer="992" w:gutter="0"/>
          <w:cols w:space="425" w:num="1"/>
          <w:docGrid w:type="lines" w:linePitch="312" w:charSpace="0"/>
        </w:sectPr>
      </w:pPr>
    </w:p>
    <w:tbl>
      <w:tblPr>
        <w:tblStyle w:val="11"/>
        <w:tblW w:w="12496" w:type="dxa"/>
        <w:tblInd w:w="1272" w:type="dxa"/>
        <w:tblLayout w:type="fixed"/>
        <w:tblCellMar>
          <w:top w:w="0" w:type="dxa"/>
          <w:left w:w="0" w:type="dxa"/>
          <w:bottom w:w="0" w:type="dxa"/>
          <w:right w:w="0" w:type="dxa"/>
        </w:tblCellMar>
      </w:tblPr>
      <w:tblGrid>
        <w:gridCol w:w="264"/>
        <w:gridCol w:w="264"/>
        <w:gridCol w:w="685"/>
        <w:gridCol w:w="4768"/>
        <w:gridCol w:w="1852"/>
        <w:gridCol w:w="1852"/>
        <w:gridCol w:w="2811"/>
      </w:tblGrid>
      <w:tr>
        <w:tblPrEx>
          <w:tblLayout w:type="fixed"/>
        </w:tblPrEx>
        <w:trPr>
          <w:trHeight w:val="560" w:hRule="atLeast"/>
        </w:trPr>
        <w:tc>
          <w:tcPr>
            <w:tcW w:w="12496" w:type="dxa"/>
            <w:gridSpan w:val="7"/>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000000"/>
                <w:sz w:val="28"/>
                <w:szCs w:val="28"/>
              </w:rPr>
            </w:pPr>
            <w:r>
              <w:rPr>
                <w:rFonts w:hint="eastAsia" w:ascii="宋体" w:hAnsi="宋体" w:eastAsia="宋体" w:cs="宋体"/>
                <w:b/>
                <w:color w:val="000000"/>
                <w:kern w:val="0"/>
                <w:sz w:val="28"/>
                <w:szCs w:val="28"/>
              </w:rPr>
              <w:t>一般公共预算财政拨款支出决算表</w:t>
            </w:r>
          </w:p>
        </w:tc>
      </w:tr>
      <w:tr>
        <w:tblPrEx>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68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4768"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852"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000000"/>
                <w:sz w:val="22"/>
              </w:rPr>
            </w:pPr>
          </w:p>
        </w:tc>
        <w:tc>
          <w:tcPr>
            <w:tcW w:w="1852"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2811"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公开05表</w:t>
            </w:r>
          </w:p>
        </w:tc>
      </w:tr>
      <w:tr>
        <w:tblPrEx>
          <w:tblLayout w:type="fixed"/>
          <w:tblCellMar>
            <w:top w:w="0" w:type="dxa"/>
            <w:left w:w="0" w:type="dxa"/>
            <w:bottom w:w="0" w:type="dxa"/>
            <w:right w:w="0" w:type="dxa"/>
          </w:tblCellMar>
        </w:tblPrEx>
        <w:trPr>
          <w:trHeight w:val="560" w:hRule="atLeast"/>
        </w:trPr>
        <w:tc>
          <w:tcPr>
            <w:tcW w:w="7833" w:type="dxa"/>
            <w:gridSpan w:val="5"/>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000000"/>
                <w:sz w:val="22"/>
              </w:rPr>
            </w:pPr>
            <w:r>
              <w:rPr>
                <w:rFonts w:hint="eastAsia" w:ascii="宋体" w:hAnsi="宋体" w:eastAsia="宋体" w:cs="宋体"/>
                <w:color w:val="000000"/>
                <w:kern w:val="0"/>
                <w:sz w:val="22"/>
              </w:rPr>
              <w:t>部门：湖南省农业农村厅机关后勤服务中心</w:t>
            </w:r>
          </w:p>
        </w:tc>
        <w:tc>
          <w:tcPr>
            <w:tcW w:w="1852"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000000"/>
                <w:sz w:val="20"/>
                <w:szCs w:val="20"/>
              </w:rPr>
            </w:pPr>
          </w:p>
        </w:tc>
        <w:tc>
          <w:tcPr>
            <w:tcW w:w="2811"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59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w:t>
            </w:r>
          </w:p>
        </w:tc>
        <w:tc>
          <w:tcPr>
            <w:tcW w:w="6515"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本年支出</w:t>
            </w:r>
          </w:p>
        </w:tc>
      </w:tr>
      <w:tr>
        <w:tblPrEx>
          <w:tblLayout w:type="fixed"/>
          <w:tblCellMar>
            <w:top w:w="0" w:type="dxa"/>
            <w:left w:w="0" w:type="dxa"/>
            <w:bottom w:w="0" w:type="dxa"/>
            <w:right w:w="0" w:type="dxa"/>
          </w:tblCellMar>
        </w:tblPrEx>
        <w:trPr>
          <w:trHeight w:val="312" w:hRule="atLeast"/>
        </w:trPr>
        <w:tc>
          <w:tcPr>
            <w:tcW w:w="121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科目代码</w:t>
            </w:r>
          </w:p>
        </w:tc>
        <w:tc>
          <w:tcPr>
            <w:tcW w:w="47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科目名称</w:t>
            </w:r>
          </w:p>
        </w:tc>
        <w:tc>
          <w:tcPr>
            <w:tcW w:w="1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基本支出</w:t>
            </w:r>
          </w:p>
        </w:tc>
        <w:tc>
          <w:tcPr>
            <w:tcW w:w="2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项目支出</w:t>
            </w:r>
          </w:p>
        </w:tc>
      </w:tr>
      <w:tr>
        <w:tblPrEx>
          <w:tblLayout w:type="fixed"/>
          <w:tblCellMar>
            <w:top w:w="0" w:type="dxa"/>
            <w:left w:w="0" w:type="dxa"/>
            <w:bottom w:w="0" w:type="dxa"/>
            <w:right w:w="0" w:type="dxa"/>
          </w:tblCellMar>
        </w:tblPrEx>
        <w:trPr>
          <w:trHeight w:val="312" w:hRule="atLeast"/>
        </w:trPr>
        <w:tc>
          <w:tcPr>
            <w:tcW w:w="121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47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2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12" w:hRule="atLeast"/>
        </w:trPr>
        <w:tc>
          <w:tcPr>
            <w:tcW w:w="121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47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000000"/>
                <w:sz w:val="22"/>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c>
          <w:tcPr>
            <w:tcW w:w="2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000000"/>
                <w:sz w:val="22"/>
              </w:rPr>
            </w:pPr>
          </w:p>
        </w:tc>
      </w:tr>
      <w:tr>
        <w:tblPrEx>
          <w:tblLayout w:type="fixed"/>
          <w:tblCellMar>
            <w:top w:w="0" w:type="dxa"/>
            <w:left w:w="0" w:type="dxa"/>
            <w:bottom w:w="0" w:type="dxa"/>
            <w:right w:w="0" w:type="dxa"/>
          </w:tblCellMar>
        </w:tblPrEx>
        <w:trPr>
          <w:trHeight w:val="300" w:hRule="atLeast"/>
        </w:trPr>
        <w:tc>
          <w:tcPr>
            <w:tcW w:w="59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栏次</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r>
      <w:tr>
        <w:tblPrEx>
          <w:tblLayout w:type="fixed"/>
          <w:tblCellMar>
            <w:top w:w="0" w:type="dxa"/>
            <w:left w:w="0" w:type="dxa"/>
            <w:bottom w:w="0" w:type="dxa"/>
            <w:right w:w="0" w:type="dxa"/>
          </w:tblCellMar>
        </w:tblPrEx>
        <w:trPr>
          <w:trHeight w:val="300" w:hRule="atLeast"/>
        </w:trPr>
        <w:tc>
          <w:tcPr>
            <w:tcW w:w="59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928.92</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922.92</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000000"/>
                <w:sz w:val="22"/>
              </w:rPr>
            </w:pPr>
            <w:r>
              <w:rPr>
                <w:rFonts w:hint="eastAsia" w:ascii="宋体" w:hAnsi="宋体" w:eastAsia="宋体" w:cs="宋体"/>
                <w:b/>
                <w:color w:val="000000"/>
                <w:kern w:val="0"/>
                <w:sz w:val="22"/>
              </w:rPr>
              <w:t>6.00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社会保障和就业支出</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143.71</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143.71</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20805</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行政事业单位养老支出</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94.25</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94.25</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2080505</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机关事业单位基本养老保险缴费支出</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94.25</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94.25</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20808</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抚恤</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2080801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死亡抚恤</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49.46</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农林水支出</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785.22</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779.22</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农业农村</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785.22</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779.22</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行政运行</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60.10</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60.10</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0" w:type="dxa"/>
            <w:bottom w:w="0" w:type="dxa"/>
            <w:right w:w="0" w:type="dxa"/>
          </w:tblCellMar>
        </w:tblPrEx>
        <w:trPr>
          <w:trHeight w:val="300" w:hRule="atLeast"/>
        </w:trPr>
        <w:tc>
          <w:tcPr>
            <w:tcW w:w="12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2130103</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机关服务</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725.11</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719.11</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6.00</w:t>
            </w:r>
          </w:p>
        </w:tc>
      </w:tr>
      <w:tr>
        <w:tblPrEx>
          <w:tblLayout w:type="fixed"/>
          <w:tblCellMar>
            <w:top w:w="0" w:type="dxa"/>
            <w:left w:w="0" w:type="dxa"/>
            <w:bottom w:w="0" w:type="dxa"/>
            <w:right w:w="0" w:type="dxa"/>
          </w:tblCellMar>
        </w:tblPrEx>
        <w:trPr>
          <w:trHeight w:val="300" w:hRule="atLeast"/>
        </w:trPr>
        <w:tc>
          <w:tcPr>
            <w:tcW w:w="12496" w:type="dxa"/>
            <w:gridSpan w:val="7"/>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注：本表反映部门本年度一般公共预算财政拨款支出情况。</w:t>
            </w:r>
          </w:p>
        </w:tc>
      </w:tr>
    </w:tbl>
    <w:p>
      <w:pPr>
        <w:pStyle w:val="2"/>
        <w:ind w:firstLine="480"/>
        <w:sectPr>
          <w:pgSz w:w="16838" w:h="11906" w:orient="landscape"/>
          <w:pgMar w:top="720" w:right="720" w:bottom="720" w:left="720" w:header="851" w:footer="992" w:gutter="0"/>
          <w:cols w:space="425" w:num="1"/>
          <w:docGrid w:type="lines" w:linePitch="312" w:charSpace="0"/>
        </w:sectPr>
      </w:pPr>
    </w:p>
    <w:p>
      <w:pPr>
        <w:sectPr>
          <w:pgSz w:w="16838" w:h="11906" w:orient="landscape"/>
          <w:pgMar w:top="720" w:right="720" w:bottom="720" w:left="720" w:header="851" w:footer="992" w:gutter="0"/>
          <w:cols w:space="425" w:num="1"/>
          <w:docGrid w:type="lines" w:linePitch="312" w:charSpace="0"/>
        </w:sectPr>
      </w:pPr>
      <w:r>
        <w:drawing>
          <wp:inline distT="0" distB="0" distL="114300" distR="114300">
            <wp:extent cx="9768205" cy="6210935"/>
            <wp:effectExtent l="0" t="0" r="1079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9768205" cy="6210935"/>
                    </a:xfrm>
                    <a:prstGeom prst="rect">
                      <a:avLst/>
                    </a:prstGeom>
                    <a:noFill/>
                    <a:ln>
                      <a:noFill/>
                    </a:ln>
                  </pic:spPr>
                </pic:pic>
              </a:graphicData>
            </a:graphic>
          </wp:inline>
        </w:drawing>
      </w:r>
    </w:p>
    <w:p>
      <w:pPr>
        <w:pStyle w:val="2"/>
        <w:ind w:firstLine="480"/>
      </w:pPr>
    </w:p>
    <w:tbl>
      <w:tblPr>
        <w:tblStyle w:val="11"/>
        <w:tblW w:w="15360" w:type="dxa"/>
        <w:tblInd w:w="0" w:type="dxa"/>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40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108" w:type="dxa"/>
            <w:bottom w:w="0" w:type="dxa"/>
            <w:right w:w="108" w:type="dxa"/>
          </w:tblCellMar>
        </w:tblPrEx>
        <w:trPr>
          <w:trHeight w:val="690" w:hRule="atLeast"/>
        </w:trPr>
        <w:tc>
          <w:tcPr>
            <w:tcW w:w="1003"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w:t>
            </w: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40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20"/>
                <w:rFonts w:hint="default"/>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年末结转和结余</w:t>
            </w:r>
          </w:p>
        </w:tc>
      </w:tr>
      <w:tr>
        <w:tblPrEx>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tbl>
      <w:tblPr>
        <w:tblStyle w:val="11"/>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w:t>
            </w: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21"/>
                <w:rFonts w:hint="default"/>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11"/>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0.00</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6"/>
        <w:rPr>
          <w:sz w:val="72"/>
          <w:szCs w:val="72"/>
        </w:rPr>
      </w:pPr>
    </w:p>
    <w:p>
      <w:pPr>
        <w:pStyle w:val="16"/>
        <w:rPr>
          <w:sz w:val="72"/>
          <w:szCs w:val="72"/>
        </w:rPr>
      </w:pPr>
    </w:p>
    <w:p>
      <w:pPr>
        <w:pStyle w:val="16"/>
        <w:rPr>
          <w:sz w:val="72"/>
          <w:szCs w:val="72"/>
        </w:rPr>
      </w:pPr>
    </w:p>
    <w:p>
      <w:pPr>
        <w:pStyle w:val="16"/>
        <w:rPr>
          <w:sz w:val="72"/>
          <w:szCs w:val="72"/>
        </w:rPr>
      </w:pPr>
    </w:p>
    <w:p>
      <w:pPr>
        <w:pStyle w:val="16"/>
        <w:jc w:val="center"/>
        <w:rPr>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6"/>
        <w:jc w:val="center"/>
        <w:rPr>
          <w:rFonts w:ascii="方正小标宋_GBK" w:hAnsi="方正小标宋_GBK" w:eastAsia="方正小标宋_GBK" w:cs="方正小标宋_GBK"/>
          <w:sz w:val="70"/>
          <w:szCs w:val="70"/>
        </w:rPr>
      </w:pPr>
    </w:p>
    <w:p>
      <w:pPr>
        <w:pStyle w:val="16"/>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pPr>
        <w:widowControl/>
        <w:jc w:val="left"/>
        <w:rPr>
          <w:rFonts w:asciiTheme="minorEastAsia" w:hAnsiTheme="minorEastAsia"/>
          <w:sz w:val="32"/>
          <w:szCs w:val="32"/>
        </w:rPr>
      </w:pPr>
      <w:r>
        <w:rPr>
          <w:rFonts w:hint="eastAsia" w:ascii="方正小标宋_GBK" w:hAnsi="方正小标宋_GBK" w:eastAsia="方正小标宋_GBK" w:cs="方正小标宋_GBK"/>
          <w:sz w:val="70"/>
          <w:szCs w:val="70"/>
        </w:rPr>
        <w:br w:type="page"/>
      </w:r>
    </w:p>
    <w:p>
      <w:pPr>
        <w:pStyle w:val="16"/>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2023年度收、支总计1223.06万元。与上年相比，减少107.75万元，减少8.10%，主要是因为年初结转结余减少。</w:t>
      </w:r>
    </w:p>
    <w:p>
      <w:pPr>
        <w:pStyle w:val="16"/>
        <w:spacing w:line="600" w:lineRule="exact"/>
        <w:ind w:firstLine="640" w:firstLineChars="200"/>
        <w:rPr>
          <w:rFonts w:hAnsi="黑体"/>
          <w:bCs/>
          <w:sz w:val="32"/>
          <w:szCs w:val="32"/>
        </w:rPr>
      </w:pPr>
      <w:r>
        <w:rPr>
          <w:rFonts w:hint="eastAsia" w:hAnsi="黑体"/>
          <w:bCs/>
          <w:sz w:val="32"/>
          <w:szCs w:val="32"/>
        </w:rPr>
        <w:t>二、收入决算情况说明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2023年度收入合计1216.82万元，其中：财政拨款收入1216.77万元，占100%；上级补助收入0万元，占0%；事业收入0万元，占0%；经营收入0万元，占0%；附属单位上缴收入0万元，占0%；其他收入0.05万元，占0%。</w:t>
      </w:r>
    </w:p>
    <w:p>
      <w:pPr>
        <w:pStyle w:val="16"/>
        <w:spacing w:line="600" w:lineRule="exact"/>
        <w:ind w:firstLine="640" w:firstLineChars="200"/>
        <w:rPr>
          <w:rFonts w:hAnsi="黑体"/>
          <w:bCs/>
          <w:sz w:val="32"/>
          <w:szCs w:val="32"/>
        </w:rPr>
      </w:pPr>
      <w:r>
        <w:rPr>
          <w:rFonts w:hint="eastAsia" w:hAnsi="黑体"/>
          <w:bCs/>
          <w:sz w:val="32"/>
          <w:szCs w:val="32"/>
        </w:rPr>
        <w:t>三、支出决算情况说明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2023年度支出合计929.21万元，其中：基本支出923.21万元，占99.35%；项目支出6万元，占0.65%；上缴上级支出0万元，占0%；经营支出0万元，占0%；对附属单位补助支出0万元，占0%。</w:t>
      </w:r>
    </w:p>
    <w:p>
      <w:pPr>
        <w:pStyle w:val="16"/>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6"/>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2023年度财政拨款收、支总计1222.77万元，与上年相比，增加37.71万元,增长3.18%，主要是因为追加人员经费。</w:t>
      </w:r>
    </w:p>
    <w:p>
      <w:pPr>
        <w:pStyle w:val="16"/>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6"/>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（一）一般公共预算财政拨款支出决算总体情况</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2023年度财政拨款支出928.92万元，占本年支出合计的99.97%，与上年相比，财政拨款支出减少256.14万元，减少21.61%，主要是因为减少河西综和办公楼装修改造项目资金。</w:t>
      </w:r>
    </w:p>
    <w:p>
      <w:pPr>
        <w:pStyle w:val="16"/>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（二）一般公共预算财政拨款支出决算结构情况</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2023年度财政拨款支出928.92万元，主要用于以下方面：社会保障和就业（类）支出143.71万元，占15.47%；农林水（类）支出785.22万元，占84.53%。</w:t>
      </w:r>
    </w:p>
    <w:p>
      <w:pPr>
        <w:pStyle w:val="16"/>
        <w:spacing w:line="600" w:lineRule="exact"/>
        <w:ind w:firstLine="800" w:firstLineChars="250"/>
        <w:rPr>
          <w:rFonts w:ascii="楷体" w:hAnsi="楷体" w:eastAsia="楷体" w:cs="楷体"/>
          <w:bCs/>
          <w:sz w:val="32"/>
          <w:szCs w:val="32"/>
        </w:rPr>
      </w:pPr>
      <w:r>
        <w:rPr>
          <w:rFonts w:hint="eastAsia" w:ascii="楷体" w:hAnsi="楷体" w:eastAsia="楷体" w:cs="楷体"/>
          <w:bCs/>
          <w:sz w:val="32"/>
          <w:szCs w:val="32"/>
        </w:rPr>
        <w:t>（三）一般公共预算财政拨款支出决算具体情况</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2023年度财政拨款支出年初预算数为918.35万元，支出决算数为928.92万元，完成年初预算的100%，其中：</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年初预算为99.20万元，支出决算为94.25万元，完成年初预算的95.01%，决算数小于年初预算数的主要原因是：机关事业单位基本养老保险缴费支出年底有结余。</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2、社会保障和就业（类）抚恤（款）死亡抚恤（项）。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年初预算为0万元，支出决算为49.46万元，决算数大于年初预算数的主要原因是：年中死亡抚恤奖金。</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3、农林水（类）农业农村（款）行政运行（项）。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年初预算为0万元，支出决算为60.11万元，决算数大于年初预算数的主要原因是：年底追加人员经费。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4、农林水（类）农业农村（款）机关服务（项）。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年初预算为819.15万元，支出决算为725.11万元，完成年初预算的88.52%，决算数小于年初预算数的主要原因是：机关服务资金年底有结余。</w:t>
      </w:r>
    </w:p>
    <w:p>
      <w:pPr>
        <w:pStyle w:val="16"/>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2023年度财政拨款基本支出922.92万元，其中：</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851.67万元，占基本支出的92.28%,主要包括基本工资、津贴补贴、奖金、伙食补助费、绩效工资、住房公积金、退休费、抚恤金等。</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71.25万元，占基本支出的7.72%，主要包括办公费、印刷费、劳务费、工会经费、其他交通费用等。</w:t>
      </w:r>
    </w:p>
    <w:p>
      <w:pPr>
        <w:pStyle w:val="16"/>
        <w:numPr>
          <w:ilvl w:val="0"/>
          <w:numId w:val="2"/>
        </w:numPr>
        <w:spacing w:line="600" w:lineRule="exact"/>
        <w:ind w:firstLine="640" w:firstLineChars="200"/>
        <w:rPr>
          <w:rFonts w:hAnsi="黑体"/>
          <w:bCs/>
          <w:sz w:val="32"/>
          <w:szCs w:val="32"/>
        </w:rPr>
      </w:pPr>
      <w:r>
        <w:rPr>
          <w:rFonts w:hint="eastAsia" w:hAnsi="黑体"/>
          <w:bCs/>
          <w:sz w:val="32"/>
          <w:szCs w:val="32"/>
        </w:rPr>
        <w:t>财政拨款三公经费支出决算情况说明</w:t>
      </w:r>
    </w:p>
    <w:p>
      <w:pPr>
        <w:pStyle w:val="16"/>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“三公”经费财政拨款支出预算为0.5万元，支出决算为0万元，完成预算的0%，决算数小于预算数的主要原因是本单位严格三公经费开支，与上年相比无增减。其中：</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因公出国（境）费支出预算为0万元，支出决算为0万元，与上年持平。</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公务接待费支出预算为0.50万元，支出决算为0万元，完成预算的0%，决算数小于预算数的主要原因是本单位严格三公经费开支，未发生公务接待事务，与上年相比无增减。</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公务用车购置费支出预算为0万元，支出决算为0元，与上年持平。</w:t>
      </w:r>
    </w:p>
    <w:p>
      <w:pPr>
        <w:pStyle w:val="16"/>
        <w:spacing w:line="600" w:lineRule="exact"/>
        <w:ind w:left="638" w:leftChars="304"/>
        <w:rPr>
          <w:rFonts w:ascii="楷体" w:hAnsi="楷体" w:eastAsia="楷体" w:cs="楷体"/>
          <w:b/>
          <w:sz w:val="32"/>
          <w:szCs w:val="32"/>
        </w:rPr>
      </w:pPr>
      <w:r>
        <w:rPr>
          <w:rFonts w:hint="eastAsia" w:ascii="Times New Roman" w:hAnsi="Times New Roman" w:eastAsia="仿宋_GB2312"/>
          <w:sz w:val="32"/>
          <w:szCs w:val="32"/>
        </w:rPr>
        <w:t>公务用车运行维护费支出预算为0万元，支出决算为0元，与上年持平。</w:t>
      </w:r>
      <w:r>
        <w:rPr>
          <w:rFonts w:hint="eastAsia" w:ascii="楷体" w:hAnsi="楷体" w:eastAsia="楷体" w:cs="楷体"/>
          <w:b/>
          <w:sz w:val="32"/>
          <w:szCs w:val="32"/>
        </w:rPr>
        <w:t>（二）“三公”经费财政拨款支出决算具体情况说明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2023年度“三公”经费财政拨款支出决算中，公务接待费支出决算0万元，因公出国（境）费支出决算0万元,公务用车购置费及运行维护费支出决算0万元。其中：</w:t>
      </w:r>
    </w:p>
    <w:p>
      <w:pPr>
        <w:pStyle w:val="16"/>
        <w:spacing w:line="600" w:lineRule="exact"/>
        <w:ind w:firstLine="800" w:firstLineChars="250"/>
        <w:rPr>
          <w:rFonts w:ascii="楷体" w:hAnsi="楷体" w:eastAsia="仿宋_GB2312" w:cs="楷体"/>
          <w:b/>
          <w:bCs/>
          <w:i/>
          <w:color w:val="auto"/>
          <w:sz w:val="32"/>
          <w:szCs w:val="32"/>
        </w:rPr>
      </w:pPr>
      <w:r>
        <w:rPr>
          <w:rFonts w:hint="eastAsia" w:ascii="Times New Roman" w:hAnsi="Times New Roman" w:eastAsia="仿宋_GB2312"/>
          <w:sz w:val="32"/>
          <w:szCs w:val="32"/>
        </w:rPr>
        <w:t>1、因公出国（境）费支出决算为0万元，全年安排因公出国（境）团组0个，累计0人次。</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2、公务接待费支出决算为0万元，全年共接待来访团组0个、来宾0人次。</w:t>
      </w:r>
    </w:p>
    <w:p>
      <w:pPr>
        <w:spacing w:line="600" w:lineRule="exact"/>
        <w:ind w:firstLine="800" w:firstLineChars="25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3、公务用车购置费及运行维护费支出决算为0万元，其中：公务用车购置费0万元，单位本级更新公务用车0辆。公务用车运行维护费0万元，截止2023年12月31日，我单位开支财政拨款的公务用车保有量为0辆。</w:t>
      </w:r>
    </w:p>
    <w:p>
      <w:pPr>
        <w:pStyle w:val="16"/>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6"/>
        <w:spacing w:line="600" w:lineRule="exact"/>
        <w:rPr>
          <w:rFonts w:ascii="Times New Roman" w:hAnsi="Times New Roman" w:eastAsia="仿宋_GB2312" w:cstheme="minorBidi"/>
          <w:color w:val="000000" w:themeColor="text1"/>
          <w:kern w:val="2"/>
          <w:sz w:val="32"/>
          <w:szCs w:val="32"/>
        </w:rPr>
      </w:pPr>
      <w:r>
        <w:rPr>
          <w:rFonts w:hint="eastAsia" w:ascii="Times New Roman" w:hAnsi="Times New Roman" w:eastAsia="仿宋_GB2312" w:cstheme="minorBidi"/>
          <w:color w:val="000000" w:themeColor="text1"/>
          <w:kern w:val="2"/>
          <w:sz w:val="32"/>
          <w:szCs w:val="32"/>
        </w:rPr>
        <w:t>本单位无政府性基金收支</w:t>
      </w:r>
    </w:p>
    <w:p>
      <w:pPr>
        <w:pStyle w:val="16"/>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本部门2023年度无机关运行经费支出。</w:t>
      </w:r>
    </w:p>
    <w:p>
      <w:pPr>
        <w:pStyle w:val="16"/>
        <w:spacing w:line="600" w:lineRule="exact"/>
        <w:ind w:firstLine="640" w:firstLineChars="200"/>
        <w:rPr>
          <w:rFonts w:hAnsi="黑体"/>
          <w:bCs/>
          <w:sz w:val="32"/>
          <w:szCs w:val="32"/>
        </w:rPr>
      </w:pPr>
      <w:r>
        <w:rPr>
          <w:rFonts w:hint="eastAsia" w:hAnsi="黑体"/>
          <w:bCs/>
          <w:sz w:val="32"/>
          <w:szCs w:val="32"/>
        </w:rPr>
        <w:t>十、一般性支出情况说明</w:t>
      </w:r>
    </w:p>
    <w:p>
      <w:pPr>
        <w:pStyle w:val="16"/>
        <w:spacing w:line="600" w:lineRule="exact"/>
        <w:ind w:firstLine="640" w:firstLineChars="200"/>
        <w:rPr>
          <w:rFonts w:ascii="楷体" w:hAnsi="楷体" w:eastAsia="楷体" w:cs="楷体"/>
          <w:b/>
          <w:bCs/>
          <w:i/>
          <w:color w:val="auto"/>
          <w:sz w:val="32"/>
          <w:szCs w:val="32"/>
        </w:rPr>
      </w:pPr>
      <w:r>
        <w:rPr>
          <w:rFonts w:hint="eastAsia" w:ascii="Times New Roman" w:hAnsi="Times New Roman" w:eastAsia="仿宋_GB2312"/>
          <w:sz w:val="32"/>
          <w:szCs w:val="32"/>
        </w:rPr>
        <w:t>2023年本部门开支会议费0万元；开支培训费0.42万元，用于开展事业单位工作人员培训费培训，人数21人，内容为事业单位工作人员培训费培训；未举办节庆、晚会、论坛、赛事活动。</w:t>
      </w:r>
    </w:p>
    <w:p>
      <w:pPr>
        <w:pStyle w:val="16"/>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6"/>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本部门2023年度政府采购支出总额0万元，其中：政府采购货物支出0万元、政府采购工程支出0万元、政府采购服务支出0万元。授予中小企业合同金额0万元，其中：授予小微企业合同金额0万元。</w:t>
      </w:r>
    </w:p>
    <w:p>
      <w:pPr>
        <w:pStyle w:val="16"/>
        <w:spacing w:line="580" w:lineRule="exact"/>
        <w:ind w:firstLine="640" w:firstLineChars="200"/>
        <w:rPr>
          <w:rFonts w:hAnsi="黑体"/>
          <w:bCs/>
          <w:color w:val="auto"/>
          <w:sz w:val="32"/>
          <w:szCs w:val="32"/>
        </w:rPr>
      </w:pPr>
      <w:r>
        <w:rPr>
          <w:rFonts w:hint="eastAsia" w:hAnsi="黑体"/>
          <w:bCs/>
          <w:color w:val="auto"/>
          <w:sz w:val="32"/>
          <w:szCs w:val="32"/>
        </w:rPr>
        <w:t>十二、关于国有资产占用情况说明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截至2023年12月31日，本单位共有车辆0辆，其中，主要领导干部用车0辆，机要通信用车0辆、应急保障用车0辆、执法执勤用车0辆、特种专业技术用车0辆、其他用车0辆；单位价值100万元以上专用设备1台（套）。</w:t>
      </w:r>
    </w:p>
    <w:p>
      <w:pPr>
        <w:pStyle w:val="16"/>
        <w:spacing w:line="580" w:lineRule="exact"/>
        <w:ind w:firstLine="640" w:firstLineChars="200"/>
        <w:rPr>
          <w:rFonts w:hAnsi="黑体"/>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pPr>
        <w:pStyle w:val="16"/>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（一）绩效管理工作开展情况</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按照“统一领导、分级管理；积极试点，稳步推进；程序规范，重点突出;客观公正，公开透明”的原则宣传绩效理念，培育绩效文化。基本构建起“预算编制有目标、预算执行有监控、预算完成有评价、评价结果有反馈、反馈结果有应用”的预算绩效管理机制和覆盖预算管理事前、事中、事后全过程的预算绩效管理体系，有效促进了财政资金使用绩效的提高。</w:t>
      </w:r>
    </w:p>
    <w:p>
      <w:pPr>
        <w:pStyle w:val="16"/>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（二）单位整体支出绩效情况</w:t>
      </w:r>
    </w:p>
    <w:p>
      <w:pPr>
        <w:ind w:firstLine="640" w:firstLineChars="200"/>
        <w:rPr>
          <w:rFonts w:ascii="仿宋" w:hAnsi="仿宋" w:eastAsia="仿宋" w:cs="仿宋_GB2312"/>
          <w:sz w:val="32"/>
          <w:szCs w:val="32"/>
        </w:rPr>
      </w:pPr>
      <w:r>
        <w:rPr>
          <w:rFonts w:hint="eastAsia" w:ascii="仿宋" w:hAnsi="仿宋" w:eastAsia="仿宋"/>
          <w:sz w:val="32"/>
          <w:szCs w:val="32"/>
        </w:rPr>
        <w:t>后勤服务中心紧紧围绕服务厅党组中心工作和服务机关干部职工的宗旨，立足本职，狠抓工作落实，圆满完成了年度工作任务。</w:t>
      </w:r>
      <w:r>
        <w:rPr>
          <w:rFonts w:hint="eastAsia" w:ascii="仿宋" w:hAnsi="仿宋" w:eastAsia="仿宋" w:cs="仿宋_GB2312"/>
          <w:sz w:val="32"/>
          <w:szCs w:val="32"/>
        </w:rPr>
        <w:t>根据《湖南省财政厅关于开展2023年度部门整体支出绩效自评工作的通知》相关规定，在基础数据分析及处理的基础上，后勤中心2023年度部门整体支出绩效评价综合得分为97.6分，其中预算执行率得分7.6分、产出指标类得分50分、效益指标类得分30分、满意度指标得分10分。主要绩效情况如下：</w:t>
      </w:r>
    </w:p>
    <w:p>
      <w:pPr>
        <w:pStyle w:val="22"/>
        <w:spacing w:line="360" w:lineRule="auto"/>
        <w:ind w:firstLine="640"/>
        <w:outlineLvl w:val="1"/>
        <w:rPr>
          <w:rFonts w:ascii="仿宋" w:hAnsi="仿宋" w:eastAsia="仿宋" w:cs="华文楷体"/>
          <w:b w:val="0"/>
          <w:bCs w:val="0"/>
        </w:rPr>
      </w:pPr>
      <w:r>
        <w:rPr>
          <w:rFonts w:hint="eastAsia" w:ascii="仿宋" w:hAnsi="仿宋" w:eastAsia="仿宋" w:cs="华文楷体"/>
          <w:b w:val="0"/>
          <w:bCs w:val="0"/>
        </w:rPr>
        <w:t>1、运行成本</w:t>
      </w:r>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2023年全年预算数1223.06万元，决算数929.21万元，预算执行率75.97%。</w:t>
      </w:r>
    </w:p>
    <w:p>
      <w:pPr>
        <w:pStyle w:val="23"/>
        <w:spacing w:line="360" w:lineRule="auto"/>
        <w:ind w:firstLine="643"/>
        <w:outlineLvl w:val="2"/>
        <w:rPr>
          <w:rFonts w:hint="default" w:ascii="仿宋" w:hAnsi="仿宋" w:eastAsia="仿宋" w:cs="仿宋_GB2312"/>
          <w:b w:val="0"/>
          <w:bCs w:val="0"/>
          <w:color w:val="auto"/>
        </w:rPr>
      </w:pPr>
      <w:r>
        <w:rPr>
          <w:rFonts w:ascii="仿宋" w:hAnsi="仿宋" w:eastAsia="仿宋" w:cs="华文楷体"/>
        </w:rPr>
        <w:t>2、</w:t>
      </w:r>
      <w:r>
        <w:rPr>
          <w:rFonts w:ascii="仿宋" w:hAnsi="仿宋" w:eastAsia="仿宋" w:cs="仿宋_GB2312"/>
          <w:b w:val="0"/>
          <w:bCs w:val="0"/>
          <w:color w:val="auto"/>
        </w:rPr>
        <w:t>管理效率</w:t>
      </w:r>
    </w:p>
    <w:p>
      <w:pPr>
        <w:pStyle w:val="24"/>
        <w:ind w:firstLine="640" w:firstLineChars="200"/>
        <w:rPr>
          <w:rFonts w:ascii="仿宋" w:hAnsi="仿宋" w:eastAsia="仿宋"/>
          <w:bCs/>
          <w:sz w:val="32"/>
          <w:szCs w:val="32"/>
        </w:rPr>
      </w:pPr>
      <w:r>
        <w:rPr>
          <w:rFonts w:ascii="仿宋" w:hAnsi="仿宋" w:eastAsia="仿宋" w:cs="仿宋_GB2312"/>
          <w:sz w:val="32"/>
          <w:szCs w:val="32"/>
        </w:rPr>
        <w:t>开展主题党日、工会老干活动等</w:t>
      </w:r>
      <w:r>
        <w:rPr>
          <w:rFonts w:hint="eastAsia" w:ascii="仿宋" w:hAnsi="仿宋" w:eastAsia="仿宋" w:cs="仿宋_GB2312"/>
          <w:sz w:val="32"/>
          <w:szCs w:val="32"/>
        </w:rPr>
        <w:t>6次以上，组织开展安全检查7次，组织</w:t>
      </w:r>
      <w:r>
        <w:rPr>
          <w:rFonts w:ascii="仿宋" w:hAnsi="仿宋" w:eastAsia="仿宋" w:cs="仿宋_GB2312"/>
          <w:sz w:val="32"/>
          <w:szCs w:val="32"/>
        </w:rPr>
        <w:t>消防培训演练</w:t>
      </w:r>
      <w:r>
        <w:rPr>
          <w:rFonts w:hint="eastAsia" w:ascii="仿宋" w:hAnsi="仿宋" w:eastAsia="仿宋" w:cs="仿宋_GB2312"/>
          <w:sz w:val="32"/>
          <w:szCs w:val="32"/>
        </w:rPr>
        <w:t>12次；</w:t>
      </w:r>
      <w:r>
        <w:rPr>
          <w:rFonts w:hint="eastAsia" w:ascii="仿宋" w:hAnsi="仿宋" w:eastAsia="仿宋"/>
          <w:bCs/>
          <w:sz w:val="32"/>
          <w:szCs w:val="32"/>
        </w:rPr>
        <w:t>为干部职工</w:t>
      </w:r>
      <w:r>
        <w:rPr>
          <w:rFonts w:hint="eastAsia" w:ascii="仿宋" w:hAnsi="仿宋" w:eastAsia="仿宋"/>
          <w:sz w:val="32"/>
          <w:szCs w:val="32"/>
        </w:rPr>
        <w:t>提供简易诊疗和健康咨询等服务</w:t>
      </w:r>
      <w:r>
        <w:rPr>
          <w:rFonts w:hint="eastAsia" w:ascii="仿宋" w:hAnsi="仿宋" w:eastAsia="仿宋"/>
          <w:bCs/>
          <w:sz w:val="32"/>
          <w:szCs w:val="32"/>
        </w:rPr>
        <w:t>，</w:t>
      </w:r>
      <w:r>
        <w:rPr>
          <w:rFonts w:hint="eastAsia" w:ascii="仿宋" w:hAnsi="仿宋" w:eastAsia="仿宋"/>
          <w:sz w:val="32"/>
          <w:szCs w:val="32"/>
        </w:rPr>
        <w:t>全年接诊1000人次，上门出诊及随队出诊86次</w:t>
      </w:r>
      <w:r>
        <w:rPr>
          <w:rFonts w:hint="eastAsia" w:ascii="仿宋" w:hAnsi="仿宋" w:eastAsia="仿宋"/>
          <w:bCs/>
          <w:sz w:val="32"/>
          <w:szCs w:val="32"/>
        </w:rPr>
        <w:t>。协助厅安委会做好机关大院信访维稳处突工作，全年</w:t>
      </w:r>
      <w:r>
        <w:rPr>
          <w:rFonts w:hint="eastAsia" w:ascii="仿宋" w:hAnsi="仿宋" w:eastAsia="仿宋"/>
          <w:sz w:val="32"/>
          <w:szCs w:val="32"/>
        </w:rPr>
        <w:t xml:space="preserve">有效引导劝导集体来访人员80批223人次，处置冲突事件4次，调解纠纷16起。 </w:t>
      </w:r>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3、履职效能，</w:t>
      </w:r>
      <w:r>
        <w:rPr>
          <w:rFonts w:hint="eastAsia" w:ascii="仿宋" w:hAnsi="仿宋" w:eastAsia="仿宋"/>
          <w:sz w:val="32"/>
          <w:szCs w:val="32"/>
        </w:rPr>
        <w:t>完善公物仓管理制度，建立资产台账，转移入仓资产20多件，报废处置8件，资产账面原值20多万元。</w:t>
      </w:r>
    </w:p>
    <w:p>
      <w:pPr>
        <w:pStyle w:val="2"/>
        <w:spacing w:line="360" w:lineRule="auto"/>
        <w:ind w:left="0" w:leftChars="0" w:firstLine="640"/>
        <w:rPr>
          <w:rFonts w:ascii="仿宋" w:hAnsi="仿宋" w:eastAsia="仿宋" w:cs="仿宋_GB2312"/>
          <w:sz w:val="32"/>
          <w:szCs w:val="32"/>
        </w:rPr>
      </w:pPr>
      <w:r>
        <w:rPr>
          <w:rFonts w:ascii="仿宋" w:hAnsi="仿宋" w:eastAsia="仿宋" w:cs="仿宋_GB2312"/>
          <w:sz w:val="32"/>
          <w:szCs w:val="32"/>
        </w:rPr>
        <w:t>加强机关职工餐卡管理，清理旧餐卡2816张，核实厅系统内部人员持卡983张，非系统人员持卡1833张。升级食堂消费系统，平稳解决旧消费系统中餐卡余额异常及实现新旧消费系统餐卡金额转接问题。</w:t>
      </w:r>
    </w:p>
    <w:p>
      <w:pPr>
        <w:pStyle w:val="2"/>
        <w:spacing w:line="360" w:lineRule="auto"/>
        <w:ind w:left="0" w:leftChars="0" w:firstLine="640"/>
        <w:rPr>
          <w:rFonts w:ascii="仿宋" w:hAnsi="仿宋" w:eastAsia="仿宋" w:cs="仿宋"/>
          <w:bCs/>
          <w:sz w:val="32"/>
          <w:szCs w:val="32"/>
        </w:rPr>
      </w:pPr>
      <w:r>
        <w:rPr>
          <w:rFonts w:hint="eastAsia" w:ascii="仿宋" w:hAnsi="仿宋" w:eastAsia="仿宋" w:cs="仿宋_GB2312"/>
          <w:sz w:val="32"/>
          <w:szCs w:val="32"/>
        </w:rPr>
        <w:t>高质量完成各类会议服务和接待工作，</w:t>
      </w:r>
      <w:r>
        <w:rPr>
          <w:rFonts w:hint="eastAsia" w:ascii="仿宋" w:hAnsi="仿宋" w:eastAsia="仿宋"/>
          <w:color w:val="000000"/>
          <w:sz w:val="32"/>
          <w:szCs w:val="32"/>
        </w:rPr>
        <w:t>认真</w:t>
      </w:r>
      <w:r>
        <w:rPr>
          <w:rFonts w:hint="eastAsia" w:ascii="仿宋" w:hAnsi="仿宋" w:eastAsia="仿宋" w:cs="仿宋"/>
          <w:sz w:val="32"/>
          <w:szCs w:val="32"/>
        </w:rPr>
        <w:t>做好厅机关日常会议服务工作，</w:t>
      </w:r>
      <w:r>
        <w:rPr>
          <w:rFonts w:hint="eastAsia" w:ascii="仿宋" w:hAnsi="仿宋" w:eastAsia="仿宋"/>
          <w:bCs/>
          <w:sz w:val="32"/>
          <w:szCs w:val="32"/>
        </w:rPr>
        <w:t>全年提供各种大、中、小型会议服务1093次</w:t>
      </w:r>
      <w:r>
        <w:rPr>
          <w:rFonts w:hint="eastAsia" w:ascii="仿宋" w:hAnsi="仿宋" w:eastAsia="仿宋" w:cs="仿宋"/>
          <w:bCs/>
          <w:sz w:val="32"/>
          <w:szCs w:val="32"/>
        </w:rPr>
        <w:t>，其中</w:t>
      </w:r>
      <w:r>
        <w:rPr>
          <w:rFonts w:hint="eastAsia" w:ascii="仿宋" w:hAnsi="仿宋" w:eastAsia="仿宋"/>
          <w:sz w:val="32"/>
          <w:szCs w:val="32"/>
        </w:rPr>
        <w:t>重大接待工作5次</w:t>
      </w:r>
      <w:r>
        <w:rPr>
          <w:rFonts w:hint="eastAsia" w:ascii="仿宋" w:hAnsi="仿宋" w:eastAsia="仿宋" w:cs="仿宋"/>
          <w:bCs/>
          <w:sz w:val="32"/>
          <w:szCs w:val="32"/>
        </w:rPr>
        <w:t>。</w:t>
      </w:r>
    </w:p>
    <w:p>
      <w:pPr>
        <w:pStyle w:val="2"/>
        <w:spacing w:line="360" w:lineRule="auto"/>
        <w:ind w:left="0" w:leftChars="0" w:firstLine="640"/>
        <w:rPr>
          <w:rFonts w:ascii="仿宋" w:hAnsi="仿宋" w:eastAsia="仿宋" w:cs="仿宋_GB2312"/>
          <w:sz w:val="32"/>
          <w:szCs w:val="32"/>
        </w:rPr>
      </w:pPr>
      <w:r>
        <w:rPr>
          <w:rFonts w:ascii="仿宋" w:hAnsi="仿宋" w:eastAsia="仿宋" w:cs="仿宋_GB2312"/>
          <w:sz w:val="32"/>
          <w:szCs w:val="32"/>
        </w:rPr>
        <w:t>完成2023年度厅机关新人住房补贴申报、公示及审批工作</w:t>
      </w:r>
    </w:p>
    <w:p>
      <w:pPr>
        <w:pStyle w:val="2"/>
        <w:spacing w:line="360" w:lineRule="auto"/>
        <w:ind w:left="0" w:leftChars="0" w:firstLine="640"/>
        <w:rPr>
          <w:rFonts w:ascii="仿宋" w:hAnsi="仿宋" w:eastAsia="仿宋"/>
          <w:sz w:val="32"/>
          <w:szCs w:val="32"/>
        </w:rPr>
      </w:pPr>
      <w:r>
        <w:rPr>
          <w:rFonts w:hint="eastAsia" w:ascii="仿宋" w:hAnsi="仿宋" w:eastAsia="仿宋" w:cs="仿宋_GB2312"/>
          <w:sz w:val="32"/>
          <w:szCs w:val="32"/>
        </w:rPr>
        <w:t>安全运行，实现公务车辆管理“全省一张网”，</w:t>
      </w:r>
      <w:r>
        <w:rPr>
          <w:rFonts w:hint="eastAsia" w:ascii="仿宋" w:hAnsi="仿宋" w:eastAsia="仿宋"/>
          <w:sz w:val="32"/>
          <w:szCs w:val="32"/>
        </w:rPr>
        <w:t>车辆用车信息管理平台，实现公务车辆管理“全省一张网”，全年网上派车1349次，安全运行22万公里。</w:t>
      </w:r>
    </w:p>
    <w:p>
      <w:pPr>
        <w:ind w:firstLine="640" w:firstLineChars="200"/>
        <w:rPr>
          <w:rFonts w:ascii="仿宋" w:hAnsi="仿宋" w:eastAsia="仿宋"/>
          <w:sz w:val="32"/>
          <w:szCs w:val="32"/>
        </w:rPr>
      </w:pPr>
      <w:r>
        <w:rPr>
          <w:rFonts w:ascii="仿宋" w:hAnsi="仿宋" w:eastAsia="仿宋" w:cs="仿宋_GB2312"/>
          <w:sz w:val="32"/>
          <w:szCs w:val="32"/>
        </w:rPr>
        <w:t>完成</w:t>
      </w:r>
      <w:r>
        <w:rPr>
          <w:rFonts w:hint="eastAsia" w:ascii="仿宋" w:hAnsi="仿宋" w:eastAsia="仿宋" w:cs="仿宋_GB2312"/>
          <w:sz w:val="32"/>
          <w:szCs w:val="32"/>
        </w:rPr>
        <w:t>东院、西院的维修、升级改造工作。</w:t>
      </w:r>
      <w:r>
        <w:rPr>
          <w:rFonts w:hint="eastAsia" w:ascii="仿宋" w:hAnsi="仿宋" w:eastAsia="仿宋"/>
          <w:sz w:val="32"/>
          <w:szCs w:val="32"/>
        </w:rPr>
        <w:t xml:space="preserve">全面完成河西机关二院北栋办公楼内部装修及强电、弱电、给排水及消防系统的维修改造工作。积极配合当地政府及社区开展厅机关东院提质改造，改善大院居住环境。协助省机关事务管理局完成食堂消防整改，按消防要求安装防火门，新建消防安全通道楼梯，更换燃气设施等。对公物仓屋顶进行防水维修改造，解决屋顶漏水问题。做好一办公楼小会议室、办公室及建筑外墙的维修改造。协助厅机关党委完成机关二办公楼楼道内党建宣传墙的拆除整改。为机关食堂与接待室更换光纤网线，增加1台6U机柜和1台交换机提高网速。认真做好机关中央空调、燃气锅炉、电梯等设电力、动力设备设施的维修维护，加强日常巡检，全年进行大小维修50多次，确保供电力及动力设备运行正常。 </w:t>
      </w:r>
    </w:p>
    <w:p/>
    <w:p>
      <w:pPr>
        <w:ind w:firstLine="640" w:firstLineChars="200"/>
        <w:rPr>
          <w:rFonts w:ascii="仿宋" w:hAnsi="仿宋" w:eastAsia="仿宋"/>
          <w:sz w:val="32"/>
          <w:szCs w:val="32"/>
        </w:rPr>
      </w:pPr>
      <w:r>
        <w:rPr>
          <w:rFonts w:hint="eastAsia" w:ascii="仿宋" w:hAnsi="仿宋" w:eastAsia="仿宋" w:cs="仿宋_GB2312"/>
          <w:sz w:val="32"/>
          <w:szCs w:val="32"/>
        </w:rPr>
        <w:t>4、社会效应。按时</w:t>
      </w:r>
      <w:r>
        <w:rPr>
          <w:rFonts w:ascii="仿宋" w:hAnsi="仿宋" w:eastAsia="仿宋" w:cs="仿宋_GB2312"/>
          <w:sz w:val="32"/>
          <w:szCs w:val="32"/>
        </w:rPr>
        <w:t>完成</w:t>
      </w:r>
      <w:r>
        <w:rPr>
          <w:rFonts w:hint="eastAsia" w:ascii="仿宋" w:hAnsi="仿宋" w:eastAsia="仿宋" w:cs="仿宋_GB2312"/>
          <w:sz w:val="32"/>
          <w:szCs w:val="32"/>
        </w:rPr>
        <w:t>厅主题教育领导小组下达的任务，</w:t>
      </w:r>
      <w:r>
        <w:rPr>
          <w:rFonts w:hint="eastAsia" w:ascii="仿宋" w:hAnsi="仿宋" w:eastAsia="仿宋"/>
          <w:sz w:val="32"/>
          <w:szCs w:val="32"/>
        </w:rPr>
        <w:t>按照厅党组工作部署安排，认真对照厅主题教育领导小组办公室下达的工作任务和时间表，紧跟节奏，细化实施方案，狠抓贯彻落实，按要求全面完成所有规定动作。4月25日，后勤行政党支部召开以案促改专题组织生活会， 把思想和行动迅速统一到省委和厅党组决策部署上来。5月赴</w:t>
      </w:r>
      <w:r>
        <w:rPr>
          <w:rFonts w:hint="eastAsia" w:ascii="仿宋" w:hAnsi="仿宋" w:eastAsia="仿宋" w:cs="仿宋"/>
          <w:sz w:val="32"/>
          <w:szCs w:val="32"/>
        </w:rPr>
        <w:t>永州市东安县古楼兰家村</w:t>
      </w:r>
      <w:r>
        <w:rPr>
          <w:rFonts w:hint="eastAsia" w:ascii="仿宋" w:hAnsi="仿宋" w:eastAsia="仿宋"/>
          <w:sz w:val="32"/>
          <w:szCs w:val="32"/>
        </w:rPr>
        <w:t>开展“走找想促”主题调研活动,</w:t>
      </w:r>
      <w:r>
        <w:rPr>
          <w:rFonts w:hint="eastAsia" w:ascii="仿宋" w:hAnsi="仿宋" w:eastAsia="仿宋" w:cs="仿宋"/>
          <w:sz w:val="32"/>
          <w:szCs w:val="32"/>
        </w:rPr>
        <w:t xml:space="preserve"> 为乡村发展把脉献计、建言献策。6月组织集中学习研讨，同全厅一起开展以案促改案情警示教育。7月下旬召开主题教育调研情况交流会，形成检视问题清单，全力推动问题整改。</w:t>
      </w:r>
      <w:r>
        <w:rPr>
          <w:rFonts w:hint="eastAsia" w:ascii="仿宋" w:hAnsi="仿宋" w:eastAsia="仿宋"/>
          <w:sz w:val="32"/>
          <w:szCs w:val="32"/>
        </w:rPr>
        <w:t>9月11日召开后勤主题教育专题组织生活会，对整改问题进行“回头看”，深化整改工作成果。</w:t>
      </w:r>
      <w:r>
        <w:rPr>
          <w:rFonts w:hint="eastAsia" w:ascii="仿宋" w:hAnsi="仿宋" w:eastAsia="仿宋" w:cs="仿宋"/>
          <w:sz w:val="32"/>
          <w:szCs w:val="32"/>
        </w:rPr>
        <w:t>9月15日，召开主题教育工作总结大会，并通过验收考核。</w:t>
      </w:r>
    </w:p>
    <w:p>
      <w:pPr>
        <w:pStyle w:val="22"/>
        <w:spacing w:line="360" w:lineRule="auto"/>
        <w:ind w:firstLine="640"/>
        <w:outlineLvl w:val="1"/>
        <w:rPr>
          <w:rFonts w:ascii="仿宋" w:hAnsi="仿宋" w:eastAsia="仿宋" w:cs="Times New Roman"/>
          <w:b w:val="0"/>
          <w:bCs w:val="0"/>
        </w:rPr>
      </w:pPr>
      <w:r>
        <w:rPr>
          <w:rFonts w:hint="eastAsia" w:ascii="仿宋" w:hAnsi="仿宋" w:eastAsia="仿宋" w:cs="Times New Roman"/>
          <w:b w:val="0"/>
          <w:bCs w:val="0"/>
        </w:rPr>
        <w:t>建立完善办公用房信息统计数据库，</w:t>
      </w:r>
      <w:r>
        <w:rPr>
          <w:rFonts w:hint="eastAsia" w:ascii="仿宋" w:hAnsi="仿宋" w:eastAsia="仿宋"/>
          <w:b w:val="0"/>
          <w:bCs w:val="0"/>
        </w:rPr>
        <w:t>加强办公用房信息化管理，</w:t>
      </w:r>
      <w:r>
        <w:rPr>
          <w:rFonts w:hint="eastAsia" w:ascii="仿宋" w:hAnsi="仿宋" w:eastAsia="仿宋" w:cs="Times New Roman"/>
          <w:b w:val="0"/>
          <w:bCs w:val="0"/>
        </w:rPr>
        <w:t>及时做好机关办公用房信息数据更新及上报。</w:t>
      </w:r>
    </w:p>
    <w:p>
      <w:pPr>
        <w:pStyle w:val="2"/>
        <w:spacing w:line="360" w:lineRule="auto"/>
        <w:ind w:left="0" w:leftChars="0" w:firstLine="640"/>
        <w:rPr>
          <w:rFonts w:ascii="仿宋" w:hAnsi="仿宋" w:eastAsia="仿宋" w:cs="仿宋_GB2312"/>
          <w:sz w:val="32"/>
          <w:szCs w:val="32"/>
        </w:rPr>
      </w:pPr>
      <w:r>
        <w:rPr>
          <w:rFonts w:hint="eastAsia" w:ascii="仿宋" w:hAnsi="仿宋" w:eastAsia="仿宋" w:cs="仿宋_GB2312"/>
          <w:sz w:val="32"/>
          <w:szCs w:val="32"/>
        </w:rPr>
        <w:t>5、可持续发展能力，</w:t>
      </w:r>
      <w:r>
        <w:rPr>
          <w:rFonts w:ascii="仿宋" w:hAnsi="仿宋" w:eastAsia="仿宋" w:cs="仿宋_GB2312"/>
          <w:sz w:val="32"/>
          <w:szCs w:val="32"/>
        </w:rPr>
        <w:t>积极开展节能降耗宣传培训，组织厅直单位节能降耗专项工作联络员参与云课堂学习培训3次，制作食堂反食品浪费宣传展板5块和发放宣传资料150份。强化节能指导，年内部署厅直单位广泛开展减塑限塑、垃圾分类与节水创建工作，督促省贺家山原种场、省工贸学校完成节能补助资金绩效自评，协助省水科所进行50万节能改造项目的资金申报。</w:t>
      </w:r>
    </w:p>
    <w:p>
      <w:pPr>
        <w:pStyle w:val="2"/>
        <w:spacing w:line="360" w:lineRule="auto"/>
        <w:ind w:firstLine="640"/>
        <w:rPr>
          <w:rFonts w:ascii="仿宋" w:hAnsi="仿宋" w:eastAsia="仿宋" w:cs="仿宋_GB2312"/>
          <w:sz w:val="32"/>
          <w:szCs w:val="32"/>
        </w:rPr>
      </w:pPr>
      <w:r>
        <w:rPr>
          <w:rFonts w:hint="eastAsia" w:ascii="仿宋" w:hAnsi="仿宋" w:eastAsia="仿宋" w:cs="仿宋_GB2312"/>
          <w:sz w:val="32"/>
          <w:szCs w:val="32"/>
        </w:rPr>
        <w:t>6、服务对象满意度。</w:t>
      </w:r>
    </w:p>
    <w:p>
      <w:pPr>
        <w:pStyle w:val="2"/>
        <w:spacing w:line="360" w:lineRule="auto"/>
        <w:ind w:firstLine="640"/>
        <w:rPr>
          <w:rFonts w:ascii="仿宋" w:hAnsi="仿宋" w:eastAsia="仿宋" w:cs="仿宋_GB2312"/>
          <w:sz w:val="32"/>
          <w:szCs w:val="32"/>
        </w:rPr>
      </w:pPr>
      <w:r>
        <w:rPr>
          <w:rFonts w:ascii="仿宋" w:hAnsi="仿宋" w:eastAsia="仿宋" w:cs="仿宋_GB2312"/>
          <w:sz w:val="32"/>
          <w:szCs w:val="32"/>
        </w:rPr>
        <w:t>社会公众或服务对象的满意程度</w:t>
      </w:r>
      <w:r>
        <w:rPr>
          <w:rFonts w:hint="eastAsia" w:ascii="仿宋" w:hAnsi="仿宋" w:eastAsia="仿宋" w:cs="仿宋_GB2312"/>
          <w:sz w:val="32"/>
          <w:szCs w:val="32"/>
        </w:rPr>
        <w:t>96%</w:t>
      </w:r>
    </w:p>
    <w:p>
      <w:pPr>
        <w:pStyle w:val="16"/>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全年预算执行率75.97%，预算执行率偏低的原因是年底下达事业单位人员经费，我单位年中已按参公单位标准发放，导致人员经费结余。</w:t>
      </w:r>
    </w:p>
    <w:p>
      <w:pPr>
        <w:pStyle w:val="16"/>
        <w:jc w:val="both"/>
        <w:rPr>
          <w:sz w:val="72"/>
          <w:szCs w:val="72"/>
        </w:rPr>
      </w:pPr>
    </w:p>
    <w:p>
      <w:pPr>
        <w:pStyle w:val="16"/>
        <w:jc w:val="center"/>
        <w:rPr>
          <w:sz w:val="72"/>
          <w:szCs w:val="72"/>
        </w:rPr>
      </w:pPr>
    </w:p>
    <w:p>
      <w:pPr>
        <w:pStyle w:val="16"/>
        <w:jc w:val="center"/>
        <w:rPr>
          <w:sz w:val="72"/>
          <w:szCs w:val="72"/>
        </w:rPr>
      </w:pPr>
    </w:p>
    <w:p>
      <w:pPr>
        <w:pStyle w:val="16"/>
        <w:jc w:val="both"/>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numPr>
          <w:ilvl w:val="0"/>
          <w:numId w:val="3"/>
        </w:numPr>
        <w:ind w:firstLine="640" w:firstLineChars="200"/>
        <w:jc w:val="left"/>
        <w:rPr>
          <w:rFonts w:ascii="仿宋" w:hAnsi="仿宋" w:eastAsia="仿宋" w:cs="黑体"/>
          <w:bCs/>
          <w:color w:val="000000"/>
          <w:kern w:val="0"/>
          <w:sz w:val="32"/>
          <w:szCs w:val="32"/>
        </w:rPr>
      </w:pPr>
      <w:r>
        <w:rPr>
          <w:rFonts w:hint="eastAsia" w:ascii="仿宋" w:hAnsi="仿宋" w:eastAsia="仿宋" w:cs="黑体"/>
          <w:bCs/>
          <w:color w:val="000000"/>
          <w:kern w:val="0"/>
          <w:sz w:val="32"/>
          <w:szCs w:val="32"/>
        </w:rPr>
        <w:t>基本支出：指为保障机构正常运转、完成日常工作任务而发生的各项支出，包括人员支出和公用支出。</w:t>
      </w:r>
    </w:p>
    <w:p>
      <w:pPr>
        <w:numPr>
          <w:ilvl w:val="0"/>
          <w:numId w:val="3"/>
        </w:numPr>
        <w:ind w:firstLine="640" w:firstLineChars="200"/>
        <w:jc w:val="left"/>
        <w:rPr>
          <w:rFonts w:ascii="仿宋" w:hAnsi="仿宋" w:eastAsia="仿宋" w:cs="黑体"/>
          <w:bCs/>
          <w:color w:val="000000"/>
          <w:kern w:val="0"/>
          <w:sz w:val="32"/>
          <w:szCs w:val="32"/>
        </w:rPr>
      </w:pPr>
      <w:r>
        <w:rPr>
          <w:rFonts w:hint="eastAsia" w:ascii="仿宋" w:hAnsi="仿宋" w:eastAsia="仿宋" w:cs="黑体"/>
          <w:bCs/>
          <w:color w:val="000000"/>
          <w:kern w:val="0"/>
          <w:sz w:val="32"/>
          <w:szCs w:val="32"/>
        </w:rPr>
        <w:t xml:space="preserve">项目支出：指在基本支出以外为完成相关行政任务和事业发展目标所发生的各项支出。 </w:t>
      </w:r>
    </w:p>
    <w:p>
      <w:pPr>
        <w:pStyle w:val="16"/>
        <w:ind w:firstLine="640" w:firstLineChars="200"/>
        <w:rPr>
          <w:sz w:val="72"/>
          <w:szCs w:val="72"/>
        </w:rPr>
      </w:pPr>
      <w:r>
        <w:rPr>
          <w:rFonts w:hint="eastAsia" w:ascii="仿宋" w:hAnsi="仿宋" w:eastAsia="仿宋"/>
          <w:bCs/>
          <w:sz w:val="32"/>
          <w:szCs w:val="32"/>
        </w:rPr>
        <w:t>三、“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pStyle w:val="16"/>
        <w:jc w:val="center"/>
        <w:rPr>
          <w:sz w:val="72"/>
          <w:szCs w:val="72"/>
        </w:rPr>
      </w:pPr>
    </w:p>
    <w:p>
      <w:pPr>
        <w:rPr>
          <w:sz w:val="72"/>
          <w:szCs w:val="72"/>
        </w:rPr>
      </w:pPr>
      <w:r>
        <w:rPr>
          <w:sz w:val="72"/>
          <w:szCs w:val="72"/>
        </w:rPr>
        <w:br w:type="page"/>
      </w: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第五部分</w:t>
      </w:r>
    </w:p>
    <w:p>
      <w:pPr>
        <w:pStyle w:val="16"/>
        <w:jc w:val="center"/>
        <w:rPr>
          <w:rFonts w:ascii="方正小标宋_GBK" w:hAnsi="方正小标宋_GBK" w:eastAsia="方正小标宋_GBK" w:cs="方正小标宋_GBK"/>
          <w:sz w:val="70"/>
          <w:szCs w:val="70"/>
        </w:rPr>
      </w:pPr>
    </w:p>
    <w:p>
      <w:pPr>
        <w:pStyle w:val="16"/>
        <w:jc w:val="center"/>
        <w:rPr>
          <w:sz w:val="72"/>
          <w:szCs w:val="72"/>
        </w:rPr>
      </w:pPr>
      <w:r>
        <w:rPr>
          <w:rFonts w:hint="eastAsia" w:ascii="方正小标宋_GBK" w:hAnsi="方正小标宋_GBK" w:eastAsia="方正小标宋_GBK" w:cs="方正小标宋_GBK"/>
          <w:sz w:val="70"/>
          <w:szCs w:val="70"/>
        </w:rPr>
        <w:t>附件</w:t>
      </w:r>
    </w:p>
    <w:p>
      <w:pPr>
        <w:rPr>
          <w:sz w:val="72"/>
          <w:szCs w:val="72"/>
        </w:rPr>
      </w:pPr>
      <w:r>
        <w:rPr>
          <w:sz w:val="72"/>
          <w:szCs w:val="72"/>
        </w:rPr>
        <w:br w:type="page"/>
      </w:r>
    </w:p>
    <w:p>
      <w:pPr>
        <w:pStyle w:val="16"/>
        <w:spacing w:line="600" w:lineRule="exact"/>
        <w:ind w:firstLine="640" w:firstLineChars="200"/>
        <w:rPr>
          <w:rFonts w:ascii="Times New Roman" w:hAnsi="Times New Roman" w:eastAsia="仿宋_GB2312"/>
          <w:sz w:val="32"/>
          <w:szCs w:val="32"/>
        </w:rPr>
      </w:pPr>
      <w:r>
        <w:rPr>
          <w:rFonts w:hint="eastAsia" w:ascii="楷体" w:hAnsi="楷体" w:eastAsia="楷体" w:cs="楷体"/>
          <w:b/>
          <w:bCs/>
          <w:sz w:val="32"/>
          <w:szCs w:val="32"/>
        </w:rPr>
        <w:t>一、</w:t>
      </w:r>
      <w:r>
        <w:rPr>
          <w:rFonts w:hint="eastAsia" w:ascii="Times New Roman" w:hAnsi="Times New Roman" w:eastAsia="仿宋_GB2312"/>
          <w:sz w:val="32"/>
          <w:szCs w:val="32"/>
        </w:rPr>
        <w:t>2023年度单位</w:t>
      </w:r>
      <w:bookmarkStart w:id="5" w:name="_GoBack"/>
      <w:bookmarkEnd w:id="5"/>
      <w:r>
        <w:rPr>
          <w:rFonts w:hint="eastAsia" w:ascii="Times New Roman" w:hAnsi="Times New Roman" w:eastAsia="仿宋_GB2312"/>
          <w:sz w:val="32"/>
          <w:szCs w:val="32"/>
        </w:rPr>
        <w:t>整体支出绩效自评报告。</w:t>
      </w:r>
    </w:p>
    <w:p>
      <w:pPr>
        <w:pStyle w:val="4"/>
        <w:spacing w:line="360" w:lineRule="auto"/>
        <w:rPr>
          <w:spacing w:val="-8"/>
        </w:rPr>
      </w:pPr>
      <w:r>
        <w:rPr>
          <w:rFonts w:hint="eastAsia"/>
          <w:spacing w:val="-8"/>
        </w:rPr>
        <w:t>2023</w:t>
      </w:r>
      <w:r>
        <w:rPr>
          <w:spacing w:val="-8"/>
        </w:rPr>
        <w:t>年度</w:t>
      </w:r>
      <w:r>
        <w:rPr>
          <w:rFonts w:hint="eastAsia"/>
          <w:spacing w:val="-8"/>
        </w:rPr>
        <w:t>湖南</w:t>
      </w:r>
      <w:r>
        <w:rPr>
          <w:spacing w:val="-8"/>
        </w:rPr>
        <w:t>省</w:t>
      </w:r>
      <w:r>
        <w:rPr>
          <w:rFonts w:hint="eastAsia"/>
          <w:spacing w:val="-8"/>
        </w:rPr>
        <w:t>农业农村厅机关后勤服务中心</w:t>
      </w:r>
      <w:r>
        <w:rPr>
          <w:spacing w:val="-8"/>
        </w:rPr>
        <w:t>整体支出绩效自评报告</w:t>
      </w:r>
    </w:p>
    <w:p>
      <w:pPr>
        <w:pStyle w:val="5"/>
        <w:spacing w:line="360" w:lineRule="auto"/>
        <w:ind w:firstLine="640"/>
      </w:pPr>
    </w:p>
    <w:p>
      <w:pPr>
        <w:pStyle w:val="5"/>
        <w:numPr>
          <w:ilvl w:val="0"/>
          <w:numId w:val="4"/>
        </w:numPr>
        <w:spacing w:line="360" w:lineRule="auto"/>
        <w:ind w:firstLine="640"/>
        <w:rPr>
          <w:rFonts w:ascii="仿宋" w:hAnsi="仿宋" w:eastAsia="仿宋" w:cs="华文细黑"/>
          <w:sz w:val="32"/>
        </w:rPr>
      </w:pPr>
      <w:r>
        <w:rPr>
          <w:rFonts w:hint="eastAsia" w:ascii="仿宋" w:hAnsi="仿宋" w:eastAsia="仿宋" w:cs="华文细黑"/>
          <w:sz w:val="32"/>
        </w:rPr>
        <w:t>单位基本情况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1.主要职能。</w:t>
      </w:r>
    </w:p>
    <w:p>
      <w:pPr>
        <w:snapToGrid w:val="0"/>
        <w:spacing w:line="520" w:lineRule="exact"/>
        <w:ind w:firstLine="640" w:firstLineChars="200"/>
        <w:rPr>
          <w:rFonts w:ascii="仿宋" w:hAnsi="仿宋" w:eastAsia="仿宋"/>
          <w:sz w:val="32"/>
          <w:szCs w:val="32"/>
        </w:rPr>
      </w:pPr>
      <w:r>
        <w:rPr>
          <w:rFonts w:hint="eastAsia" w:ascii="仿宋" w:hAnsi="仿宋" w:eastAsia="仿宋"/>
          <w:sz w:val="32"/>
          <w:szCs w:val="32"/>
        </w:rPr>
        <w:t>省农业农村厅机关后勤服务中心成立于1996年，是全额拨款事业单位，级别正处级。后勤中心是为厅机关服务并作为农业农村厅的一个窗口与外界各部门、机构进行工作衔接，后勤中心下设行政科、财务科、保卫科、动力科、机关车队、医务室、机关食堂、电工班等部门负责机关后勤的各项具体工作。其主要负责对厅机关交给后勤中心保管、使用的房屋、公用设施、专用设备等进行管理、维护、维修，使用其为厅机关院内住户提供后勤保障服务，保证机关大院的正常工作和生活次序；按照厅党组的委托及授权，负责与当地各级政府部门进行工作衔接；后勤的工作职能决定其代表农业农村厅与省、市、区、社区等地方政府各职能部门进行工作联系，（计生办、治安联防、卫生防疫、园林绿化、节能节水、电力、税务、审计、国土局、消防、环保、文物局、防雷办、白蚁防治办、血防办、残联、街道办、爱卫会、文明办、居委会等等）并接受当地各级政府职能部门的管理、监督、检查。</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2．人员情况，中心编制21人，现有</w:t>
      </w:r>
      <w:r>
        <w:rPr>
          <w:rFonts w:hint="eastAsia" w:ascii="仿宋" w:hAnsi="仿宋" w:eastAsia="仿宋"/>
          <w:sz w:val="32"/>
          <w:szCs w:val="32"/>
        </w:rPr>
        <w:t>在职人数19人、退休人数56人</w:t>
      </w:r>
      <w:r>
        <w:rPr>
          <w:rFonts w:hint="eastAsia" w:ascii="仿宋" w:hAnsi="仿宋" w:eastAsia="仿宋" w:cs="仿宋_GB2312"/>
          <w:sz w:val="32"/>
          <w:szCs w:val="32"/>
        </w:rPr>
        <w:t>。</w:t>
      </w:r>
    </w:p>
    <w:p>
      <w:pPr>
        <w:pStyle w:val="5"/>
        <w:spacing w:line="360" w:lineRule="auto"/>
        <w:ind w:firstLine="640"/>
        <w:rPr>
          <w:rFonts w:ascii="仿宋" w:hAnsi="仿宋" w:eastAsia="仿宋" w:cs="华文细黑"/>
          <w:sz w:val="32"/>
        </w:rPr>
      </w:pPr>
      <w:r>
        <w:rPr>
          <w:rFonts w:hint="eastAsia" w:ascii="仿宋" w:hAnsi="仿宋" w:eastAsia="仿宋" w:cs="华文细黑"/>
          <w:sz w:val="32"/>
        </w:rPr>
        <w:t>二、一般公共预算支出情况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（一）基本支出情况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2023年度基本支出预算1217.06万元，基本支出决算数为923.21万元。其中人员经费851.96万元、日常公用经费71.25万元。本年基本支出结余42.05万元。</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（二）项目支出情况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2023年度项目支出年初结余6万元，全年项目支出预算数为6万元。</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项目支出决算数为6万元，年末结余0万元。其中支行维护专项6万元，主要用于社区联防支出。</w:t>
      </w:r>
    </w:p>
    <w:p>
      <w:pPr>
        <w:pStyle w:val="5"/>
        <w:spacing w:line="360" w:lineRule="auto"/>
        <w:ind w:firstLine="640"/>
        <w:rPr>
          <w:rFonts w:ascii="仿宋" w:hAnsi="仿宋" w:eastAsia="仿宋" w:cs="华文细黑"/>
          <w:sz w:val="32"/>
        </w:rPr>
      </w:pPr>
      <w:r>
        <w:rPr>
          <w:rFonts w:hint="eastAsia" w:ascii="仿宋" w:hAnsi="仿宋" w:eastAsia="仿宋" w:cs="华文细黑"/>
          <w:sz w:val="32"/>
        </w:rPr>
        <w:t>三、部门整体支出绩效情况</w:t>
      </w:r>
    </w:p>
    <w:p>
      <w:pPr>
        <w:ind w:firstLine="640" w:firstLineChars="200"/>
        <w:rPr>
          <w:rFonts w:ascii="仿宋" w:hAnsi="仿宋" w:eastAsia="仿宋" w:cs="仿宋_GB2312"/>
          <w:sz w:val="32"/>
          <w:szCs w:val="32"/>
        </w:rPr>
      </w:pPr>
      <w:r>
        <w:rPr>
          <w:rFonts w:hint="eastAsia" w:ascii="仿宋" w:hAnsi="仿宋" w:eastAsia="仿宋"/>
          <w:sz w:val="32"/>
          <w:szCs w:val="32"/>
        </w:rPr>
        <w:t>后勤服务中心紧紧围绕服务厅党组中心工作和服务机关干部职工的宗旨，立足本职，狠抓工作落实，圆满完成了年度工作任务。</w:t>
      </w:r>
      <w:r>
        <w:rPr>
          <w:rFonts w:hint="eastAsia" w:ascii="仿宋" w:hAnsi="仿宋" w:eastAsia="仿宋" w:cs="仿宋_GB2312"/>
          <w:sz w:val="32"/>
          <w:szCs w:val="32"/>
        </w:rPr>
        <w:t>根据《湖南省财政厅关于开展2023年度部门整体支出绩效自评工作的通知》相关规定，在基础数据分析及处理的基础上，后勤中心2023年度部门整体支出绩效评价综合得分为97.6分，其中预算执行率得分7.6分、产出指标类得分50分、效益指标类得分30分、满意度指标得分10分。主要绩效情况如下：</w:t>
      </w:r>
    </w:p>
    <w:p>
      <w:pPr>
        <w:pStyle w:val="22"/>
        <w:spacing w:line="360" w:lineRule="auto"/>
        <w:outlineLvl w:val="1"/>
        <w:rPr>
          <w:rFonts w:ascii="仿宋" w:hAnsi="仿宋" w:eastAsia="仿宋" w:cs="华文楷体"/>
        </w:rPr>
      </w:pPr>
      <w:bookmarkStart w:id="2" w:name="_Toc15543"/>
      <w:r>
        <w:rPr>
          <w:rFonts w:hint="eastAsia" w:ascii="仿宋" w:hAnsi="仿宋" w:eastAsia="仿宋" w:cs="华文楷体"/>
        </w:rPr>
        <w:t>（一）预算执行情况</w:t>
      </w:r>
      <w:bookmarkEnd w:id="2"/>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2023年全年预算数1223.06万元，决算数929.21万元，预算执行率75.97%。故该指标得分为7.60分。</w:t>
      </w:r>
    </w:p>
    <w:p>
      <w:pPr>
        <w:pStyle w:val="22"/>
        <w:spacing w:line="360" w:lineRule="auto"/>
        <w:outlineLvl w:val="1"/>
        <w:rPr>
          <w:rFonts w:ascii="仿宋" w:hAnsi="仿宋" w:eastAsia="仿宋" w:cs="华文楷体"/>
        </w:rPr>
      </w:pPr>
      <w:bookmarkStart w:id="3" w:name="_Toc30959"/>
      <w:r>
        <w:rPr>
          <w:rFonts w:hint="eastAsia" w:ascii="仿宋" w:hAnsi="仿宋" w:eastAsia="仿宋" w:cs="华文楷体"/>
        </w:rPr>
        <w:t>（二）产出指标绩效情况</w:t>
      </w:r>
      <w:bookmarkEnd w:id="3"/>
    </w:p>
    <w:p>
      <w:pPr>
        <w:pStyle w:val="23"/>
        <w:spacing w:line="360" w:lineRule="auto"/>
        <w:outlineLvl w:val="2"/>
        <w:rPr>
          <w:rFonts w:hint="default" w:ascii="仿宋" w:hAnsi="仿宋" w:eastAsia="仿宋" w:cs="仿宋_GB2312"/>
          <w:b w:val="0"/>
          <w:bCs w:val="0"/>
          <w:color w:val="auto"/>
        </w:rPr>
      </w:pPr>
      <w:bookmarkStart w:id="4" w:name="_Toc6959"/>
      <w:r>
        <w:rPr>
          <w:rFonts w:ascii="仿宋" w:hAnsi="仿宋" w:eastAsia="仿宋" w:cs="仿宋_GB2312"/>
          <w:b w:val="0"/>
          <w:bCs w:val="0"/>
          <w:color w:val="auto"/>
        </w:rPr>
        <w:t>1、数量指标</w:t>
      </w:r>
      <w:bookmarkEnd w:id="4"/>
    </w:p>
    <w:p>
      <w:pPr>
        <w:pStyle w:val="24"/>
        <w:ind w:firstLine="640" w:firstLineChars="200"/>
        <w:rPr>
          <w:rFonts w:ascii="仿宋" w:hAnsi="仿宋" w:eastAsia="仿宋"/>
          <w:bCs/>
          <w:sz w:val="32"/>
          <w:szCs w:val="32"/>
        </w:rPr>
      </w:pPr>
      <w:r>
        <w:rPr>
          <w:rFonts w:ascii="仿宋" w:hAnsi="仿宋" w:eastAsia="仿宋" w:cs="仿宋_GB2312"/>
          <w:sz w:val="32"/>
          <w:szCs w:val="32"/>
        </w:rPr>
        <w:t>开展主题党日、工会老干活动等</w:t>
      </w:r>
      <w:r>
        <w:rPr>
          <w:rFonts w:hint="eastAsia" w:ascii="仿宋" w:hAnsi="仿宋" w:eastAsia="仿宋" w:cs="仿宋_GB2312"/>
          <w:sz w:val="32"/>
          <w:szCs w:val="32"/>
        </w:rPr>
        <w:t>6次以上，组织开展安全检查7次，组织</w:t>
      </w:r>
      <w:r>
        <w:rPr>
          <w:rFonts w:ascii="仿宋" w:hAnsi="仿宋" w:eastAsia="仿宋" w:cs="仿宋_GB2312"/>
          <w:sz w:val="32"/>
          <w:szCs w:val="32"/>
        </w:rPr>
        <w:t>消防培训演练</w:t>
      </w:r>
      <w:r>
        <w:rPr>
          <w:rFonts w:hint="eastAsia" w:ascii="仿宋" w:hAnsi="仿宋" w:eastAsia="仿宋" w:cs="仿宋_GB2312"/>
          <w:sz w:val="32"/>
          <w:szCs w:val="32"/>
        </w:rPr>
        <w:t>12次；</w:t>
      </w:r>
      <w:r>
        <w:rPr>
          <w:rFonts w:hint="eastAsia" w:ascii="仿宋" w:hAnsi="仿宋" w:eastAsia="仿宋"/>
          <w:bCs/>
          <w:sz w:val="32"/>
          <w:szCs w:val="32"/>
        </w:rPr>
        <w:t>为干部职工</w:t>
      </w:r>
      <w:r>
        <w:rPr>
          <w:rFonts w:hint="eastAsia" w:ascii="仿宋" w:hAnsi="仿宋" w:eastAsia="仿宋"/>
          <w:sz w:val="32"/>
          <w:szCs w:val="32"/>
        </w:rPr>
        <w:t>提供简易诊疗和健康咨询等服务</w:t>
      </w:r>
      <w:r>
        <w:rPr>
          <w:rFonts w:hint="eastAsia" w:ascii="仿宋" w:hAnsi="仿宋" w:eastAsia="仿宋"/>
          <w:bCs/>
          <w:sz w:val="32"/>
          <w:szCs w:val="32"/>
        </w:rPr>
        <w:t>，</w:t>
      </w:r>
      <w:r>
        <w:rPr>
          <w:rFonts w:hint="eastAsia" w:ascii="仿宋" w:hAnsi="仿宋" w:eastAsia="仿宋"/>
          <w:sz w:val="32"/>
          <w:szCs w:val="32"/>
        </w:rPr>
        <w:t>全年接诊1000人次，上门出诊及随队出诊86次</w:t>
      </w:r>
      <w:r>
        <w:rPr>
          <w:rFonts w:hint="eastAsia" w:ascii="仿宋" w:hAnsi="仿宋" w:eastAsia="仿宋"/>
          <w:bCs/>
          <w:sz w:val="32"/>
          <w:szCs w:val="32"/>
        </w:rPr>
        <w:t>。协助厅安委会做好机关大院信访维稳处突工作，全年</w:t>
      </w:r>
      <w:r>
        <w:rPr>
          <w:rFonts w:hint="eastAsia" w:ascii="仿宋" w:hAnsi="仿宋" w:eastAsia="仿宋"/>
          <w:sz w:val="32"/>
          <w:szCs w:val="32"/>
        </w:rPr>
        <w:t xml:space="preserve">有效引导劝导集体来访人员80批223人次，处置冲突事件4次，调解纠纷16起。 </w:t>
      </w:r>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2、质量指标</w:t>
      </w:r>
    </w:p>
    <w:p>
      <w:pPr>
        <w:pStyle w:val="2"/>
        <w:spacing w:line="360" w:lineRule="auto"/>
        <w:ind w:firstLine="640"/>
        <w:rPr>
          <w:rFonts w:ascii="仿宋" w:hAnsi="仿宋" w:eastAsia="仿宋" w:cs="仿宋_GB2312"/>
          <w:sz w:val="32"/>
          <w:szCs w:val="32"/>
        </w:rPr>
      </w:pPr>
      <w:r>
        <w:rPr>
          <w:rFonts w:hint="eastAsia" w:ascii="仿宋" w:hAnsi="仿宋" w:eastAsia="仿宋"/>
          <w:sz w:val="32"/>
          <w:szCs w:val="32"/>
        </w:rPr>
        <w:t>完善公物仓管理制度，建立资产台账，转移入仓资产20多件，报废处置8件，资产账面原值20多万元。</w:t>
      </w:r>
    </w:p>
    <w:p>
      <w:pPr>
        <w:pStyle w:val="2"/>
        <w:spacing w:line="360" w:lineRule="auto"/>
        <w:ind w:firstLine="640"/>
        <w:rPr>
          <w:rFonts w:ascii="仿宋" w:hAnsi="仿宋" w:eastAsia="仿宋" w:cs="仿宋_GB2312"/>
          <w:sz w:val="32"/>
          <w:szCs w:val="32"/>
        </w:rPr>
      </w:pPr>
      <w:r>
        <w:rPr>
          <w:rFonts w:ascii="仿宋" w:hAnsi="仿宋" w:eastAsia="仿宋" w:cs="仿宋_GB2312"/>
          <w:sz w:val="32"/>
          <w:szCs w:val="32"/>
        </w:rPr>
        <w:t>加强机关职工餐卡管理，清理旧餐卡2816张，核实厅系统内部人员持卡983张，非系统人员持卡1833张。升级食堂消费系统，平稳解决旧消费系统中餐卡余额异常及实现新旧消费系统餐卡金额转接问题。</w:t>
      </w:r>
    </w:p>
    <w:p>
      <w:pPr>
        <w:pStyle w:val="2"/>
        <w:spacing w:line="360" w:lineRule="auto"/>
        <w:ind w:firstLine="640"/>
        <w:rPr>
          <w:rFonts w:ascii="仿宋" w:hAnsi="仿宋" w:eastAsia="仿宋" w:cs="仿宋_GB2312"/>
          <w:sz w:val="32"/>
          <w:szCs w:val="32"/>
        </w:rPr>
      </w:pPr>
      <w:r>
        <w:rPr>
          <w:rFonts w:hint="eastAsia" w:ascii="仿宋" w:hAnsi="仿宋" w:eastAsia="仿宋" w:cs="仿宋_GB2312"/>
          <w:sz w:val="32"/>
          <w:szCs w:val="32"/>
        </w:rPr>
        <w:t>高质量完成各类会议服务和接待工作，</w:t>
      </w:r>
      <w:r>
        <w:rPr>
          <w:rFonts w:hint="eastAsia" w:ascii="仿宋" w:hAnsi="仿宋" w:eastAsia="仿宋"/>
          <w:color w:val="000000"/>
          <w:sz w:val="32"/>
          <w:szCs w:val="32"/>
        </w:rPr>
        <w:t>认真</w:t>
      </w:r>
      <w:r>
        <w:rPr>
          <w:rFonts w:hint="eastAsia" w:ascii="仿宋" w:hAnsi="仿宋" w:eastAsia="仿宋" w:cs="仿宋"/>
          <w:sz w:val="32"/>
          <w:szCs w:val="32"/>
        </w:rPr>
        <w:t>做好厅机关日常会议服务工作，</w:t>
      </w:r>
      <w:r>
        <w:rPr>
          <w:rFonts w:hint="eastAsia" w:ascii="仿宋" w:hAnsi="仿宋" w:eastAsia="仿宋"/>
          <w:bCs/>
          <w:sz w:val="32"/>
          <w:szCs w:val="32"/>
        </w:rPr>
        <w:t>全年提供各种大、中、小型会议服务1093次</w:t>
      </w:r>
      <w:r>
        <w:rPr>
          <w:rFonts w:hint="eastAsia" w:ascii="仿宋" w:hAnsi="仿宋" w:eastAsia="仿宋" w:cs="仿宋"/>
          <w:bCs/>
          <w:sz w:val="32"/>
          <w:szCs w:val="32"/>
        </w:rPr>
        <w:t>，其中</w:t>
      </w:r>
      <w:r>
        <w:rPr>
          <w:rFonts w:hint="eastAsia" w:ascii="仿宋" w:hAnsi="仿宋" w:eastAsia="仿宋"/>
          <w:sz w:val="32"/>
          <w:szCs w:val="32"/>
        </w:rPr>
        <w:t>重大接待工作5次</w:t>
      </w:r>
      <w:r>
        <w:rPr>
          <w:rFonts w:hint="eastAsia" w:ascii="仿宋" w:hAnsi="仿宋" w:eastAsia="仿宋" w:cs="仿宋"/>
          <w:bCs/>
          <w:sz w:val="32"/>
          <w:szCs w:val="32"/>
        </w:rPr>
        <w:t>。</w:t>
      </w:r>
    </w:p>
    <w:p>
      <w:pPr>
        <w:pStyle w:val="2"/>
        <w:numPr>
          <w:ilvl w:val="0"/>
          <w:numId w:val="5"/>
        </w:numPr>
        <w:spacing w:line="360" w:lineRule="auto"/>
        <w:ind w:left="420" w:firstLine="640"/>
        <w:rPr>
          <w:rFonts w:ascii="仿宋" w:hAnsi="仿宋" w:eastAsia="仿宋" w:cs="仿宋_GB2312"/>
          <w:sz w:val="32"/>
          <w:szCs w:val="32"/>
        </w:rPr>
      </w:pPr>
      <w:r>
        <w:rPr>
          <w:rFonts w:hint="eastAsia" w:ascii="仿宋" w:hAnsi="仿宋" w:eastAsia="仿宋" w:cs="仿宋_GB2312"/>
          <w:sz w:val="32"/>
          <w:szCs w:val="32"/>
        </w:rPr>
        <w:t>时效指标</w:t>
      </w:r>
    </w:p>
    <w:p>
      <w:pPr>
        <w:ind w:firstLine="640" w:firstLineChars="200"/>
        <w:rPr>
          <w:rFonts w:ascii="仿宋" w:hAnsi="仿宋" w:eastAsia="仿宋"/>
          <w:sz w:val="32"/>
          <w:szCs w:val="32"/>
        </w:rPr>
      </w:pPr>
      <w:r>
        <w:rPr>
          <w:rFonts w:hint="eastAsia" w:ascii="仿宋" w:hAnsi="仿宋" w:eastAsia="仿宋" w:cs="仿宋_GB2312"/>
          <w:sz w:val="32"/>
          <w:szCs w:val="32"/>
        </w:rPr>
        <w:t>按时</w:t>
      </w:r>
      <w:r>
        <w:rPr>
          <w:rFonts w:ascii="仿宋" w:hAnsi="仿宋" w:eastAsia="仿宋" w:cs="仿宋_GB2312"/>
          <w:sz w:val="32"/>
          <w:szCs w:val="32"/>
        </w:rPr>
        <w:t>完成</w:t>
      </w:r>
      <w:r>
        <w:rPr>
          <w:rFonts w:hint="eastAsia" w:ascii="仿宋" w:hAnsi="仿宋" w:eastAsia="仿宋" w:cs="仿宋_GB2312"/>
          <w:sz w:val="32"/>
          <w:szCs w:val="32"/>
        </w:rPr>
        <w:t>厅主题教育领导小组下达的任务，</w:t>
      </w:r>
      <w:r>
        <w:rPr>
          <w:rFonts w:hint="eastAsia" w:ascii="仿宋" w:hAnsi="仿宋" w:eastAsia="仿宋"/>
          <w:sz w:val="32"/>
          <w:szCs w:val="32"/>
        </w:rPr>
        <w:t>按照厅党组工作部署安排，认真对照厅主题教育领导小组办公室下达的工作任务和时间表，紧跟节奏，细化实施方案，狠抓贯彻落实，按要求全面完成所有规定动作。4月25日，后勤行政党支部召开以案促改专题组织生活会， 把思想和行动迅速统一到省委和厅党组决策部署上来。5月赴</w:t>
      </w:r>
      <w:r>
        <w:rPr>
          <w:rFonts w:hint="eastAsia" w:ascii="仿宋" w:hAnsi="仿宋" w:eastAsia="仿宋" w:cs="仿宋"/>
          <w:sz w:val="32"/>
          <w:szCs w:val="32"/>
        </w:rPr>
        <w:t>永州市东安县古楼兰家村</w:t>
      </w:r>
      <w:r>
        <w:rPr>
          <w:rFonts w:hint="eastAsia" w:ascii="仿宋" w:hAnsi="仿宋" w:eastAsia="仿宋"/>
          <w:sz w:val="32"/>
          <w:szCs w:val="32"/>
        </w:rPr>
        <w:t>开展“走找想促”主题调研活动,</w:t>
      </w:r>
      <w:r>
        <w:rPr>
          <w:rFonts w:hint="eastAsia" w:ascii="仿宋" w:hAnsi="仿宋" w:eastAsia="仿宋" w:cs="仿宋"/>
          <w:sz w:val="32"/>
          <w:szCs w:val="32"/>
        </w:rPr>
        <w:t xml:space="preserve"> 为乡村发展把脉献计、建言献策。6月组织集中学习研讨，同全厅一起开展以案促改案情警示教育。7月下旬召开主题教育调研情况交流会，形成检视问题清单，全力推动问题整改。</w:t>
      </w:r>
      <w:r>
        <w:rPr>
          <w:rFonts w:hint="eastAsia" w:ascii="仿宋" w:hAnsi="仿宋" w:eastAsia="仿宋"/>
          <w:sz w:val="32"/>
          <w:szCs w:val="32"/>
        </w:rPr>
        <w:t>9月11日召开后勤主题教育专题组织生活会，对整改问题进行“回头看”，深化整改工作成果。</w:t>
      </w:r>
      <w:r>
        <w:rPr>
          <w:rFonts w:hint="eastAsia" w:ascii="仿宋" w:hAnsi="仿宋" w:eastAsia="仿宋" w:cs="仿宋"/>
          <w:sz w:val="32"/>
          <w:szCs w:val="32"/>
        </w:rPr>
        <w:t>9月15日，召开主题教育工作总结大会，并通过验收考核。</w:t>
      </w:r>
    </w:p>
    <w:p>
      <w:pPr>
        <w:pStyle w:val="22"/>
        <w:spacing w:line="360" w:lineRule="auto"/>
        <w:ind w:firstLine="640"/>
        <w:outlineLvl w:val="1"/>
        <w:rPr>
          <w:rFonts w:ascii="仿宋" w:hAnsi="仿宋" w:eastAsia="仿宋" w:cs="Times New Roman"/>
          <w:b w:val="0"/>
          <w:bCs w:val="0"/>
        </w:rPr>
      </w:pPr>
      <w:r>
        <w:rPr>
          <w:rFonts w:hint="eastAsia" w:ascii="仿宋" w:hAnsi="仿宋" w:eastAsia="仿宋" w:cs="Times New Roman"/>
          <w:b w:val="0"/>
          <w:bCs w:val="0"/>
        </w:rPr>
        <w:t>建立完善办公用房信息统计数据库，</w:t>
      </w:r>
      <w:r>
        <w:rPr>
          <w:rFonts w:hint="eastAsia" w:ascii="仿宋" w:hAnsi="仿宋" w:eastAsia="仿宋"/>
          <w:b w:val="0"/>
          <w:bCs w:val="0"/>
        </w:rPr>
        <w:t>加强办公用房信息化管理，</w:t>
      </w:r>
      <w:r>
        <w:rPr>
          <w:rFonts w:hint="eastAsia" w:ascii="仿宋" w:hAnsi="仿宋" w:eastAsia="仿宋" w:cs="Times New Roman"/>
          <w:b w:val="0"/>
          <w:bCs w:val="0"/>
        </w:rPr>
        <w:t>及时做好机关办公用房信息数据更新及上报。</w:t>
      </w:r>
    </w:p>
    <w:p>
      <w:pPr>
        <w:pStyle w:val="22"/>
        <w:spacing w:line="360" w:lineRule="auto"/>
        <w:outlineLvl w:val="1"/>
        <w:rPr>
          <w:rFonts w:ascii="仿宋" w:hAnsi="仿宋" w:eastAsia="仿宋" w:cs="华文楷体"/>
        </w:rPr>
      </w:pPr>
      <w:r>
        <w:rPr>
          <w:rFonts w:hint="eastAsia" w:ascii="仿宋" w:hAnsi="仿宋" w:eastAsia="仿宋" w:cs="华文楷体"/>
        </w:rPr>
        <w:t>（三）效益指标绩效情况</w:t>
      </w:r>
    </w:p>
    <w:p>
      <w:pPr>
        <w:pStyle w:val="2"/>
        <w:spacing w:line="360" w:lineRule="auto"/>
        <w:ind w:firstLine="640"/>
        <w:rPr>
          <w:rFonts w:ascii="仿宋" w:hAnsi="仿宋" w:eastAsia="仿宋" w:cs="仿宋_GB2312"/>
          <w:sz w:val="32"/>
          <w:szCs w:val="32"/>
        </w:rPr>
      </w:pPr>
      <w:r>
        <w:rPr>
          <w:rFonts w:hint="eastAsia" w:ascii="仿宋" w:hAnsi="仿宋" w:eastAsia="仿宋" w:cs="仿宋_GB2312"/>
          <w:sz w:val="32"/>
          <w:szCs w:val="32"/>
        </w:rPr>
        <w:t>1、经济效益指标</w:t>
      </w:r>
    </w:p>
    <w:p>
      <w:pPr>
        <w:pStyle w:val="2"/>
        <w:spacing w:line="360" w:lineRule="auto"/>
        <w:ind w:firstLine="640"/>
        <w:rPr>
          <w:rFonts w:ascii="仿宋" w:hAnsi="仿宋" w:eastAsia="仿宋" w:cs="仿宋_GB2312"/>
          <w:sz w:val="32"/>
          <w:szCs w:val="32"/>
        </w:rPr>
      </w:pPr>
      <w:r>
        <w:rPr>
          <w:rFonts w:ascii="仿宋" w:hAnsi="仿宋" w:eastAsia="仿宋" w:cs="仿宋_GB2312"/>
          <w:sz w:val="32"/>
          <w:szCs w:val="32"/>
        </w:rPr>
        <w:t>认真监管水、电、气三项能源资源消耗指标</w:t>
      </w:r>
      <w:r>
        <w:rPr>
          <w:rFonts w:hint="eastAsia" w:ascii="仿宋" w:hAnsi="仿宋" w:eastAsia="仿宋" w:cs="仿宋_GB2312"/>
          <w:sz w:val="32"/>
          <w:szCs w:val="32"/>
        </w:rPr>
        <w:t>，</w:t>
      </w:r>
      <w:r>
        <w:rPr>
          <w:rFonts w:hint="eastAsia" w:ascii="仿宋" w:hAnsi="仿宋" w:eastAsia="仿宋"/>
          <w:sz w:val="32"/>
          <w:szCs w:val="32"/>
        </w:rPr>
        <w:t>接受错峰用电的远程调控，及时完成好水、电、气三项能源资源消费的费用结算工作。</w:t>
      </w:r>
    </w:p>
    <w:p>
      <w:pPr>
        <w:pStyle w:val="2"/>
        <w:spacing w:line="360" w:lineRule="auto"/>
        <w:ind w:firstLine="640"/>
        <w:rPr>
          <w:rFonts w:ascii="仿宋" w:hAnsi="仿宋" w:eastAsia="仿宋" w:cs="仿宋_GB2312"/>
          <w:sz w:val="32"/>
          <w:szCs w:val="32"/>
        </w:rPr>
      </w:pPr>
      <w:r>
        <w:rPr>
          <w:rFonts w:hint="eastAsia" w:ascii="仿宋" w:hAnsi="仿宋" w:eastAsia="仿宋" w:cs="仿宋_GB2312"/>
          <w:sz w:val="32"/>
          <w:szCs w:val="32"/>
        </w:rPr>
        <w:t>2、社会效益指标</w:t>
      </w:r>
    </w:p>
    <w:p>
      <w:pPr>
        <w:pStyle w:val="2"/>
        <w:spacing w:line="360" w:lineRule="auto"/>
        <w:ind w:firstLine="640"/>
        <w:rPr>
          <w:rFonts w:ascii="仿宋" w:hAnsi="仿宋" w:eastAsia="仿宋" w:cs="仿宋_GB2312"/>
          <w:sz w:val="32"/>
          <w:szCs w:val="32"/>
        </w:rPr>
      </w:pPr>
      <w:r>
        <w:rPr>
          <w:rFonts w:ascii="仿宋" w:hAnsi="仿宋" w:eastAsia="仿宋" w:cs="仿宋_GB2312"/>
          <w:sz w:val="32"/>
          <w:szCs w:val="32"/>
        </w:rPr>
        <w:t>完成2023年度厅机关新人住房补贴申报、公示及审批工作</w:t>
      </w:r>
    </w:p>
    <w:p>
      <w:pPr>
        <w:pStyle w:val="2"/>
        <w:spacing w:line="360" w:lineRule="auto"/>
        <w:ind w:firstLine="640"/>
        <w:rPr>
          <w:rFonts w:ascii="仿宋" w:hAnsi="仿宋" w:eastAsia="仿宋"/>
          <w:sz w:val="32"/>
          <w:szCs w:val="32"/>
        </w:rPr>
      </w:pPr>
      <w:r>
        <w:rPr>
          <w:rFonts w:hint="eastAsia" w:ascii="仿宋" w:hAnsi="仿宋" w:eastAsia="仿宋" w:cs="仿宋_GB2312"/>
          <w:sz w:val="32"/>
          <w:szCs w:val="32"/>
        </w:rPr>
        <w:t>安全运行，实现公务车辆管理“全省一张网”，</w:t>
      </w:r>
      <w:r>
        <w:rPr>
          <w:rFonts w:hint="eastAsia" w:ascii="仿宋" w:hAnsi="仿宋" w:eastAsia="仿宋"/>
          <w:sz w:val="32"/>
          <w:szCs w:val="32"/>
        </w:rPr>
        <w:t>车辆用车信息管理平台，实现公务车辆管理“全省一张网”，全年网上派车1349次，安全运行22万公里。</w:t>
      </w:r>
    </w:p>
    <w:p>
      <w:pPr>
        <w:ind w:firstLine="640" w:firstLineChars="200"/>
        <w:rPr>
          <w:rFonts w:ascii="仿宋" w:hAnsi="仿宋" w:eastAsia="仿宋"/>
          <w:sz w:val="32"/>
          <w:szCs w:val="32"/>
        </w:rPr>
      </w:pPr>
      <w:r>
        <w:rPr>
          <w:rFonts w:ascii="仿宋" w:hAnsi="仿宋" w:eastAsia="仿宋" w:cs="仿宋_GB2312"/>
          <w:sz w:val="32"/>
          <w:szCs w:val="32"/>
        </w:rPr>
        <w:t>完成</w:t>
      </w:r>
      <w:r>
        <w:rPr>
          <w:rFonts w:hint="eastAsia" w:ascii="仿宋" w:hAnsi="仿宋" w:eastAsia="仿宋" w:cs="仿宋_GB2312"/>
          <w:sz w:val="32"/>
          <w:szCs w:val="32"/>
        </w:rPr>
        <w:t>东院、西院的维修、升级改造工作。</w:t>
      </w:r>
      <w:r>
        <w:rPr>
          <w:rFonts w:hint="eastAsia" w:ascii="仿宋" w:hAnsi="仿宋" w:eastAsia="仿宋"/>
          <w:sz w:val="32"/>
          <w:szCs w:val="32"/>
        </w:rPr>
        <w:t xml:space="preserve">全面完成河西机关二院北栋办公楼内部装修及强电、弱电、给排水及消防系统的维修改造工作。积极配合当地政府及社区开展厅机关东院提质改造，改善大院居住环境。协助省机关事务管理局完成食堂消防整改，按消防要求安装防火门，新建消防安全通道楼梯，更换燃气设施等。对公物仓屋顶进行防水维修改造，解决屋顶漏水问题。做好一办公楼小会议室、办公室及建筑外墙的维修改造。协助厅机关党委完成机关二办公楼楼道内党建宣传墙的拆除整改。为机关食堂与接待室更换光纤网线，增加1台6U机柜和1台交换机提高网速。认真做好机关中央空调、燃气锅炉、电梯等设电力、动力设备设施的维修维护，加强日常巡检，全年进行大小维修50多次，确保供电力及动力设备运行正常。 </w:t>
      </w:r>
    </w:p>
    <w:p>
      <w:pPr>
        <w:pStyle w:val="2"/>
        <w:spacing w:line="360" w:lineRule="auto"/>
        <w:ind w:firstLine="640"/>
        <w:rPr>
          <w:rFonts w:ascii="仿宋" w:hAnsi="仿宋" w:eastAsia="仿宋" w:cs="仿宋_GB2312"/>
          <w:sz w:val="32"/>
          <w:szCs w:val="32"/>
        </w:rPr>
      </w:pPr>
      <w:r>
        <w:rPr>
          <w:rFonts w:hint="eastAsia" w:ascii="仿宋" w:hAnsi="仿宋" w:eastAsia="仿宋" w:cs="仿宋_GB2312"/>
          <w:sz w:val="32"/>
          <w:szCs w:val="32"/>
        </w:rPr>
        <w:t>3、生态效益指标</w:t>
      </w:r>
    </w:p>
    <w:p>
      <w:pPr>
        <w:pStyle w:val="2"/>
        <w:spacing w:line="360" w:lineRule="auto"/>
        <w:ind w:firstLine="640"/>
        <w:rPr>
          <w:rFonts w:ascii="仿宋" w:hAnsi="仿宋" w:eastAsia="仿宋" w:cs="仿宋_GB2312"/>
          <w:sz w:val="32"/>
          <w:szCs w:val="32"/>
        </w:rPr>
      </w:pPr>
      <w:r>
        <w:rPr>
          <w:rFonts w:ascii="仿宋" w:hAnsi="仿宋" w:eastAsia="仿宋" w:cs="仿宋_GB2312"/>
          <w:sz w:val="32"/>
          <w:szCs w:val="32"/>
        </w:rPr>
        <w:t>积极开展节能降耗宣传培训，组织厅直单位节能降耗专项工作联络员参与云课堂学习培训3次，制作食堂反食品浪费宣传展板5块和发放宣传资料150份。强化节能指导，年内部署厅直单位广泛开展减塑限塑、垃圾分类与节水创建工作，督促省贺家山原种场、省工贸学校完成节能补助资金绩效自评，协助省水科所进行50万节能改造项目的资金申报。</w:t>
      </w:r>
    </w:p>
    <w:p>
      <w:pPr>
        <w:pStyle w:val="2"/>
        <w:spacing w:line="360" w:lineRule="auto"/>
        <w:ind w:firstLine="640"/>
        <w:rPr>
          <w:rFonts w:ascii="仿宋" w:hAnsi="仿宋" w:eastAsia="仿宋" w:cs="仿宋_GB2312"/>
          <w:sz w:val="32"/>
          <w:szCs w:val="32"/>
        </w:rPr>
      </w:pPr>
      <w:r>
        <w:rPr>
          <w:rFonts w:hint="eastAsia" w:ascii="仿宋" w:hAnsi="仿宋" w:eastAsia="仿宋" w:cs="仿宋_GB2312"/>
          <w:sz w:val="32"/>
          <w:szCs w:val="32"/>
        </w:rPr>
        <w:t>（四）满意度指标绩效情况</w:t>
      </w:r>
    </w:p>
    <w:p>
      <w:pPr>
        <w:pStyle w:val="2"/>
        <w:spacing w:line="360" w:lineRule="auto"/>
        <w:ind w:firstLine="640"/>
        <w:rPr>
          <w:rFonts w:ascii="仿宋" w:hAnsi="仿宋" w:eastAsia="仿宋" w:cs="仿宋_GB2312"/>
          <w:sz w:val="32"/>
          <w:szCs w:val="32"/>
        </w:rPr>
      </w:pPr>
      <w:r>
        <w:rPr>
          <w:rFonts w:ascii="仿宋" w:hAnsi="仿宋" w:eastAsia="仿宋" w:cs="仿宋_GB2312"/>
          <w:sz w:val="32"/>
          <w:szCs w:val="32"/>
        </w:rPr>
        <w:t>社会公众或服务对象的满意程度</w:t>
      </w:r>
      <w:r>
        <w:rPr>
          <w:rFonts w:hint="eastAsia" w:ascii="仿宋" w:hAnsi="仿宋" w:eastAsia="仿宋" w:cs="仿宋_GB2312"/>
          <w:sz w:val="32"/>
          <w:szCs w:val="32"/>
        </w:rPr>
        <w:t>96%</w:t>
      </w:r>
    </w:p>
    <w:p>
      <w:pPr>
        <w:pStyle w:val="5"/>
        <w:spacing w:line="360" w:lineRule="auto"/>
        <w:ind w:firstLine="640"/>
        <w:rPr>
          <w:rFonts w:ascii="仿宋" w:hAnsi="仿宋" w:eastAsia="仿宋" w:cs="华文细黑"/>
          <w:sz w:val="32"/>
        </w:rPr>
      </w:pPr>
      <w:r>
        <w:rPr>
          <w:rFonts w:hint="eastAsia" w:ascii="仿宋" w:hAnsi="仿宋" w:eastAsia="仿宋" w:cs="华文细黑"/>
          <w:sz w:val="32"/>
        </w:rPr>
        <w:t>四、存在的问题及原因分析</w:t>
      </w:r>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1、存在的问题：全年预算执行率75.97%，预算执行率偏低的原因是年底下达事业单位人员经费，我单位年中已按参公单位标准发放，导致人员经费结余。</w:t>
      </w:r>
    </w:p>
    <w:p>
      <w:pPr>
        <w:pStyle w:val="6"/>
        <w:keepNext w:val="0"/>
        <w:keepLines w:val="0"/>
        <w:widowControl/>
        <w:shd w:val="clear" w:color="auto" w:fill="FFFFFF"/>
        <w:spacing w:line="360" w:lineRule="auto"/>
        <w:ind w:firstLine="640" w:firstLineChars="200"/>
        <w:rPr>
          <w:rFonts w:ascii="仿宋" w:hAnsi="仿宋" w:eastAsia="仿宋" w:cs="仿宋_GB2312"/>
          <w:sz w:val="32"/>
        </w:rPr>
      </w:pPr>
      <w:r>
        <w:rPr>
          <w:rFonts w:hint="eastAsia" w:ascii="仿宋" w:hAnsi="仿宋" w:eastAsia="仿宋" w:cs="仿宋_GB2312"/>
          <w:sz w:val="32"/>
        </w:rPr>
        <w:t>2、改进措施：提高</w:t>
      </w:r>
      <w:r>
        <w:rPr>
          <w:rFonts w:ascii="仿宋" w:hAnsi="仿宋" w:eastAsia="仿宋" w:cs="仿宋_GB2312"/>
          <w:sz w:val="32"/>
        </w:rPr>
        <w:t>预算编制水平，合理地、精准地、科学的编制预算</w:t>
      </w:r>
      <w:r>
        <w:rPr>
          <w:rFonts w:hint="eastAsia" w:ascii="仿宋" w:hAnsi="仿宋" w:eastAsia="仿宋" w:cs="仿宋_GB2312"/>
          <w:sz w:val="32"/>
        </w:rPr>
        <w:t>；业务科室应按照年初预算具体分解情况进行合理支出。中心定期对预算执行缓慢的科室进行通报，并要求其出具书面说明、及时提出改进措施。</w:t>
      </w:r>
    </w:p>
    <w:p>
      <w:pPr>
        <w:pStyle w:val="2"/>
        <w:spacing w:line="360" w:lineRule="auto"/>
        <w:ind w:firstLine="640"/>
        <w:rPr>
          <w:rFonts w:ascii="仿宋" w:hAnsi="仿宋" w:eastAsia="仿宋" w:cs="仿宋_GB2312"/>
          <w:sz w:val="32"/>
          <w:szCs w:val="32"/>
        </w:rPr>
      </w:pPr>
    </w:p>
    <w:p>
      <w:pPr>
        <w:pStyle w:val="16"/>
        <w:jc w:val="center"/>
        <w:rPr>
          <w:sz w:val="72"/>
          <w:szCs w:val="72"/>
        </w:rPr>
      </w:pPr>
    </w:p>
    <w:p>
      <w:pPr>
        <w:pStyle w:val="16"/>
        <w:jc w:val="center"/>
        <w:rPr>
          <w:sz w:val="72"/>
          <w:szCs w:val="72"/>
        </w:rPr>
      </w:pPr>
    </w:p>
    <w:p>
      <w:pPr>
        <w:jc w:val="left"/>
        <w:rPr>
          <w:rFonts w:cs="黑体" w:asciiTheme="minorEastAsia" w:hAnsiTheme="minorEastAsia"/>
          <w:color w:val="000000"/>
          <w:kern w:val="0"/>
          <w:sz w:val="32"/>
          <w:szCs w:val="32"/>
        </w:rPr>
        <w:sectPr>
          <w:pgSz w:w="11906" w:h="16838"/>
          <w:pgMar w:top="720" w:right="720" w:bottom="720" w:left="720" w:header="851" w:footer="992" w:gutter="0"/>
          <w:cols w:space="425" w:num="1"/>
          <w:docGrid w:type="linesAndChars" w:linePitch="312" w:charSpace="0"/>
        </w:sectPr>
      </w:pPr>
    </w:p>
    <w:p>
      <w:pPr>
        <w:spacing w:afterLines="50" w:line="600" w:lineRule="exact"/>
        <w:jc w:val="center"/>
        <w:rPr>
          <w:rFonts w:ascii="Times New Roman" w:hAnsi="Times New Roman" w:eastAsia="仿宋_GB2312" w:cs="Times New Roman"/>
          <w:sz w:val="24"/>
        </w:rPr>
      </w:pPr>
      <w:r>
        <w:rPr>
          <w:rFonts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rPr>
        <w:t>3</w:t>
      </w:r>
      <w:r>
        <w:rPr>
          <w:rFonts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rPr>
        <w:t>度</w:t>
      </w:r>
      <w:r>
        <w:rPr>
          <w:rFonts w:ascii="Times New Roman" w:hAnsi="Times New Roman" w:eastAsia="方正小标宋_GBK" w:cs="Times New Roman"/>
          <w:sz w:val="36"/>
          <w:szCs w:val="36"/>
        </w:rPr>
        <w:t>部门整体支出绩效评价基础数据表</w:t>
      </w:r>
    </w:p>
    <w:tbl>
      <w:tblPr>
        <w:tblStyle w:val="11"/>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rPr>
              <w:t>3</w:t>
            </w:r>
            <w:r>
              <w:rPr>
                <w:rFonts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rPr>
              <w:t>25</w:t>
            </w:r>
          </w:p>
        </w:tc>
        <w:tc>
          <w:tcPr>
            <w:tcW w:w="2240"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18　</w:t>
            </w:r>
          </w:p>
        </w:tc>
        <w:tc>
          <w:tcPr>
            <w:tcW w:w="2041" w:type="dxa"/>
            <w:gridSpan w:val="2"/>
            <w:tcBorders>
              <w:top w:val="single" w:color="auto" w:sz="4" w:space="0"/>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72%</w:t>
            </w: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rPr>
              <w:t>2</w:t>
            </w:r>
            <w:r>
              <w:rPr>
                <w:rFonts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rPr>
              <w:t>3</w:t>
            </w:r>
            <w:r>
              <w:rPr>
                <w:rFonts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rPr>
              <w:t>3</w:t>
            </w:r>
            <w:r>
              <w:rPr>
                <w:rFonts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三公经费</w:t>
            </w:r>
            <w:r>
              <w:rPr>
                <w:rFonts w:hint="eastAsia" w:ascii="Times New Roman" w:hAnsi="Times New Roman" w:eastAsia="仿宋_GB2312" w:cs="Times New Roman"/>
                <w:sz w:val="20"/>
                <w:szCs w:val="20"/>
              </w:rPr>
              <w:t>:</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rPr>
              <w:t>0</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0.5</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w:t>
            </w:r>
          </w:p>
        </w:tc>
      </w:tr>
      <w:tr>
        <w:tblPrEx>
          <w:tblLayout w:type="fixed"/>
          <w:tblCellMar>
            <w:top w:w="0" w:type="dxa"/>
            <w:left w:w="108" w:type="dxa"/>
            <w:bottom w:w="0" w:type="dxa"/>
            <w:right w:w="108" w:type="dxa"/>
          </w:tblCellMar>
        </w:tblPrEx>
        <w:trPr>
          <w:trHeight w:val="348" w:hRule="atLeast"/>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ind w:firstLine="400" w:firstLineChars="200"/>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3、省级专项资金（</w:t>
            </w:r>
            <w:r>
              <w:rPr>
                <w:rFonts w:hint="eastAsia" w:ascii="Times New Roman" w:hAnsi="Times New Roman" w:eastAsia="仿宋_GB2312" w:cs="Times New Roman"/>
                <w:sz w:val="20"/>
                <w:szCs w:val="20"/>
              </w:rPr>
              <w:t>每</w:t>
            </w:r>
            <w:r>
              <w:rPr>
                <w:rFonts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45.07</w:t>
            </w: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72</w:t>
            </w: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rPr>
              <w:t>71.25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5.12</w:t>
            </w: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w:t>
            </w: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6.67</w:t>
            </w: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2.6</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0.62</w:t>
            </w: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rPr>
              <w:t>0.64</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0.7</w:t>
            </w: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0.41</w:t>
            </w: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w:t>
            </w: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楼堂馆所控制情况</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（202</w:t>
            </w:r>
            <w:r>
              <w:rPr>
                <w:rFonts w:hint="eastAsia" w:ascii="Times New Roman" w:hAnsi="Times New Roman" w:eastAsia="仿宋_GB2312" w:cs="Times New Roman"/>
                <w:sz w:val="20"/>
                <w:szCs w:val="20"/>
              </w:rPr>
              <w:t>3</w:t>
            </w:r>
            <w:r>
              <w:rPr>
                <w:rFonts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批复规模</w:t>
            </w:r>
            <w:r>
              <w:rPr>
                <w:rFonts w:ascii="Times New Roman" w:hAnsi="Times New Roman" w:eastAsia="仿宋_GB2312" w:cs="Times New Roman"/>
                <w:bCs/>
                <w:sz w:val="20"/>
                <w:szCs w:val="20"/>
              </w:rPr>
              <w:br w:type="textWrapping"/>
            </w:r>
            <w:r>
              <w:rPr>
                <w:rFonts w:ascii="Times New Roman" w:hAnsi="Times New Roman" w:eastAsia="仿宋_GB2312" w:cs="Times New Roman"/>
                <w:bCs/>
                <w:sz w:val="20"/>
                <w:szCs w:val="20"/>
              </w:rPr>
              <w:t>（</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实际规模（</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bl>
    <w:p>
      <w:pPr>
        <w:widowControl/>
        <w:spacing w:line="400" w:lineRule="exact"/>
        <w:jc w:val="left"/>
        <w:rPr>
          <w:rFonts w:ascii="Times New Roman" w:hAnsi="Times New Roman" w:eastAsia="仿宋_GB2312" w:cs="Times New Roman"/>
          <w:sz w:val="22"/>
        </w:rPr>
      </w:pPr>
      <w:r>
        <w:rPr>
          <w:rFonts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line="400" w:lineRule="exact"/>
        <w:jc w:val="left"/>
        <w:rPr>
          <w:rFonts w:ascii="Times New Roman" w:hAnsi="Times New Roman" w:eastAsia="仿宋_GB2312" w:cs="Times New Roman"/>
          <w:sz w:val="22"/>
        </w:rPr>
      </w:pPr>
    </w:p>
    <w:p>
      <w:pPr>
        <w:widowControl/>
        <w:spacing w:afterLines="50"/>
        <w:jc w:val="center"/>
        <w:rPr>
          <w:rFonts w:ascii="Times New Roman" w:hAnsi="Times New Roman" w:eastAsia="方正小标宋_GBK" w:cs="Times New Roman"/>
          <w:color w:val="000000"/>
          <w:sz w:val="36"/>
          <w:szCs w:val="36"/>
        </w:rPr>
      </w:pPr>
    </w:p>
    <w:p>
      <w:pPr>
        <w:widowControl/>
        <w:spacing w:afterLines="50"/>
        <w:jc w:val="center"/>
        <w:rPr>
          <w:rFonts w:ascii="Times New Roman" w:hAnsi="Times New Roman" w:eastAsia="方正小标宋_GBK" w:cs="Times New Roman"/>
          <w:color w:val="000000"/>
          <w:sz w:val="36"/>
          <w:szCs w:val="36"/>
        </w:rPr>
      </w:pPr>
    </w:p>
    <w:p>
      <w:pPr>
        <w:widowControl/>
        <w:spacing w:afterLines="50"/>
        <w:jc w:val="center"/>
        <w:rPr>
          <w:rFonts w:ascii="Times New Roman" w:hAnsi="Times New Roman" w:eastAsia="方正小标宋_GBK" w:cs="Times New Roman"/>
          <w:color w:val="000000"/>
          <w:sz w:val="36"/>
          <w:szCs w:val="36"/>
        </w:rPr>
      </w:pPr>
    </w:p>
    <w:p>
      <w:pPr>
        <w:widowControl/>
        <w:spacing w:afterLines="50"/>
        <w:jc w:val="center"/>
        <w:rPr>
          <w:rFonts w:ascii="Times New Roman" w:hAnsi="Times New Roman" w:eastAsia="方正小标宋_GBK" w:cs="Times New Roman"/>
          <w:color w:val="000000"/>
          <w:sz w:val="36"/>
          <w:szCs w:val="36"/>
        </w:rPr>
      </w:pPr>
    </w:p>
    <w:p>
      <w:pPr>
        <w:widowControl/>
        <w:spacing w:afterLines="50"/>
        <w:jc w:val="center"/>
        <w:rPr>
          <w:rFonts w:ascii="Times New Roman" w:hAnsi="Times New Roman" w:eastAsia="方正小标宋_GBK" w:cs="Times New Roman"/>
          <w:color w:val="000000"/>
          <w:sz w:val="36"/>
          <w:szCs w:val="36"/>
        </w:rPr>
      </w:pPr>
      <w:r>
        <w:rPr>
          <w:rFonts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rPr>
        <w:t>3</w:t>
      </w:r>
      <w:r>
        <w:rPr>
          <w:rFonts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rPr>
        <w:t>度</w:t>
      </w:r>
      <w:r>
        <w:rPr>
          <w:rFonts w:ascii="Times New Roman" w:hAnsi="Times New Roman" w:eastAsia="方正小标宋_GBK" w:cs="Times New Roman"/>
          <w:color w:val="000000"/>
          <w:sz w:val="36"/>
          <w:szCs w:val="36"/>
        </w:rPr>
        <w:t>部门整体支出绩效自评表</w:t>
      </w:r>
    </w:p>
    <w:tbl>
      <w:tblPr>
        <w:tblStyle w:val="11"/>
        <w:tblW w:w="10079" w:type="dxa"/>
        <w:jc w:val="center"/>
        <w:tblInd w:w="-567" w:type="dxa"/>
        <w:tblLayout w:type="fixed"/>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rPr>
              <w:t>、单位</w:t>
            </w:r>
            <w:r>
              <w:rPr>
                <w:rFonts w:ascii="Times New Roman" w:hAnsi="Times New Roman" w:eastAsia="仿宋_GB2312" w:cs="Times New Roman"/>
                <w:color w:val="000000"/>
                <w:sz w:val="20"/>
                <w:szCs w:val="20"/>
              </w:rPr>
              <w:t>名称</w:t>
            </w:r>
          </w:p>
        </w:tc>
        <w:tc>
          <w:tcPr>
            <w:tcW w:w="6885"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湖南省农业农村厅机关后勤服务中心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年度预</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算申请</w:t>
            </w:r>
            <w:r>
              <w:rPr>
                <w:rFonts w:ascii="Times New Roman" w:hAnsi="Times New Roman" w:eastAsia="仿宋_GB2312" w:cs="Times New Roman"/>
                <w:color w:val="000000"/>
                <w:sz w:val="20"/>
                <w:szCs w:val="20"/>
              </w:rPr>
              <w:br w:type="textWrapping"/>
            </w:r>
            <w:r>
              <w:rPr>
                <w:rFonts w:ascii="Times New Roman" w:hAnsi="Times New Roman" w:eastAsia="仿宋_GB2312" w:cs="Times New Roman"/>
                <w:color w:val="000000"/>
                <w:sz w:val="20"/>
                <w:szCs w:val="20"/>
              </w:rPr>
              <w:t>（万元）</w:t>
            </w:r>
          </w:p>
        </w:tc>
        <w:tc>
          <w:tcPr>
            <w:tcW w:w="2114" w:type="dxa"/>
            <w:gridSpan w:val="2"/>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p>
        </w:tc>
        <w:tc>
          <w:tcPr>
            <w:tcW w:w="1270"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年初预算数</w:t>
            </w:r>
          </w:p>
        </w:tc>
        <w:tc>
          <w:tcPr>
            <w:tcW w:w="1311"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全年预算数</w:t>
            </w:r>
          </w:p>
        </w:tc>
        <w:tc>
          <w:tcPr>
            <w:tcW w:w="1269"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全年执行数</w:t>
            </w:r>
          </w:p>
        </w:tc>
        <w:tc>
          <w:tcPr>
            <w:tcW w:w="716"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446"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自评</w:t>
            </w:r>
            <w:r>
              <w:rPr>
                <w:rFonts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p>
        </w:tc>
        <w:tc>
          <w:tcPr>
            <w:tcW w:w="2114" w:type="dxa"/>
            <w:gridSpan w:val="2"/>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color w:val="000000"/>
                <w:sz w:val="20"/>
                <w:szCs w:val="20"/>
              </w:rPr>
              <w:t>年度资金总额</w:t>
            </w:r>
          </w:p>
        </w:tc>
        <w:tc>
          <w:tcPr>
            <w:tcW w:w="1270"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918.35</w:t>
            </w:r>
          </w:p>
        </w:tc>
        <w:tc>
          <w:tcPr>
            <w:tcW w:w="1311"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w:t>
            </w:r>
            <w:r>
              <w:rPr>
                <w:rFonts w:hint="eastAsia" w:ascii="Times New Roman" w:hAnsi="Times New Roman" w:eastAsia="仿宋_GB2312" w:cs="Times New Roman"/>
                <w:sz w:val="20"/>
                <w:szCs w:val="20"/>
              </w:rPr>
              <w:t>,</w:t>
            </w:r>
            <w:r>
              <w:rPr>
                <w:rFonts w:ascii="Times New Roman" w:hAnsi="Times New Roman" w:eastAsia="仿宋_GB2312" w:cs="Times New Roman"/>
                <w:sz w:val="20"/>
                <w:szCs w:val="20"/>
              </w:rPr>
              <w:t>223.06</w:t>
            </w:r>
          </w:p>
        </w:tc>
        <w:tc>
          <w:tcPr>
            <w:tcW w:w="1269"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929.21</w:t>
            </w:r>
          </w:p>
        </w:tc>
        <w:tc>
          <w:tcPr>
            <w:tcW w:w="716"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b/>
                <w:bCs/>
                <w:sz w:val="20"/>
                <w:szCs w:val="20"/>
              </w:rPr>
              <w:t>10</w:t>
            </w:r>
          </w:p>
        </w:tc>
        <w:tc>
          <w:tcPr>
            <w:tcW w:w="873"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75.97%</w:t>
            </w:r>
          </w:p>
        </w:tc>
        <w:tc>
          <w:tcPr>
            <w:tcW w:w="1446" w:type="dxa"/>
            <w:tcBorders>
              <w:top w:val="nil"/>
              <w:left w:val="nil"/>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7.60</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按收入性质分：</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rPr>
              <w:t>1222.77</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其中：基本支出：923.21</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ind w:firstLine="800" w:firstLineChars="4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政府性基金拨款：</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ind w:firstLine="600" w:firstLineChars="3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项目支出：6</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noWrap/>
            <w:vAlign w:val="center"/>
          </w:tcPr>
          <w:p>
            <w:pPr>
              <w:widowControl/>
              <w:spacing w:line="240" w:lineRule="exact"/>
              <w:ind w:firstLine="1400" w:firstLineChars="7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其他资金：</w:t>
            </w:r>
            <w:r>
              <w:rPr>
                <w:rFonts w:hint="eastAsia" w:ascii="Times New Roman" w:hAnsi="Times New Roman" w:eastAsia="仿宋_GB2312" w:cs="Times New Roman"/>
                <w:color w:val="000000"/>
                <w:sz w:val="20"/>
                <w:szCs w:val="20"/>
              </w:rPr>
              <w:t>0.29</w:t>
            </w:r>
          </w:p>
        </w:tc>
        <w:tc>
          <w:tcPr>
            <w:tcW w:w="4304" w:type="dxa"/>
            <w:gridSpan w:val="4"/>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ign w:val="center"/>
          </w:tcPr>
          <w:p>
            <w:pPr>
              <w:widowControl/>
              <w:spacing w:line="240" w:lineRule="exac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以主题教育为主线，精心谋划党建</w:t>
            </w:r>
            <w:r>
              <w:rPr>
                <w:rFonts w:hint="eastAsia" w:ascii="Times New Roman" w:hAnsi="Times New Roman" w:eastAsia="仿宋_GB2312" w:cs="Times New Roman"/>
                <w:color w:val="000000"/>
                <w:sz w:val="20"/>
                <w:szCs w:val="20"/>
              </w:rPr>
              <w:t>工作的同时，扎实开展机关事务工作，全面提升后勤保障服务效能。具体为加强机关后勤管理；组织机关维修改造；稳步推进机关平安建设；扎实开展公共机构节能；做优做细后勤日常服务。</w:t>
            </w:r>
          </w:p>
        </w:tc>
        <w:tc>
          <w:tcPr>
            <w:tcW w:w="4304"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按要求全面完成厅主题教育领导小组办公室下达的工作任务</w:t>
            </w:r>
            <w:r>
              <w:rPr>
                <w:rFonts w:hint="eastAsia" w:ascii="Times New Roman" w:hAnsi="Times New Roman" w:eastAsia="仿宋_GB2312" w:cs="Times New Roman"/>
                <w:color w:val="000000"/>
                <w:sz w:val="20"/>
                <w:szCs w:val="20"/>
              </w:rPr>
              <w:t>；积极开展主题党日活动、工会老干活动等；做好机关办公用房信息数据更新及上报；完成东院、西院的维修、升级改造工作；全年组织开展安全检查7次，消防培训演练12次，打造节能环保机关。</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绩</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标</w:t>
            </w:r>
          </w:p>
          <w:p>
            <w:pPr>
              <w:widowControl/>
              <w:spacing w:line="240" w:lineRule="exact"/>
              <w:jc w:val="center"/>
              <w:rPr>
                <w:rFonts w:ascii="Times New Roman" w:hAnsi="Times New Roman" w:eastAsia="仿宋_GB2312" w:cs="Times New Roman"/>
                <w:color w:val="000000"/>
                <w:sz w:val="20"/>
                <w:szCs w:val="20"/>
              </w:rPr>
            </w:pPr>
          </w:p>
        </w:tc>
        <w:tc>
          <w:tcPr>
            <w:tcW w:w="108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一级指标</w:t>
            </w:r>
          </w:p>
        </w:tc>
        <w:tc>
          <w:tcPr>
            <w:tcW w:w="1034"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二级指标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三级指标</w:t>
            </w:r>
          </w:p>
        </w:tc>
        <w:tc>
          <w:tcPr>
            <w:tcW w:w="1311" w:type="dxa"/>
            <w:tcBorders>
              <w:top w:val="nil"/>
              <w:left w:val="nil"/>
              <w:bottom w:val="single" w:color="auto" w:sz="4" w:space="0"/>
              <w:right w:val="single" w:color="auto" w:sz="4" w:space="0"/>
            </w:tcBorders>
            <w:noWrap/>
            <w:vAlign w:val="center"/>
          </w:tcPr>
          <w:p>
            <w:pPr>
              <w:widowControl/>
              <w:spacing w:line="240" w:lineRule="exac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年度指标值</w:t>
            </w:r>
          </w:p>
        </w:tc>
        <w:tc>
          <w:tcPr>
            <w:tcW w:w="1269" w:type="dxa"/>
            <w:tcBorders>
              <w:top w:val="nil"/>
              <w:left w:val="nil"/>
              <w:bottom w:val="single" w:color="auto" w:sz="4" w:space="0"/>
              <w:right w:val="single" w:color="auto" w:sz="4" w:space="0"/>
            </w:tcBorders>
            <w:noWrap/>
            <w:vAlign w:val="center"/>
          </w:tcPr>
          <w:p>
            <w:pPr>
              <w:widowControl/>
              <w:spacing w:line="240" w:lineRule="exac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实际完成值</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分值</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rPr>
              <w:t>自评</w:t>
            </w:r>
            <w:r>
              <w:rPr>
                <w:rFonts w:ascii="Times New Roman" w:hAnsi="Times New Roman" w:eastAsia="仿宋_GB2312" w:cs="Times New Roman"/>
                <w:color w:val="000000"/>
                <w:sz w:val="16"/>
                <w:szCs w:val="16"/>
              </w:rPr>
              <w:t>得分</w:t>
            </w:r>
          </w:p>
        </w:tc>
        <w:tc>
          <w:tcPr>
            <w:tcW w:w="1446" w:type="dxa"/>
            <w:tcBorders>
              <w:top w:val="nil"/>
              <w:left w:val="nil"/>
              <w:bottom w:val="single" w:color="auto" w:sz="4" w:space="0"/>
              <w:right w:val="single" w:color="auto" w:sz="4" w:space="0"/>
            </w:tcBorders>
            <w:noWrap/>
            <w:vAlign w:val="center"/>
          </w:tcPr>
          <w:p>
            <w:pPr>
              <w:widowControl/>
              <w:spacing w:line="240" w:lineRule="exac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产出指标</w:t>
            </w:r>
          </w:p>
          <w:p>
            <w:pPr>
              <w:widowControl/>
              <w:spacing w:line="240" w:lineRule="exact"/>
              <w:jc w:val="center"/>
              <w:rPr>
                <w:rFonts w:ascii="Times New Roman" w:hAnsi="Times New Roman" w:eastAsia="仿宋_GB2312" w:cs="Times New Roman"/>
                <w:color w:val="000000"/>
                <w:sz w:val="20"/>
                <w:szCs w:val="20"/>
              </w:rPr>
            </w:pP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(50分)</w:t>
            </w:r>
          </w:p>
        </w:tc>
        <w:tc>
          <w:tcPr>
            <w:tcW w:w="1034" w:type="dxa"/>
            <w:vMerge w:val="restart"/>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数量指标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开展主题党日、工会老干活动等</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≥5次</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6次以上</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ign w:val="center"/>
          </w:tcPr>
          <w:p>
            <w:pPr>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组织开展安全检查</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≥6次</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7次</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组织</w:t>
            </w:r>
            <w:r>
              <w:rPr>
                <w:rFonts w:ascii="Times New Roman" w:hAnsi="Times New Roman" w:eastAsia="仿宋_GB2312" w:cs="Times New Roman"/>
                <w:color w:val="000000"/>
                <w:sz w:val="20"/>
                <w:szCs w:val="20"/>
              </w:rPr>
              <w:t>消防培训演练</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≥12次</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12次</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提供</w:t>
            </w:r>
            <w:r>
              <w:rPr>
                <w:rFonts w:ascii="Times New Roman" w:hAnsi="Times New Roman" w:eastAsia="仿宋_GB2312" w:cs="Times New Roman"/>
                <w:color w:val="000000"/>
                <w:sz w:val="20"/>
                <w:szCs w:val="20"/>
              </w:rPr>
              <w:t>简易诊疗和健康咨询等服务</w:t>
            </w:r>
            <w:r>
              <w:rPr>
                <w:rFonts w:hint="eastAsia" w:ascii="Times New Roman" w:hAnsi="Times New Roman" w:eastAsia="仿宋_GB2312" w:cs="Times New Roman"/>
                <w:color w:val="000000"/>
                <w:sz w:val="20"/>
                <w:szCs w:val="20"/>
              </w:rPr>
              <w:t>次数</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≥500人次</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1000人次</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质量指标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加强资产管理</w:t>
            </w:r>
            <w:r>
              <w:rPr>
                <w:rFonts w:hint="eastAsia" w:ascii="Times New Roman" w:hAnsi="Times New Roman" w:eastAsia="仿宋_GB2312" w:cs="Times New Roman"/>
                <w:color w:val="000000"/>
                <w:sz w:val="20"/>
                <w:szCs w:val="20"/>
              </w:rPr>
              <w:t>,完善公物仓管理制度</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建立资产台账，</w:t>
            </w:r>
            <w:r>
              <w:rPr>
                <w:rFonts w:hint="eastAsia" w:ascii="Times New Roman" w:hAnsi="Times New Roman" w:eastAsia="仿宋_GB2312" w:cs="Times New Roman"/>
                <w:color w:val="000000"/>
                <w:sz w:val="20"/>
                <w:szCs w:val="20"/>
              </w:rPr>
              <w:t>完成资产清查</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noWrap/>
            <w:vAlign w:val="center"/>
          </w:tcPr>
          <w:p>
            <w:pPr>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加强机关职工餐卡管理，升级食堂消费系统</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清理旧餐卡</w:t>
            </w:r>
            <w:r>
              <w:rPr>
                <w:rFonts w:hint="eastAsia" w:ascii="Times New Roman" w:hAnsi="Times New Roman" w:eastAsia="仿宋_GB2312" w:cs="Times New Roman"/>
                <w:color w:val="000000"/>
                <w:sz w:val="20"/>
                <w:szCs w:val="20"/>
              </w:rPr>
              <w:t>，做好系统升级</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做好厅机关日常会议服务工作</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高质量完成各类会议服务和接待工作</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时效指标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按时完成厅主题教育领导小组下达的任务</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按时完成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rPr>
              <w:t>已完成</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及时做好机关办公用房信息数据更新及上报</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及时更新</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rPr>
              <w:t>已完成</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效益指标</w:t>
            </w:r>
          </w:p>
          <w:p>
            <w:pPr>
              <w:widowControl/>
              <w:spacing w:line="240" w:lineRule="exact"/>
              <w:jc w:val="left"/>
              <w:rPr>
                <w:rFonts w:ascii="Times New Roman" w:hAnsi="Times New Roman" w:eastAsia="仿宋_GB2312" w:cs="Times New Roman"/>
                <w:color w:val="000000"/>
                <w:sz w:val="20"/>
                <w:szCs w:val="20"/>
              </w:rPr>
            </w:pPr>
          </w:p>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（30分）</w:t>
            </w:r>
          </w:p>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03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经济效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70"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加强能耗数据台帐管理</w:t>
            </w:r>
            <w:r>
              <w:rPr>
                <w:rFonts w:hint="eastAsia" w:ascii="Times New Roman" w:hAnsi="Times New Roman" w:eastAsia="仿宋_GB2312" w:cs="Times New Roman"/>
                <w:color w:val="000000"/>
                <w:sz w:val="20"/>
                <w:szCs w:val="20"/>
              </w:rPr>
              <w:t>和</w:t>
            </w:r>
            <w:r>
              <w:rPr>
                <w:rFonts w:ascii="Times New Roman" w:hAnsi="Times New Roman" w:eastAsia="仿宋_GB2312" w:cs="Times New Roman"/>
                <w:color w:val="000000"/>
                <w:sz w:val="20"/>
                <w:szCs w:val="20"/>
              </w:rPr>
              <w:t>机关能源资源管理</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认真监管水、电、气三项能源资源消耗指标</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社会效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70"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完成2023年度厅机关新人住房补贴申报、公示及审批工作</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已完成</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Times New Roman" w:hAnsi="Times New Roman" w:eastAsia="仿宋_GB2312" w:cs="Times New Roman"/>
                <w:color w:val="000000"/>
                <w:sz w:val="20"/>
                <w:szCs w:val="20"/>
              </w:rPr>
            </w:pPr>
          </w:p>
        </w:tc>
        <w:tc>
          <w:tcPr>
            <w:tcW w:w="1270" w:type="dxa"/>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安全运行，实现公务车辆管理“全省一张网”</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全面进入湖南省公务车辆用车信息管理平台</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完成</w:t>
            </w:r>
            <w:r>
              <w:rPr>
                <w:rFonts w:hint="eastAsia" w:ascii="Times New Roman" w:hAnsi="Times New Roman" w:eastAsia="仿宋_GB2312" w:cs="Times New Roman"/>
                <w:color w:val="000000"/>
                <w:sz w:val="20"/>
                <w:szCs w:val="20"/>
              </w:rPr>
              <w:t>东院、西院的维修、升级改造工作</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已完成</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34"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生态效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开展减塑限塑、垃圾分类与节水创建工作</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开展</w:t>
            </w:r>
            <w:r>
              <w:rPr>
                <w:rFonts w:ascii="Times New Roman" w:hAnsi="Times New Roman" w:eastAsia="仿宋_GB2312" w:cs="Times New Roman"/>
                <w:color w:val="000000"/>
                <w:sz w:val="20"/>
                <w:szCs w:val="20"/>
              </w:rPr>
              <w:t>节能降耗宣传培训</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8</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8</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ign w:val="center"/>
          </w:tcPr>
          <w:p>
            <w:pPr>
              <w:spacing w:line="240" w:lineRule="exact"/>
              <w:jc w:val="left"/>
              <w:rPr>
                <w:rFonts w:ascii="Times New Roman" w:hAnsi="Times New Roman" w:eastAsia="仿宋_GB2312" w:cs="Times New Roman"/>
                <w:color w:val="000000"/>
                <w:sz w:val="20"/>
                <w:szCs w:val="20"/>
              </w:rPr>
            </w:pPr>
          </w:p>
        </w:tc>
        <w:tc>
          <w:tcPr>
            <w:tcW w:w="1080" w:type="dxa"/>
            <w:tcBorders>
              <w:top w:val="nil"/>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满意度</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（10分）</w:t>
            </w:r>
          </w:p>
        </w:tc>
        <w:tc>
          <w:tcPr>
            <w:tcW w:w="1034" w:type="dxa"/>
            <w:tcBorders>
              <w:top w:val="single" w:color="auto" w:sz="4" w:space="0"/>
              <w:left w:val="nil"/>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服务对象满意度指标</w:t>
            </w:r>
          </w:p>
        </w:tc>
        <w:tc>
          <w:tcPr>
            <w:tcW w:w="1270"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社会公众或服务对象的满意程度</w:t>
            </w:r>
          </w:p>
        </w:tc>
        <w:tc>
          <w:tcPr>
            <w:tcW w:w="1311"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90%以上</w:t>
            </w:r>
          </w:p>
        </w:tc>
        <w:tc>
          <w:tcPr>
            <w:tcW w:w="1269"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96%</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873"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总分</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100</w:t>
            </w:r>
          </w:p>
        </w:tc>
        <w:tc>
          <w:tcPr>
            <w:tcW w:w="873"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rPr>
              <w:t>97.6</w:t>
            </w:r>
          </w:p>
        </w:tc>
        <w:tc>
          <w:tcPr>
            <w:tcW w:w="1446" w:type="dxa"/>
            <w:tcBorders>
              <w:top w:val="nil"/>
              <w:left w:val="nil"/>
              <w:bottom w:val="single" w:color="auto" w:sz="4" w:space="0"/>
              <w:right w:val="single" w:color="auto" w:sz="4" w:space="0"/>
            </w:tcBorders>
            <w:noWrap/>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bl>
    <w:p>
      <w:pPr>
        <w:pStyle w:val="2"/>
        <w:ind w:firstLine="480"/>
      </w:pPr>
    </w:p>
    <w:sectPr>
      <w:headerReference r:id="rId3" w:type="default"/>
      <w:footerReference r:id="rId4" w:type="default"/>
      <w:footerReference r:id="rId5" w:type="even"/>
      <w:pgSz w:w="11905" w:h="16837"/>
      <w:pgMar w:top="1417" w:right="1588" w:bottom="1417" w:left="1588" w:header="720" w:footer="1304" w:gutter="0"/>
      <w:pgNumType w:fmt="numberInDash" w:start="1"/>
      <w:cols w:space="720" w:num="1"/>
      <w:docGrid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3"/>
        <w:sz w:val="28"/>
        <w:szCs w:val="28"/>
      </w:rPr>
    </w:pP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- 3 -</w:t>
    </w:r>
    <w:r>
      <w:rPr>
        <w:sz w:val="28"/>
        <w:szCs w:val="28"/>
      </w:rPr>
      <w:fldChar w:fldCharType="end"/>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3"/>
        <w:rFonts w:ascii="宋体" w:hAnsi="宋体"/>
        <w:sz w:val="28"/>
        <w:szCs w:val="28"/>
      </w:rPr>
    </w:pPr>
    <w:r>
      <w:rPr>
        <w:rFonts w:ascii="宋体" w:hAnsi="宋体"/>
        <w:sz w:val="28"/>
        <w:szCs w:val="28"/>
      </w:rPr>
      <w:fldChar w:fldCharType="begin"/>
    </w:r>
    <w:r>
      <w:rPr>
        <w:rStyle w:val="13"/>
        <w:rFonts w:ascii="宋体" w:hAnsi="宋体"/>
        <w:sz w:val="28"/>
        <w:szCs w:val="28"/>
      </w:rPr>
      <w:instrText xml:space="preserve">PAGE  </w:instrText>
    </w:r>
    <w:r>
      <w:rPr>
        <w:rFonts w:ascii="宋体" w:hAnsi="宋体"/>
        <w:sz w:val="28"/>
        <w:szCs w:val="28"/>
      </w:rPr>
      <w:fldChar w:fldCharType="separate"/>
    </w:r>
    <w:r>
      <w:rPr>
        <w:rStyle w:val="13"/>
        <w:rFonts w:ascii="宋体" w:hAnsi="宋体"/>
        <w:sz w:val="28"/>
        <w:szCs w:val="28"/>
      </w:rPr>
      <w:t>- 2 -</w:t>
    </w:r>
    <w:r>
      <w:rPr>
        <w:rFonts w:ascii="宋体" w:hAnsi="宋体"/>
        <w:sz w:val="28"/>
        <w:szCs w:val="28"/>
      </w:rPr>
      <w:fldChar w:fldCharType="end"/>
    </w:r>
  </w:p>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DE2A6C"/>
    <w:multiLevelType w:val="singleLevel"/>
    <w:tmpl w:val="BCDE2A6C"/>
    <w:lvl w:ilvl="0" w:tentative="0">
      <w:start w:val="1"/>
      <w:numFmt w:val="chineseCounting"/>
      <w:suff w:val="nothing"/>
      <w:lvlText w:val="%1、"/>
      <w:lvlJc w:val="left"/>
      <w:rPr>
        <w:rFonts w:hint="eastAsia"/>
      </w:rPr>
    </w:lvl>
  </w:abstractNum>
  <w:abstractNum w:abstractNumId="1">
    <w:nsid w:val="E62411CA"/>
    <w:multiLevelType w:val="singleLevel"/>
    <w:tmpl w:val="E62411CA"/>
    <w:lvl w:ilvl="0" w:tentative="0">
      <w:start w:val="7"/>
      <w:numFmt w:val="chineseCounting"/>
      <w:suff w:val="nothing"/>
      <w:lvlText w:val="%1、"/>
      <w:lvlJc w:val="left"/>
      <w:rPr>
        <w:rFonts w:hint="eastAsia"/>
      </w:rPr>
    </w:lvl>
  </w:abstractNum>
  <w:abstractNum w:abstractNumId="2">
    <w:nsid w:val="EE6560A1"/>
    <w:multiLevelType w:val="singleLevel"/>
    <w:tmpl w:val="EE6560A1"/>
    <w:lvl w:ilvl="0" w:tentative="0">
      <w:start w:val="3"/>
      <w:numFmt w:val="decimal"/>
      <w:suff w:val="nothing"/>
      <w:lvlText w:val="%1、"/>
      <w:lvlJc w:val="left"/>
      <w:pPr>
        <w:ind w:left="640" w:firstLine="0"/>
      </w:pPr>
    </w:lvl>
  </w:abstractNum>
  <w:abstractNum w:abstractNumId="3">
    <w:nsid w:val="16CB23E8"/>
    <w:multiLevelType w:val="singleLevel"/>
    <w:tmpl w:val="16CB23E8"/>
    <w:lvl w:ilvl="0" w:tentative="0">
      <w:start w:val="1"/>
      <w:numFmt w:val="chineseCounting"/>
      <w:suff w:val="nothing"/>
      <w:lvlText w:val="%1、"/>
      <w:lvlJc w:val="left"/>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B01B5"/>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50C62"/>
    <w:rsid w:val="0086638C"/>
    <w:rsid w:val="008979FF"/>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0582"/>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FE33842"/>
    <w:rsid w:val="19A873EE"/>
    <w:rsid w:val="1AD46DA5"/>
    <w:rsid w:val="1D97DEFF"/>
    <w:rsid w:val="1DFF72E5"/>
    <w:rsid w:val="1EFC6F07"/>
    <w:rsid w:val="1F0D46F7"/>
    <w:rsid w:val="230B774D"/>
    <w:rsid w:val="29635472"/>
    <w:rsid w:val="2AB232B9"/>
    <w:rsid w:val="2FDF85B8"/>
    <w:rsid w:val="2FFFEE04"/>
    <w:rsid w:val="31990EA4"/>
    <w:rsid w:val="34DF85B0"/>
    <w:rsid w:val="3B8F36BC"/>
    <w:rsid w:val="40D62D1B"/>
    <w:rsid w:val="43041B39"/>
    <w:rsid w:val="491F0E89"/>
    <w:rsid w:val="491FF225"/>
    <w:rsid w:val="4FFD214C"/>
    <w:rsid w:val="521420E4"/>
    <w:rsid w:val="54582CE9"/>
    <w:rsid w:val="573D046F"/>
    <w:rsid w:val="5777D4F5"/>
    <w:rsid w:val="59DD8326"/>
    <w:rsid w:val="5A63324E"/>
    <w:rsid w:val="5CA857FB"/>
    <w:rsid w:val="5DEF592A"/>
    <w:rsid w:val="5FC6BB1E"/>
    <w:rsid w:val="5FF720F1"/>
    <w:rsid w:val="67FF5C0B"/>
    <w:rsid w:val="6EFC0924"/>
    <w:rsid w:val="6FB74722"/>
    <w:rsid w:val="6FEF8B7E"/>
    <w:rsid w:val="71A6591B"/>
    <w:rsid w:val="737D59BA"/>
    <w:rsid w:val="77C37683"/>
    <w:rsid w:val="78626B8D"/>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9"/>
    <w:pPr>
      <w:keepNext/>
      <w:keepLines/>
      <w:spacing w:line="700" w:lineRule="exact"/>
      <w:jc w:val="center"/>
      <w:outlineLvl w:val="0"/>
    </w:pPr>
    <w:rPr>
      <w:rFonts w:eastAsia="方正小标宋简体"/>
      <w:bCs/>
      <w:kern w:val="44"/>
      <w:sz w:val="44"/>
      <w:szCs w:val="44"/>
    </w:rPr>
  </w:style>
  <w:style w:type="paragraph" w:styleId="5">
    <w:name w:val="heading 2"/>
    <w:basedOn w:val="1"/>
    <w:next w:val="1"/>
    <w:qFormat/>
    <w:uiPriority w:val="0"/>
    <w:pPr>
      <w:outlineLvl w:val="1"/>
    </w:pPr>
    <w:rPr>
      <w:rFonts w:eastAsia="黑体"/>
      <w:bCs/>
      <w:szCs w:val="32"/>
    </w:rPr>
  </w:style>
  <w:style w:type="paragraph" w:styleId="6">
    <w:name w:val="heading 3"/>
    <w:basedOn w:val="1"/>
    <w:next w:val="1"/>
    <w:qFormat/>
    <w:uiPriority w:val="0"/>
    <w:pPr>
      <w:keepNext/>
      <w:keepLines/>
      <w:outlineLvl w:val="2"/>
    </w:pPr>
    <w:rPr>
      <w:rFonts w:eastAsia="黑体"/>
      <w:bCs/>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widowControl/>
      <w:spacing w:after="120"/>
      <w:ind w:left="420" w:leftChars="200"/>
      <w:jc w:val="left"/>
    </w:pPr>
    <w:rPr>
      <w:rFonts w:ascii="宋体" w:hAnsi="宋体" w:eastAsia="宋体" w:cs="宋体"/>
      <w:kern w:val="0"/>
      <w:sz w:val="24"/>
    </w:r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2"/>
    <w:semiHidden/>
    <w:qFormat/>
    <w:uiPriority w:val="0"/>
    <w:pPr>
      <w:snapToGrid w:val="0"/>
      <w:jc w:val="left"/>
    </w:pPr>
    <w:rPr>
      <w:sz w:val="18"/>
      <w:szCs w:val="18"/>
    </w:rPr>
  </w:style>
  <w:style w:type="character" w:styleId="13">
    <w:name w:val="page number"/>
    <w:basedOn w:val="12"/>
    <w:qFormat/>
    <w:uiPriority w:val="0"/>
  </w:style>
  <w:style w:type="character" w:customStyle="1" w:styleId="14">
    <w:name w:val="页眉 Char"/>
    <w:basedOn w:val="12"/>
    <w:link w:val="9"/>
    <w:qFormat/>
    <w:uiPriority w:val="99"/>
    <w:rPr>
      <w:sz w:val="18"/>
      <w:szCs w:val="18"/>
    </w:rPr>
  </w:style>
  <w:style w:type="character" w:customStyle="1" w:styleId="15">
    <w:name w:val="页脚 Char"/>
    <w:basedOn w:val="12"/>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2"/>
    <w:link w:val="7"/>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 w:type="paragraph" w:customStyle="1" w:styleId="22">
    <w:name w:val="标题二级"/>
    <w:basedOn w:val="1"/>
    <w:qFormat/>
    <w:uiPriority w:val="0"/>
    <w:pPr>
      <w:adjustRightInd w:val="0"/>
      <w:snapToGrid w:val="0"/>
      <w:spacing w:line="560" w:lineRule="exact"/>
      <w:ind w:firstLine="643" w:firstLineChars="200"/>
    </w:pPr>
    <w:rPr>
      <w:rFonts w:ascii="楷体" w:hAnsi="楷体" w:eastAsia="楷体" w:cs="楷体"/>
      <w:b/>
      <w:bCs/>
      <w:sz w:val="32"/>
      <w:szCs w:val="32"/>
    </w:rPr>
  </w:style>
  <w:style w:type="paragraph" w:customStyle="1" w:styleId="23">
    <w:name w:val="标题三级2020"/>
    <w:basedOn w:val="1"/>
    <w:qFormat/>
    <w:uiPriority w:val="0"/>
    <w:pPr>
      <w:autoSpaceDE w:val="0"/>
      <w:autoSpaceDN w:val="0"/>
      <w:adjustRightInd w:val="0"/>
      <w:spacing w:line="580" w:lineRule="exact"/>
      <w:ind w:firstLine="640" w:firstLineChars="200"/>
      <w:outlineLvl w:val="0"/>
    </w:pPr>
    <w:rPr>
      <w:rFonts w:hint="eastAsia" w:ascii="Times New Roman" w:hAnsi="Times New Roman" w:eastAsia="仿宋_GB2312"/>
      <w:b/>
      <w:bCs/>
      <w:color w:val="010101"/>
      <w:sz w:val="32"/>
      <w:szCs w:val="32"/>
    </w:rPr>
  </w:style>
  <w:style w:type="paragraph" w:customStyle="1" w:styleId="24">
    <w:name w:val="列表段落"/>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36474-470F-42FB-9B93-3D84A785255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2288</Words>
  <Characters>13047</Characters>
  <Lines>108</Lines>
  <Paragraphs>30</Paragraphs>
  <TotalTime>3</TotalTime>
  <ScaleCrop>false</ScaleCrop>
  <LinksUpToDate>false</LinksUpToDate>
  <CharactersWithSpaces>15305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2024-09-06T03:32:00Z</dcterms:created>
  <dc:creator>李航 null</dc:creator>
  <cp:lastModifiedBy>lenovo</cp:lastModifiedBy>
  <cp:lastPrinted>2024-09-06T03:33:00Z</cp:lastPrinted>
  <dcterms:modified xsi:type="dcterms:W3CDTF">2024-09-06T06:59:41Z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