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r>
        <w:rPr>
          <w:sz w:val="56"/>
        </w:rPr>
        <mc:AlternateContent>
          <mc:Choice Requires="wps">
            <w:drawing>
              <wp:anchor distT="0" distB="0" distL="114300" distR="114300" simplePos="0" relativeHeight="251660288"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1" name="文本框 1"/>
                <wp:cNvGraphicFramePr/>
                <a:graphic xmlns:a="http://schemas.openxmlformats.org/drawingml/2006/main">
                  <a:graphicData uri="http://schemas.microsoft.com/office/word/2010/wordprocessingShape">
                    <wps:wsp>
                      <wps:cNvSpPr txBox="1"/>
                      <wps:spPr>
                        <a:xfrm>
                          <a:off x="1799590" y="935990"/>
                          <a:ext cx="1523365" cy="5175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sz w:val="30"/>
                                <w:szCs w:val="3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6pt;margin-top:-23.4pt;height:40.75pt;width:119.95pt;z-index:251660288;mso-width-relative:page;mso-height-relative:page;" fillcolor="#FFFFFF [3201]" filled="t" stroked="f" coordsize="21600,21600" o:gfxdata="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LwJlDWAAAACgEAAA8AAAAAAAAAAQAgAAAAIgAAAGRycy9kb3du&#10;cmV2LnhtbFBLAQIUABQAAAAIAIdO4kBDKpePOgIAAEwEAAAOAAAAAAAAAAEAIAAAACUBAABkcnMv&#10;ZTJvRG9jLnhtbFBLBQYAAAAABgAGAFkBAADRBQAAAAA=&#10;">
                <v:fill on="t" focussize="0,0"/>
                <v:stroke on="f" weight="0.5pt"/>
                <v:imagedata o:title=""/>
                <o:lock v:ext="edit" aspectratio="f"/>
                <v:textbox>
                  <w:txbxContent>
                    <w:p>
                      <w:pPr>
                        <w:rPr>
                          <w:rFonts w:hint="eastAsia" w:ascii="楷体" w:hAnsi="楷体" w:eastAsia="楷体" w:cs="楷体"/>
                          <w:sz w:val="30"/>
                          <w:szCs w:val="30"/>
                          <w:lang w:val="en-US" w:eastAsia="zh-CN"/>
                        </w:rPr>
                      </w:pPr>
                    </w:p>
                  </w:txbxContent>
                </v:textbox>
              </v:shape>
            </w:pict>
          </mc:Fallback>
        </mc:AlternateContent>
      </w:r>
    </w:p>
    <w:p>
      <w:pPr>
        <w:pStyle w:val="14"/>
        <w:jc w:val="center"/>
        <w:rPr>
          <w:sz w:val="56"/>
          <w:szCs w:val="56"/>
        </w:rPr>
      </w:pPr>
    </w:p>
    <w:p>
      <w:pPr>
        <w:pStyle w:val="14"/>
        <w:jc w:val="center"/>
        <w:rPr>
          <w:sz w:val="84"/>
          <w:szCs w:val="84"/>
        </w:rPr>
      </w:pPr>
    </w:p>
    <w:p>
      <w:pPr>
        <w:pStyle w:val="14"/>
        <w:jc w:val="both"/>
        <w:rPr>
          <w:rFonts w:hint="eastAsia" w:ascii="方正小标宋_GBK" w:hAnsi="方正小标宋_GBK" w:eastAsia="方正小标宋_GBK" w:cs="方正小标宋_GBK"/>
          <w:sz w:val="72"/>
          <w:szCs w:val="72"/>
        </w:rPr>
      </w:pPr>
    </w:p>
    <w:p>
      <w:pPr>
        <w:pStyle w:val="14"/>
        <w:ind w:firstLine="3600" w:firstLineChars="500"/>
        <w:jc w:val="both"/>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202</w:t>
      </w:r>
      <w:r>
        <w:rPr>
          <w:rFonts w:hint="eastAsia" w:ascii="方正小标宋_GBK" w:hAnsi="方正小标宋_GBK" w:eastAsia="方正小标宋_GBK" w:cs="方正小标宋_GBK"/>
          <w:sz w:val="72"/>
          <w:szCs w:val="72"/>
          <w:lang w:val="en-US" w:eastAsia="zh-CN"/>
        </w:rPr>
        <w:t>3</w:t>
      </w:r>
      <w:r>
        <w:rPr>
          <w:rFonts w:hint="eastAsia" w:ascii="方正小标宋_GBK" w:hAnsi="方正小标宋_GBK" w:eastAsia="方正小标宋_GBK" w:cs="方正小标宋_GBK"/>
          <w:sz w:val="72"/>
          <w:szCs w:val="72"/>
        </w:rPr>
        <w:t>年度</w:t>
      </w:r>
    </w:p>
    <w:p>
      <w:pPr>
        <w:widowControl w:val="0"/>
        <w:autoSpaceDE w:val="0"/>
        <w:autoSpaceDN w:val="0"/>
        <w:adjustRightInd w:val="0"/>
        <w:jc w:val="center"/>
        <w:rPr>
          <w:rFonts w:hint="eastAsia" w:ascii="方正小标宋_GBK" w:hAnsi="方正小标宋_GBK" w:eastAsia="方正小标宋_GBK" w:cs="方正小标宋_GBK"/>
          <w:color w:val="000000"/>
          <w:kern w:val="0"/>
          <w:sz w:val="72"/>
          <w:szCs w:val="72"/>
          <w:lang w:val="en-US" w:eastAsia="zh-CN" w:bidi="ar-SA"/>
        </w:rPr>
      </w:pPr>
      <w:r>
        <w:rPr>
          <w:rFonts w:hint="eastAsia" w:ascii="方正小标宋_GBK" w:hAnsi="方正小标宋_GBK" w:eastAsia="方正小标宋_GBK" w:cs="方正小标宋_GBK"/>
          <w:color w:val="000000"/>
          <w:kern w:val="0"/>
          <w:sz w:val="72"/>
          <w:szCs w:val="72"/>
          <w:lang w:val="en-US" w:eastAsia="zh-CN" w:bidi="ar-SA"/>
        </w:rPr>
        <w:t>湖南省农业农村信息中心</w:t>
      </w: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color w:val="000000"/>
          <w:kern w:val="0"/>
          <w:sz w:val="72"/>
          <w:szCs w:val="72"/>
          <w:lang w:val="en-US" w:eastAsia="zh-CN" w:bidi="ar-SA"/>
        </w:rPr>
        <w:t>部门决算</w:t>
      </w:r>
    </w:p>
    <w:p>
      <w:pPr>
        <w:pStyle w:val="14"/>
        <w:jc w:val="center"/>
        <w:rPr>
          <w:sz w:val="84"/>
          <w:szCs w:val="84"/>
        </w:rPr>
      </w:pPr>
    </w:p>
    <w:p>
      <w:pPr>
        <w:pStyle w:val="14"/>
        <w:jc w:val="center"/>
        <w:rPr>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jc w:val="center"/>
        <w:rPr>
          <w:sz w:val="32"/>
          <w:szCs w:val="32"/>
        </w:rPr>
      </w:pPr>
    </w:p>
    <w:p>
      <w:pPr>
        <w:pStyle w:val="14"/>
        <w:jc w:val="center"/>
        <w:rPr>
          <w:sz w:val="32"/>
          <w:szCs w:val="32"/>
        </w:rPr>
      </w:pPr>
    </w:p>
    <w:p>
      <w:pPr>
        <w:pStyle w:val="14"/>
        <w:spacing w:line="540" w:lineRule="exact"/>
        <w:jc w:val="both"/>
        <w:rPr>
          <w:sz w:val="56"/>
          <w:szCs w:val="56"/>
        </w:rPr>
      </w:pPr>
    </w:p>
    <w:p>
      <w:pPr>
        <w:pStyle w:val="14"/>
        <w:spacing w:line="500" w:lineRule="exact"/>
        <w:jc w:val="both"/>
        <w:rPr>
          <w:rFonts w:hint="eastAsia"/>
          <w:b/>
          <w:sz w:val="36"/>
          <w:szCs w:val="36"/>
        </w:rPr>
      </w:pPr>
    </w:p>
    <w:p>
      <w:pPr>
        <w:pStyle w:val="14"/>
        <w:spacing w:line="500" w:lineRule="exact"/>
        <w:ind w:firstLine="4698" w:firstLineChars="1300"/>
        <w:jc w:val="both"/>
        <w:rPr>
          <w:b/>
          <w:sz w:val="36"/>
          <w:szCs w:val="36"/>
        </w:rPr>
      </w:pPr>
      <w:r>
        <w:rPr>
          <w:rFonts w:hint="eastAsia"/>
          <w:b/>
          <w:sz w:val="36"/>
          <w:szCs w:val="36"/>
        </w:rPr>
        <w:t>目</w:t>
      </w:r>
      <w:r>
        <w:rPr>
          <w:rFonts w:hint="eastAsia"/>
          <w:b/>
          <w:sz w:val="36"/>
          <w:szCs w:val="36"/>
          <w:lang w:val="en-US" w:eastAsia="zh-CN"/>
        </w:rPr>
        <w:t xml:space="preserve"> </w:t>
      </w:r>
      <w:r>
        <w:rPr>
          <w:rFonts w:hint="eastAsia"/>
          <w:b/>
          <w:sz w:val="36"/>
          <w:szCs w:val="36"/>
        </w:rPr>
        <w:t>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bCs/>
          <w:sz w:val="28"/>
          <w:szCs w:val="28"/>
        </w:rPr>
        <w:t>湖南省农业农村信息中心</w:t>
      </w:r>
      <w:r>
        <w:rPr>
          <w:rFonts w:hint="eastAsia" w:ascii="黑体" w:hAnsi="黑体" w:eastAsia="黑体" w:cs="黑体"/>
          <w:b w:val="0"/>
          <w:bCs/>
          <w:sz w:val="28"/>
          <w:szCs w:val="28"/>
        </w:rPr>
        <w:t>概况</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 w:hAnsi="仿宋" w:eastAsia="仿宋" w:cs="仿宋"/>
          <w:sz w:val="28"/>
          <w:szCs w:val="28"/>
        </w:rPr>
        <w:t>二、机构设置</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一、收入支出决算总表</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二、收入决算表</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三、支出决算表</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四、财政拨款收入支出决算总表</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五、一般公共预算财政拨款支出决算表</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六、一般公共预算财政拨款基本支出决算明细表</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七、政府性基金预算财政拨款收入支出决算表</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八、国有资本经营预算财政拨款支出决算表</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一、收入支出决算总体情况说明</w:t>
      </w:r>
    </w:p>
    <w:p>
      <w:pPr>
        <w:spacing w:line="500" w:lineRule="exact"/>
        <w:ind w:firstLine="700" w:firstLineChars="250"/>
        <w:jc w:val="left"/>
        <w:rPr>
          <w:rFonts w:hint="eastAsia" w:ascii="仿宋" w:hAnsi="仿宋" w:eastAsia="仿宋" w:cs="仿宋"/>
          <w:sz w:val="28"/>
          <w:szCs w:val="28"/>
        </w:rPr>
      </w:pPr>
      <w:r>
        <w:rPr>
          <w:rFonts w:hint="eastAsia" w:ascii="仿宋" w:hAnsi="仿宋" w:eastAsia="仿宋" w:cs="仿宋"/>
          <w:sz w:val="28"/>
          <w:szCs w:val="28"/>
        </w:rPr>
        <w:t>二、收入决算情况说明</w:t>
      </w:r>
    </w:p>
    <w:p>
      <w:pPr>
        <w:autoSpaceDE w:val="0"/>
        <w:autoSpaceDN w:val="0"/>
        <w:adjustRightInd w:val="0"/>
        <w:spacing w:line="500" w:lineRule="exact"/>
        <w:ind w:firstLine="700" w:firstLineChars="25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十一、关于政府采购支出说明</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十二、关于国有资产占用情况说明</w:t>
      </w:r>
    </w:p>
    <w:p>
      <w:pPr>
        <w:pStyle w:val="14"/>
        <w:spacing w:line="5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十三、关于202</w:t>
      </w:r>
      <w:r>
        <w:rPr>
          <w:rFonts w:hint="eastAsia" w:ascii="仿宋" w:hAnsi="仿宋" w:eastAsia="仿宋" w:cs="仿宋"/>
          <w:sz w:val="28"/>
          <w:szCs w:val="28"/>
          <w:lang w:val="en-US" w:eastAsia="zh-CN"/>
        </w:rPr>
        <w:t>3</w:t>
      </w:r>
      <w:r>
        <w:rPr>
          <w:rFonts w:hint="eastAsia" w:ascii="仿宋" w:hAnsi="仿宋" w:eastAsia="仿宋" w:cs="仿宋"/>
          <w:sz w:val="28"/>
          <w:szCs w:val="28"/>
        </w:rPr>
        <w:t>年度</w:t>
      </w:r>
      <w:r>
        <w:rPr>
          <w:rFonts w:hint="eastAsia" w:ascii="仿宋" w:hAnsi="仿宋" w:eastAsia="仿宋" w:cs="仿宋"/>
          <w:sz w:val="28"/>
          <w:szCs w:val="28"/>
          <w:lang w:eastAsia="zh-CN"/>
        </w:rPr>
        <w:t>预算</w:t>
      </w:r>
      <w:r>
        <w:rPr>
          <w:rFonts w:hint="eastAsia" w:ascii="仿宋" w:hAnsi="仿宋" w:eastAsia="仿宋" w:cs="仿宋"/>
          <w:sz w:val="28"/>
          <w:szCs w:val="28"/>
        </w:rPr>
        <w:t>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ind w:firstLine="3600" w:firstLineChars="500"/>
        <w:jc w:val="both"/>
        <w:rPr>
          <w:rFonts w:hint="eastAsia" w:ascii="方正小标宋_GBK" w:hAnsi="方正小标宋_GBK" w:eastAsia="方正小标宋_GBK" w:cs="方正小标宋_GBK"/>
          <w:sz w:val="72"/>
          <w:szCs w:val="72"/>
        </w:rPr>
      </w:pPr>
    </w:p>
    <w:p>
      <w:pPr>
        <w:pStyle w:val="14"/>
        <w:ind w:firstLine="3600" w:firstLineChars="500"/>
        <w:jc w:val="both"/>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 xml:space="preserve">第一部分 </w:t>
      </w: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color w:val="000000"/>
          <w:kern w:val="0"/>
          <w:sz w:val="72"/>
          <w:szCs w:val="72"/>
          <w:lang w:val="en-US" w:eastAsia="zh-CN" w:bidi="ar-SA"/>
        </w:rPr>
        <w:t>湖南省农业农村信息中心</w:t>
      </w:r>
      <w:r>
        <w:rPr>
          <w:rFonts w:hint="eastAsia" w:ascii="方正小标宋_GBK" w:hAnsi="方正小标宋_GBK" w:eastAsia="方正小标宋_GBK" w:cs="方正小标宋_GBK"/>
          <w:sz w:val="72"/>
          <w:szCs w:val="72"/>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spacing w:line="600" w:lineRule="exact"/>
        <w:ind w:firstLine="640" w:firstLineChars="200"/>
        <w:rPr>
          <w:rFonts w:hint="eastAsia" w:ascii="仿宋" w:hAnsi="仿宋" w:eastAsia="仿宋" w:cs="仿宋"/>
          <w:b w:val="0"/>
          <w:bCs/>
          <w:kern w:val="0"/>
          <w:sz w:val="32"/>
          <w:szCs w:val="32"/>
        </w:rPr>
      </w:pPr>
      <w:r>
        <w:rPr>
          <w:rFonts w:hint="eastAsia" w:ascii="仿宋" w:hAnsi="仿宋" w:eastAsia="仿宋" w:cs="仿宋"/>
          <w:b w:val="0"/>
          <w:bCs/>
          <w:kern w:val="0"/>
          <w:sz w:val="32"/>
          <w:szCs w:val="32"/>
        </w:rPr>
        <w:t>承办规范全省农业信息化工作,负责全省农业信息网络体系的规划、建设和管理,农业信息入户工程的试点和技术推广;</w:t>
      </w:r>
    </w:p>
    <w:p>
      <w:pPr>
        <w:widowControl/>
        <w:spacing w:line="600" w:lineRule="exact"/>
        <w:ind w:firstLine="640" w:firstLineChars="200"/>
        <w:rPr>
          <w:rFonts w:hint="eastAsia" w:ascii="仿宋" w:hAnsi="仿宋" w:eastAsia="仿宋" w:cs="仿宋"/>
          <w:b w:val="0"/>
          <w:bCs/>
          <w:kern w:val="0"/>
          <w:sz w:val="32"/>
          <w:szCs w:val="32"/>
        </w:rPr>
      </w:pPr>
      <w:r>
        <w:rPr>
          <w:rFonts w:hint="eastAsia" w:ascii="仿宋" w:hAnsi="仿宋" w:eastAsia="仿宋" w:cs="仿宋"/>
          <w:b w:val="0"/>
          <w:bCs/>
          <w:kern w:val="0"/>
          <w:sz w:val="32"/>
          <w:szCs w:val="32"/>
        </w:rPr>
        <w:t>承办湖南农业信息网的管理与维护,开展网上农业信息服务和电子商务服务;</w:t>
      </w:r>
    </w:p>
    <w:p>
      <w:pPr>
        <w:widowControl/>
        <w:spacing w:line="600" w:lineRule="exact"/>
        <w:ind w:firstLine="640" w:firstLineChars="200"/>
        <w:rPr>
          <w:rFonts w:hint="eastAsia" w:ascii="仿宋" w:hAnsi="仿宋" w:eastAsia="仿宋" w:cs="仿宋"/>
          <w:b w:val="0"/>
          <w:bCs/>
          <w:kern w:val="0"/>
          <w:sz w:val="32"/>
          <w:szCs w:val="32"/>
        </w:rPr>
      </w:pPr>
      <w:r>
        <w:rPr>
          <w:rFonts w:hint="eastAsia" w:ascii="仿宋" w:hAnsi="仿宋" w:eastAsia="仿宋" w:cs="仿宋"/>
          <w:b w:val="0"/>
          <w:bCs/>
          <w:kern w:val="0"/>
          <w:sz w:val="32"/>
          <w:szCs w:val="32"/>
        </w:rPr>
        <w:t>负责全省农业信息网络应用软件的开发和推广;</w:t>
      </w:r>
    </w:p>
    <w:p>
      <w:pPr>
        <w:widowControl/>
        <w:spacing w:line="600" w:lineRule="exact"/>
        <w:ind w:firstLine="640" w:firstLineChars="200"/>
        <w:rPr>
          <w:rFonts w:hint="eastAsia" w:ascii="仿宋" w:hAnsi="仿宋" w:eastAsia="仿宋" w:cs="仿宋"/>
          <w:b w:val="0"/>
          <w:bCs/>
          <w:kern w:val="0"/>
          <w:sz w:val="32"/>
          <w:szCs w:val="32"/>
        </w:rPr>
      </w:pPr>
      <w:r>
        <w:rPr>
          <w:rFonts w:hint="eastAsia" w:ascii="仿宋" w:hAnsi="仿宋" w:eastAsia="仿宋" w:cs="仿宋"/>
          <w:b w:val="0"/>
          <w:bCs/>
          <w:kern w:val="0"/>
          <w:sz w:val="32"/>
          <w:szCs w:val="32"/>
        </w:rPr>
        <w:t>负责全省农业信息网络维护和信息化技术培训;</w:t>
      </w:r>
    </w:p>
    <w:p>
      <w:pPr>
        <w:widowControl/>
        <w:spacing w:line="600" w:lineRule="exact"/>
        <w:ind w:firstLine="640" w:firstLineChars="200"/>
        <w:rPr>
          <w:rFonts w:hint="eastAsia" w:ascii="仿宋" w:hAnsi="仿宋" w:eastAsia="仿宋" w:cs="仿宋"/>
          <w:b w:val="0"/>
          <w:bCs/>
          <w:kern w:val="0"/>
          <w:sz w:val="32"/>
          <w:szCs w:val="32"/>
        </w:rPr>
      </w:pPr>
      <w:r>
        <w:rPr>
          <w:rFonts w:hint="eastAsia" w:ascii="仿宋" w:hAnsi="仿宋" w:eastAsia="仿宋" w:cs="仿宋"/>
          <w:b w:val="0"/>
          <w:bCs/>
          <w:kern w:val="0"/>
          <w:sz w:val="32"/>
          <w:szCs w:val="32"/>
        </w:rPr>
        <w:t>负责厅机关局域网的管理和维护。</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snapToGrid w:val="0"/>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_GB2312"/>
          <w:bCs/>
          <w:kern w:val="0"/>
          <w:sz w:val="32"/>
          <w:szCs w:val="32"/>
        </w:rPr>
        <w:t>（一）内设机构设置。湖南省农业农村信息中心内设机构包括：</w:t>
      </w:r>
      <w:r>
        <w:rPr>
          <w:rFonts w:hint="eastAsia" w:ascii="仿宋_GB2312" w:hAnsi="黑体" w:eastAsia="仿宋" w:cs="Times New Roman"/>
          <w:sz w:val="32"/>
          <w:szCs w:val="32"/>
        </w:rPr>
        <w:t>综合科、网络科、信息科、</w:t>
      </w:r>
      <w:r>
        <w:rPr>
          <w:rFonts w:hint="eastAsia" w:ascii="仿宋" w:hAnsi="仿宋" w:eastAsia="仿宋" w:cs="仿宋"/>
          <w:sz w:val="32"/>
          <w:szCs w:val="32"/>
        </w:rPr>
        <w:t>应用科、数据</w:t>
      </w:r>
      <w:r>
        <w:rPr>
          <w:rFonts w:hint="eastAsia" w:ascii="仿宋" w:hAnsi="仿宋" w:eastAsia="仿宋" w:cs="仿宋"/>
          <w:color w:val="auto"/>
          <w:sz w:val="32"/>
          <w:szCs w:val="32"/>
          <w:u w:val="none"/>
          <w:lang w:val="en-US" w:eastAsia="zh-CN"/>
        </w:rPr>
        <w:t>资源</w:t>
      </w:r>
      <w:r>
        <w:rPr>
          <w:rFonts w:hint="eastAsia" w:ascii="仿宋" w:hAnsi="仿宋" w:eastAsia="仿宋" w:cs="仿宋"/>
          <w:color w:val="auto"/>
          <w:sz w:val="32"/>
          <w:szCs w:val="32"/>
          <w:u w:val="none"/>
        </w:rPr>
        <w:t>科</w:t>
      </w:r>
      <w:r>
        <w:rPr>
          <w:rFonts w:hint="eastAsia" w:ascii="仿宋" w:hAnsi="仿宋" w:eastAsia="仿宋" w:cs="仿宋"/>
          <w:sz w:val="32"/>
          <w:szCs w:val="32"/>
        </w:rPr>
        <w:t>5个内部机构。</w:t>
      </w:r>
    </w:p>
    <w:p>
      <w:pPr>
        <w:ind w:firstLine="640" w:firstLineChars="200"/>
        <w:jc w:val="left"/>
        <w:rPr>
          <w:rFonts w:hint="eastAsia" w:ascii="仿宋" w:hAnsi="仿宋" w:eastAsia="仿宋" w:cs="仿宋"/>
          <w:sz w:val="28"/>
          <w:szCs w:val="28"/>
        </w:rPr>
      </w:pPr>
      <w:r>
        <w:rPr>
          <w:rFonts w:hint="eastAsia" w:ascii="仿宋" w:hAnsi="仿宋" w:eastAsia="仿宋" w:cs="仿宋"/>
          <w:bCs/>
          <w:kern w:val="0"/>
          <w:sz w:val="32"/>
          <w:szCs w:val="32"/>
        </w:rPr>
        <w:t>（二）决算单位构成。湖南省农业农村信息中心202</w:t>
      </w:r>
      <w:r>
        <w:rPr>
          <w:rFonts w:hint="eastAsia" w:ascii="仿宋" w:hAnsi="仿宋" w:eastAsia="仿宋" w:cs="仿宋"/>
          <w:bCs/>
          <w:kern w:val="0"/>
          <w:sz w:val="32"/>
          <w:szCs w:val="32"/>
          <w:lang w:val="en-US" w:eastAsia="zh-CN"/>
        </w:rPr>
        <w:t>3</w:t>
      </w:r>
      <w:r>
        <w:rPr>
          <w:rFonts w:hint="eastAsia" w:ascii="仿宋" w:hAnsi="仿宋" w:eastAsia="仿宋" w:cs="仿宋"/>
          <w:bCs/>
          <w:kern w:val="0"/>
          <w:sz w:val="32"/>
          <w:szCs w:val="32"/>
        </w:rPr>
        <w:t>年部门决算汇总公开单位构成包括：湖南省农业农村信息中心本级。</w:t>
      </w:r>
    </w:p>
    <w:p>
      <w:pPr>
        <w:jc w:val="left"/>
        <w:rPr>
          <w:rFonts w:hint="eastAsia" w:ascii="仿宋" w:hAnsi="仿宋" w:eastAsia="仿宋" w:cs="仿宋"/>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pStyle w:val="14"/>
        <w:ind w:firstLine="3600" w:firstLineChars="500"/>
        <w:jc w:val="both"/>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第二部分</w:t>
      </w: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footerReference r:id="rId3" w:type="default"/>
          <w:pgSz w:w="11906" w:h="16838"/>
          <w:pgMar w:top="493" w:right="493" w:bottom="550" w:left="550" w:header="851" w:footer="992" w:gutter="0"/>
          <w:paperSrc/>
          <w:cols w:space="0" w:num="1"/>
          <w:rtlGutter w:val="0"/>
          <w:docGrid w:type="lines" w:linePitch="312" w:charSpace="0"/>
        </w:sectPr>
      </w:pPr>
    </w:p>
    <w:tbl>
      <w:tblPr>
        <w:tblStyle w:val="10"/>
        <w:tblW w:w="15461" w:type="dxa"/>
        <w:tblInd w:w="-33" w:type="dxa"/>
        <w:tblLayout w:type="fixed"/>
        <w:tblCellMar>
          <w:top w:w="0" w:type="dxa"/>
          <w:left w:w="0" w:type="dxa"/>
          <w:bottom w:w="0" w:type="dxa"/>
          <w:right w:w="0" w:type="dxa"/>
        </w:tblCellMar>
      </w:tblPr>
      <w:tblGrid>
        <w:gridCol w:w="332"/>
        <w:gridCol w:w="493"/>
        <w:gridCol w:w="2640"/>
        <w:gridCol w:w="1275"/>
        <w:gridCol w:w="1365"/>
        <w:gridCol w:w="1845"/>
        <w:gridCol w:w="1860"/>
        <w:gridCol w:w="1815"/>
        <w:gridCol w:w="1875"/>
        <w:gridCol w:w="1961"/>
      </w:tblGrid>
      <w:tr>
        <w:tblPrEx>
          <w:tblLayout w:type="fixed"/>
          <w:tblCellMar>
            <w:top w:w="0" w:type="dxa"/>
            <w:left w:w="0" w:type="dxa"/>
            <w:bottom w:w="0" w:type="dxa"/>
            <w:right w:w="0" w:type="dxa"/>
          </w:tblCellMar>
        </w:tblPrEx>
        <w:trPr>
          <w:trHeight w:val="690" w:hRule="atLeast"/>
        </w:trPr>
        <w:tc>
          <w:tcPr>
            <w:tcW w:w="15461"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Style w:val="10"/>
              <w:tblW w:w="154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20"/>
              <w:gridCol w:w="824"/>
              <w:gridCol w:w="1777"/>
              <w:gridCol w:w="4720"/>
              <w:gridCol w:w="824"/>
              <w:gridCol w:w="16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cantSplit/>
                <w:trHeight w:val="510" w:hRule="exact"/>
              </w:trPr>
              <w:tc>
                <w:tcPr>
                  <w:tcW w:w="15425" w:type="dxa"/>
                  <w:gridSpan w:val="6"/>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6080" w:firstLineChars="1900"/>
                    <w:jc w:val="both"/>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83" w:hRule="exact"/>
              </w:trPr>
              <w:tc>
                <w:tcPr>
                  <w:tcW w:w="562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824"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777"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472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824"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66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83" w:hRule="exact"/>
              </w:trPr>
              <w:tc>
                <w:tcPr>
                  <w:tcW w:w="5620"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部门：湖南省农业农村信息中心</w:t>
                  </w:r>
                </w:p>
              </w:tc>
              <w:tc>
                <w:tcPr>
                  <w:tcW w:w="824"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777"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472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824"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66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8221"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收入</w:t>
                  </w:r>
                </w:p>
              </w:tc>
              <w:tc>
                <w:tcPr>
                  <w:tcW w:w="720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    目</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行次</w:t>
                  </w:r>
                </w:p>
              </w:tc>
              <w:tc>
                <w:tcPr>
                  <w:tcW w:w="17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决算数</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    目</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行次</w:t>
                  </w:r>
                </w:p>
              </w:tc>
              <w:tc>
                <w:tcPr>
                  <w:tcW w:w="16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栏    次</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16"/>
                      <w:szCs w:val="16"/>
                      <w:u w:val="none"/>
                    </w:rPr>
                  </w:pPr>
                </w:p>
              </w:tc>
              <w:tc>
                <w:tcPr>
                  <w:tcW w:w="17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栏    次</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16"/>
                      <w:szCs w:val="16"/>
                      <w:u w:val="none"/>
                    </w:rPr>
                  </w:pPr>
                </w:p>
              </w:tc>
              <w:tc>
                <w:tcPr>
                  <w:tcW w:w="16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一、一般公共预算财政拨款收入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737.85</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二、政府性基金预算财政拨款收入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二、外交支出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三、国有资本经营预算财政拨款收入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三、国防支出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四、上级补助收入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四、公共安全支出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五、事业收入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五、教育支出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六、经营收入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六、科学技术支出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七、附属单位上缴收入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七、文化旅游体育与传媒支出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八、其他收入</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八、社会保障和就业支出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九、卫生健康支出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十、节能环保支出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41</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十一、城乡社区支出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42</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十二、农林水支出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43</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710.49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十三、交通运输支出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44</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十四、资源勘探工业信息等支出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十五、商业服务业等支出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46</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十六、金融支出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47</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十七、援助其他地区支出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十八、自然资源海洋气象等支出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49</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十九、住房保障支出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二十、粮油物资储备支出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二十一、国有资本经营预算支出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52</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二十二、灾害防治及应急管理支出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53</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二十三、其他支出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54</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二十四、债务还本支出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55</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二十五、债务付息支出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二十六、抗疫特别国债安排的支出</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57</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b/>
                      <w:bCs/>
                      <w:i w:val="0"/>
                      <w:iCs w:val="0"/>
                      <w:color w:val="000000"/>
                      <w:kern w:val="0"/>
                      <w:sz w:val="18"/>
                      <w:szCs w:val="18"/>
                      <w:u w:val="none"/>
                      <w:lang w:val="en-US" w:eastAsia="zh-CN" w:bidi="ar"/>
                    </w:rPr>
                    <w:t>本年收入合计</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737.85</w:t>
                  </w: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rPr>
                  </w:pPr>
                  <w:r>
                    <w:rPr>
                      <w:rFonts w:hint="eastAsia" w:ascii="宋体" w:hAnsi="宋体" w:eastAsia="宋体" w:cs="宋体"/>
                      <w:b/>
                      <w:bCs/>
                      <w:i w:val="0"/>
                      <w:iCs w:val="0"/>
                      <w:color w:val="000000"/>
                      <w:kern w:val="0"/>
                      <w:sz w:val="18"/>
                      <w:szCs w:val="18"/>
                      <w:u w:val="none"/>
                      <w:lang w:val="en-US" w:eastAsia="zh-CN" w:bidi="ar"/>
                    </w:rPr>
                    <w:t>本年支出合计</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58</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726.79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使用非财政拨款结余（含专用结余）</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0.00</w:t>
                  </w: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结余分配</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年初结转和结余</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1,214.70</w:t>
                  </w: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年末结转和结余</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1,225.76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lang w:val="en-US" w:eastAsia="zh-CN"/>
                    </w:rPr>
                  </w:pPr>
                </w:p>
              </w:tc>
              <w:tc>
                <w:tcPr>
                  <w:tcW w:w="4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44" w:hRule="exact"/>
              </w:trPr>
              <w:tc>
                <w:tcPr>
                  <w:tcW w:w="5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总计</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1,952.55</w:t>
                  </w:r>
                </w:p>
              </w:tc>
              <w:tc>
                <w:tcPr>
                  <w:tcW w:w="4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总计</w:t>
                  </w:r>
                </w:p>
              </w:tc>
              <w:tc>
                <w:tcPr>
                  <w:tcW w:w="8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1,952.55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67" w:hRule="exact"/>
              </w:trPr>
              <w:tc>
                <w:tcPr>
                  <w:tcW w:w="15425" w:type="dxa"/>
                  <w:gridSpan w:val="6"/>
                  <w:tcBorders>
                    <w:top w:val="nil"/>
                    <w:left w:val="nil"/>
                    <w:bottom w:val="nil"/>
                    <w:right w:val="nil"/>
                  </w:tcBorders>
                  <w:shd w:val="clear" w:color="auto" w:fill="auto"/>
                  <w:vAlign w:val="center"/>
                </w:tcPr>
                <w:p>
                  <w:pPr>
                    <w:keepNext w:val="0"/>
                    <w:keepLines w:val="0"/>
                    <w:widowControl/>
                    <w:suppressLineNumbers w:val="0"/>
                    <w:spacing w:line="240" w:lineRule="auto"/>
                    <w:ind w:left="0"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18"/>
                      <w:szCs w:val="18"/>
                      <w:u w:val="none"/>
                      <w:lang w:val="en-US" w:eastAsia="zh-CN" w:bidi="ar"/>
                    </w:rPr>
                    <w:t>注：1.本表反映部门本年度的总收支和年末结转结余情况。</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2.本套报表金额单位转换时可能存在尾数误差。</w:t>
                  </w:r>
                </w:p>
              </w:tc>
            </w:tr>
          </w:tbl>
          <w:p>
            <w:pPr>
              <w:ind w:firstLine="6720" w:firstLineChars="2100"/>
              <w:jc w:val="both"/>
              <w:rPr>
                <w:rFonts w:hint="eastAsia" w:ascii="华文中宋" w:hAnsi="华文中宋" w:eastAsia="华文中宋"/>
                <w:color w:val="000000"/>
                <w:sz w:val="32"/>
                <w:szCs w:val="32"/>
              </w:rPr>
            </w:pPr>
            <w:r>
              <w:rPr>
                <w:rFonts w:hint="eastAsia" w:ascii="华文中宋" w:hAnsi="华文中宋" w:eastAsia="华文中宋"/>
                <w:color w:val="000000"/>
                <w:sz w:val="32"/>
                <w:szCs w:val="32"/>
              </w:rPr>
              <w:t>收入决算表</w:t>
            </w:r>
          </w:p>
        </w:tc>
      </w:tr>
      <w:tr>
        <w:tblPrEx>
          <w:tblLayout w:type="fixed"/>
          <w:tblCellMar>
            <w:top w:w="0" w:type="dxa"/>
            <w:left w:w="0" w:type="dxa"/>
            <w:bottom w:w="0" w:type="dxa"/>
            <w:right w:w="0" w:type="dxa"/>
          </w:tblCellMar>
        </w:tblPrEx>
        <w:trPr>
          <w:trHeight w:val="285" w:hRule="atLeast"/>
        </w:trPr>
        <w:tc>
          <w:tcPr>
            <w:tcW w:w="33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49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6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7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6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6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1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6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Layout w:type="fixed"/>
          <w:tblCellMar>
            <w:top w:w="0" w:type="dxa"/>
            <w:left w:w="0" w:type="dxa"/>
            <w:bottom w:w="0" w:type="dxa"/>
            <w:right w:w="0" w:type="dxa"/>
          </w:tblCellMar>
        </w:tblPrEx>
        <w:trPr>
          <w:trHeight w:val="414" w:hRule="atLeast"/>
        </w:trPr>
        <w:tc>
          <w:tcPr>
            <w:tcW w:w="825"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2640" w:type="dxa"/>
            <w:tcBorders>
              <w:top w:val="nil"/>
              <w:left w:val="nil"/>
              <w:bottom w:val="nil"/>
              <w:right w:val="nil"/>
            </w:tcBorders>
            <w:shd w:val="clear" w:color="000000" w:fill="FFFFFF"/>
            <w:noWrap/>
            <w:tcMar>
              <w:top w:w="15" w:type="dxa"/>
              <w:left w:w="15" w:type="dxa"/>
              <w:bottom w:w="0" w:type="dxa"/>
              <w:right w:w="15" w:type="dxa"/>
            </w:tcMar>
            <w:vAlign w:val="center"/>
          </w:tcPr>
          <w:p>
            <w:pPr>
              <w:jc w:val="both"/>
              <w:rPr>
                <w:rFonts w:ascii="宋体" w:hAnsi="宋体" w:eastAsia="宋体" w:cs="宋体"/>
                <w:sz w:val="24"/>
                <w:szCs w:val="24"/>
              </w:rPr>
            </w:pPr>
            <w:r>
              <w:rPr>
                <w:rFonts w:hint="eastAsia" w:ascii="宋体" w:hAnsi="宋体" w:eastAsia="宋体" w:cs="宋体"/>
                <w:i w:val="0"/>
                <w:color w:val="000000"/>
                <w:kern w:val="0"/>
                <w:sz w:val="20"/>
                <w:szCs w:val="20"/>
                <w:u w:val="none"/>
                <w:lang w:val="en-US" w:eastAsia="zh-CN" w:bidi="ar"/>
              </w:rPr>
              <w:t>湖南省农业农村信息中心</w:t>
            </w:r>
            <w:r>
              <w:rPr>
                <w:rFonts w:hint="eastAsia"/>
              </w:rPr>
              <w:t>　</w:t>
            </w:r>
          </w:p>
        </w:tc>
        <w:tc>
          <w:tcPr>
            <w:tcW w:w="127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6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45"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86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1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7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6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Layout w:type="fixed"/>
          <w:tblCellMar>
            <w:top w:w="0" w:type="dxa"/>
            <w:left w:w="0" w:type="dxa"/>
            <w:bottom w:w="0" w:type="dxa"/>
            <w:right w:w="0" w:type="dxa"/>
          </w:tblCellMar>
        </w:tblPrEx>
        <w:trPr>
          <w:trHeight w:val="450" w:hRule="atLeast"/>
        </w:trPr>
        <w:tc>
          <w:tcPr>
            <w:tcW w:w="3465"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27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36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84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86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81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87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96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Layout w:type="fixed"/>
          <w:tblCellMar>
            <w:top w:w="0" w:type="dxa"/>
            <w:left w:w="0" w:type="dxa"/>
            <w:bottom w:w="0" w:type="dxa"/>
            <w:right w:w="0" w:type="dxa"/>
          </w:tblCellMar>
        </w:tblPrEx>
        <w:trPr>
          <w:trHeight w:val="450" w:hRule="atLeast"/>
        </w:trPr>
        <w:tc>
          <w:tcPr>
            <w:tcW w:w="825"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264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6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1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7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6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82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64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6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1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7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6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3465"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27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36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84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86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81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87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96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Layout w:type="fixed"/>
          <w:tblCellMar>
            <w:top w:w="0" w:type="dxa"/>
            <w:left w:w="0" w:type="dxa"/>
            <w:bottom w:w="0" w:type="dxa"/>
            <w:right w:w="0" w:type="dxa"/>
          </w:tblCellMar>
        </w:tblPrEx>
        <w:trPr>
          <w:trHeight w:val="495" w:hRule="atLeast"/>
        </w:trPr>
        <w:tc>
          <w:tcPr>
            <w:tcW w:w="3465"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2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737.85</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737.85</w:t>
            </w:r>
          </w:p>
        </w:tc>
        <w:tc>
          <w:tcPr>
            <w:tcW w:w="18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9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82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both"/>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208</w:t>
            </w:r>
          </w:p>
        </w:tc>
        <w:tc>
          <w:tcPr>
            <w:tcW w:w="2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社会保障和就业支出</w:t>
            </w:r>
          </w:p>
        </w:tc>
        <w:tc>
          <w:tcPr>
            <w:tcW w:w="12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16.30</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16.30</w:t>
            </w:r>
          </w:p>
        </w:tc>
        <w:tc>
          <w:tcPr>
            <w:tcW w:w="18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555" w:hRule="atLeast"/>
        </w:trPr>
        <w:tc>
          <w:tcPr>
            <w:tcW w:w="82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20805</w:t>
            </w:r>
          </w:p>
        </w:tc>
        <w:tc>
          <w:tcPr>
            <w:tcW w:w="2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行政事业单位养老支出</w:t>
            </w:r>
          </w:p>
        </w:tc>
        <w:tc>
          <w:tcPr>
            <w:tcW w:w="12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16.30</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16.30</w:t>
            </w:r>
          </w:p>
        </w:tc>
        <w:tc>
          <w:tcPr>
            <w:tcW w:w="18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534" w:hRule="atLeast"/>
        </w:trPr>
        <w:tc>
          <w:tcPr>
            <w:tcW w:w="82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2080505</w:t>
            </w:r>
          </w:p>
        </w:tc>
        <w:tc>
          <w:tcPr>
            <w:tcW w:w="2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机关事业单位基本养老保险缴费支出</w:t>
            </w:r>
          </w:p>
        </w:tc>
        <w:tc>
          <w:tcPr>
            <w:tcW w:w="12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16.30</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16.30</w:t>
            </w:r>
          </w:p>
        </w:tc>
        <w:tc>
          <w:tcPr>
            <w:tcW w:w="18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82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213</w:t>
            </w:r>
          </w:p>
        </w:tc>
        <w:tc>
          <w:tcPr>
            <w:tcW w:w="2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农林水支出</w:t>
            </w:r>
          </w:p>
        </w:tc>
        <w:tc>
          <w:tcPr>
            <w:tcW w:w="12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721.55</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721.55</w:t>
            </w:r>
          </w:p>
        </w:tc>
        <w:tc>
          <w:tcPr>
            <w:tcW w:w="18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82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21301</w:t>
            </w:r>
          </w:p>
        </w:tc>
        <w:tc>
          <w:tcPr>
            <w:tcW w:w="2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农业农村</w:t>
            </w:r>
          </w:p>
        </w:tc>
        <w:tc>
          <w:tcPr>
            <w:tcW w:w="12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721.55</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721.55</w:t>
            </w:r>
          </w:p>
        </w:tc>
        <w:tc>
          <w:tcPr>
            <w:tcW w:w="18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82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2130111</w:t>
            </w:r>
          </w:p>
        </w:tc>
        <w:tc>
          <w:tcPr>
            <w:tcW w:w="2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统计监测与信息服务</w:t>
            </w:r>
          </w:p>
        </w:tc>
        <w:tc>
          <w:tcPr>
            <w:tcW w:w="12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华文中宋" w:hAnsi="华文中宋" w:eastAsia="华文中宋" w:cs="宋体"/>
                <w:sz w:val="24"/>
                <w:szCs w:val="24"/>
              </w:rPr>
            </w:pPr>
            <w:r>
              <w:rPr>
                <w:rFonts w:hint="eastAsia" w:ascii="宋体" w:hAnsi="宋体" w:eastAsia="宋体" w:cs="宋体"/>
                <w:i w:val="0"/>
                <w:iCs w:val="0"/>
                <w:color w:val="000000"/>
                <w:kern w:val="0"/>
                <w:sz w:val="22"/>
                <w:szCs w:val="22"/>
                <w:u w:val="none"/>
                <w:lang w:val="en-US" w:eastAsia="zh-CN" w:bidi="ar"/>
              </w:rPr>
              <w:t>135.00</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135.00</w:t>
            </w:r>
          </w:p>
        </w:tc>
        <w:tc>
          <w:tcPr>
            <w:tcW w:w="18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82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2130122</w:t>
            </w:r>
          </w:p>
        </w:tc>
        <w:tc>
          <w:tcPr>
            <w:tcW w:w="2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农业生产发展</w:t>
            </w:r>
          </w:p>
        </w:tc>
        <w:tc>
          <w:tcPr>
            <w:tcW w:w="12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315.00</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315.00</w:t>
            </w:r>
          </w:p>
        </w:tc>
        <w:tc>
          <w:tcPr>
            <w:tcW w:w="18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82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2130104</w:t>
            </w:r>
          </w:p>
        </w:tc>
        <w:tc>
          <w:tcPr>
            <w:tcW w:w="2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事业运行</w:t>
            </w:r>
          </w:p>
        </w:tc>
        <w:tc>
          <w:tcPr>
            <w:tcW w:w="12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212.72</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212.72</w:t>
            </w:r>
          </w:p>
        </w:tc>
        <w:tc>
          <w:tcPr>
            <w:tcW w:w="18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825"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2130101</w:t>
            </w:r>
          </w:p>
        </w:tc>
        <w:tc>
          <w:tcPr>
            <w:tcW w:w="2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行政运行</w:t>
            </w:r>
          </w:p>
        </w:tc>
        <w:tc>
          <w:tcPr>
            <w:tcW w:w="12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58.83</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58.83</w:t>
            </w:r>
          </w:p>
        </w:tc>
        <w:tc>
          <w:tcPr>
            <w:tcW w:w="18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15" w:hRule="atLeast"/>
        </w:trPr>
        <w:tc>
          <w:tcPr>
            <w:tcW w:w="15461"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r>
        <w:tblPrEx>
          <w:tblLayout w:type="fixed"/>
          <w:tblCellMar>
            <w:top w:w="0" w:type="dxa"/>
            <w:left w:w="0" w:type="dxa"/>
            <w:bottom w:w="0" w:type="dxa"/>
            <w:right w:w="0" w:type="dxa"/>
          </w:tblCellMar>
        </w:tblPrEx>
        <w:trPr>
          <w:trHeight w:val="615" w:hRule="atLeast"/>
        </w:trPr>
        <w:tc>
          <w:tcPr>
            <w:tcW w:w="15461"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hint="eastAsia"/>
              </w:rPr>
            </w:pP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p>
    <w:tbl>
      <w:tblPr>
        <w:tblStyle w:val="10"/>
        <w:tblW w:w="15640" w:type="dxa"/>
        <w:tblInd w:w="91" w:type="dxa"/>
        <w:tblLayout w:type="fixed"/>
        <w:tblCellMar>
          <w:top w:w="0" w:type="dxa"/>
          <w:left w:w="108" w:type="dxa"/>
          <w:bottom w:w="0" w:type="dxa"/>
          <w:right w:w="108" w:type="dxa"/>
        </w:tblCellMar>
      </w:tblPr>
      <w:tblGrid>
        <w:gridCol w:w="1034"/>
        <w:gridCol w:w="628"/>
        <w:gridCol w:w="1934"/>
        <w:gridCol w:w="436"/>
        <w:gridCol w:w="654"/>
        <w:gridCol w:w="246"/>
        <w:gridCol w:w="178"/>
        <w:gridCol w:w="731"/>
        <w:gridCol w:w="1082"/>
        <w:gridCol w:w="853"/>
        <w:gridCol w:w="473"/>
        <w:gridCol w:w="665"/>
        <w:gridCol w:w="239"/>
        <w:gridCol w:w="435"/>
        <w:gridCol w:w="288"/>
        <w:gridCol w:w="1029"/>
        <w:gridCol w:w="256"/>
        <w:gridCol w:w="635"/>
        <w:gridCol w:w="759"/>
        <w:gridCol w:w="341"/>
        <w:gridCol w:w="880"/>
        <w:gridCol w:w="173"/>
        <w:gridCol w:w="1573"/>
        <w:gridCol w:w="118"/>
      </w:tblGrid>
      <w:tr>
        <w:tblPrEx>
          <w:tblLayout w:type="fixed"/>
          <w:tblCellMar>
            <w:top w:w="0" w:type="dxa"/>
            <w:left w:w="108" w:type="dxa"/>
            <w:bottom w:w="0" w:type="dxa"/>
            <w:right w:w="108" w:type="dxa"/>
          </w:tblCellMar>
        </w:tblPrEx>
        <w:trPr>
          <w:trHeight w:val="807" w:hRule="atLeast"/>
        </w:trPr>
        <w:tc>
          <w:tcPr>
            <w:tcW w:w="15640" w:type="dxa"/>
            <w:gridSpan w:val="24"/>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Layout w:type="fixed"/>
          <w:tblCellMar>
            <w:top w:w="0" w:type="dxa"/>
            <w:left w:w="108" w:type="dxa"/>
            <w:bottom w:w="0" w:type="dxa"/>
            <w:right w:w="108" w:type="dxa"/>
          </w:tblCellMar>
        </w:tblPrEx>
        <w:trPr>
          <w:trHeight w:val="90" w:hRule="atLeast"/>
        </w:trPr>
        <w:tc>
          <w:tcPr>
            <w:tcW w:w="103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2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024"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108" w:type="dxa"/>
            <w:bottom w:w="0" w:type="dxa"/>
            <w:right w:w="108" w:type="dxa"/>
          </w:tblCellMar>
        </w:tblPrEx>
        <w:trPr>
          <w:trHeight w:val="397" w:hRule="exact"/>
        </w:trPr>
        <w:tc>
          <w:tcPr>
            <w:tcW w:w="4686" w:type="dxa"/>
            <w:gridSpan w:val="5"/>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部门：湖南省农业农村信息中心</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991"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435" w:hRule="atLeast"/>
        </w:trPr>
        <w:tc>
          <w:tcPr>
            <w:tcW w:w="4686" w:type="dxa"/>
            <w:gridSpan w:val="5"/>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155"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935"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2100" w:type="dxa"/>
            <w:gridSpan w:val="5"/>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920"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980"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864"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Layout w:type="fixed"/>
          <w:tblCellMar>
            <w:top w:w="0" w:type="dxa"/>
            <w:left w:w="108" w:type="dxa"/>
            <w:bottom w:w="0" w:type="dxa"/>
            <w:right w:w="108" w:type="dxa"/>
          </w:tblCellMar>
        </w:tblPrEx>
        <w:trPr>
          <w:trHeight w:val="595" w:hRule="atLeast"/>
        </w:trPr>
        <w:tc>
          <w:tcPr>
            <w:tcW w:w="1662"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3024" w:type="dxa"/>
            <w:gridSpan w:val="3"/>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15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00"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2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6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12" w:hRule="atLeast"/>
        </w:trPr>
        <w:tc>
          <w:tcPr>
            <w:tcW w:w="1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024"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15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00"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2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6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97" w:hRule="exact"/>
        </w:trPr>
        <w:tc>
          <w:tcPr>
            <w:tcW w:w="4686" w:type="dxa"/>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155"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935"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2100" w:type="dxa"/>
            <w:gridSpan w:val="5"/>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920"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980"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864"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Layout w:type="fixed"/>
          <w:tblCellMar>
            <w:top w:w="0" w:type="dxa"/>
            <w:left w:w="108" w:type="dxa"/>
            <w:bottom w:w="0" w:type="dxa"/>
            <w:right w:w="108" w:type="dxa"/>
          </w:tblCellMar>
        </w:tblPrEx>
        <w:trPr>
          <w:trHeight w:val="397" w:hRule="exact"/>
        </w:trPr>
        <w:tc>
          <w:tcPr>
            <w:tcW w:w="4686" w:type="dxa"/>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155"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726.79</w:t>
            </w:r>
          </w:p>
        </w:tc>
        <w:tc>
          <w:tcPr>
            <w:tcW w:w="193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281.67</w:t>
            </w:r>
          </w:p>
        </w:tc>
        <w:tc>
          <w:tcPr>
            <w:tcW w:w="2100"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445.12</w:t>
            </w:r>
          </w:p>
        </w:tc>
        <w:tc>
          <w:tcPr>
            <w:tcW w:w="192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98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86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trPr>
        <w:tc>
          <w:tcPr>
            <w:tcW w:w="1662"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208</w:t>
            </w:r>
          </w:p>
        </w:tc>
        <w:tc>
          <w:tcPr>
            <w:tcW w:w="3024"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社会保障和就业支出</w:t>
            </w:r>
          </w:p>
        </w:tc>
        <w:tc>
          <w:tcPr>
            <w:tcW w:w="1155"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16.30</w:t>
            </w:r>
          </w:p>
        </w:tc>
        <w:tc>
          <w:tcPr>
            <w:tcW w:w="193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16.30</w:t>
            </w:r>
          </w:p>
        </w:tc>
        <w:tc>
          <w:tcPr>
            <w:tcW w:w="2100"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2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8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6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trPr>
        <w:tc>
          <w:tcPr>
            <w:tcW w:w="1662"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20805</w:t>
            </w:r>
          </w:p>
        </w:tc>
        <w:tc>
          <w:tcPr>
            <w:tcW w:w="3024"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行政事业单位养老支出</w:t>
            </w:r>
          </w:p>
        </w:tc>
        <w:tc>
          <w:tcPr>
            <w:tcW w:w="1155"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16.30</w:t>
            </w:r>
          </w:p>
        </w:tc>
        <w:tc>
          <w:tcPr>
            <w:tcW w:w="193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16.30</w:t>
            </w:r>
          </w:p>
        </w:tc>
        <w:tc>
          <w:tcPr>
            <w:tcW w:w="2100"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2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8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6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632" w:hRule="exact"/>
        </w:trPr>
        <w:tc>
          <w:tcPr>
            <w:tcW w:w="1662"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2080505</w:t>
            </w:r>
          </w:p>
        </w:tc>
        <w:tc>
          <w:tcPr>
            <w:tcW w:w="3024"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机关事业单位基本养老保险缴费支出</w:t>
            </w:r>
          </w:p>
        </w:tc>
        <w:tc>
          <w:tcPr>
            <w:tcW w:w="1155"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16.30</w:t>
            </w:r>
          </w:p>
        </w:tc>
        <w:tc>
          <w:tcPr>
            <w:tcW w:w="193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16.30</w:t>
            </w:r>
          </w:p>
        </w:tc>
        <w:tc>
          <w:tcPr>
            <w:tcW w:w="2100"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2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8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6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trPr>
        <w:tc>
          <w:tcPr>
            <w:tcW w:w="1662"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213</w:t>
            </w:r>
          </w:p>
        </w:tc>
        <w:tc>
          <w:tcPr>
            <w:tcW w:w="3024"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农林水支出</w:t>
            </w:r>
          </w:p>
        </w:tc>
        <w:tc>
          <w:tcPr>
            <w:tcW w:w="1155"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710.49</w:t>
            </w:r>
          </w:p>
        </w:tc>
        <w:tc>
          <w:tcPr>
            <w:tcW w:w="193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265.37</w:t>
            </w:r>
          </w:p>
        </w:tc>
        <w:tc>
          <w:tcPr>
            <w:tcW w:w="2100"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445.12</w:t>
            </w:r>
          </w:p>
        </w:tc>
        <w:tc>
          <w:tcPr>
            <w:tcW w:w="192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8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6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trPr>
        <w:tc>
          <w:tcPr>
            <w:tcW w:w="1662"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21301</w:t>
            </w:r>
          </w:p>
        </w:tc>
        <w:tc>
          <w:tcPr>
            <w:tcW w:w="3024"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农业农村</w:t>
            </w:r>
          </w:p>
        </w:tc>
        <w:tc>
          <w:tcPr>
            <w:tcW w:w="1155"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710.49</w:t>
            </w:r>
          </w:p>
        </w:tc>
        <w:tc>
          <w:tcPr>
            <w:tcW w:w="193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265.37</w:t>
            </w:r>
          </w:p>
        </w:tc>
        <w:tc>
          <w:tcPr>
            <w:tcW w:w="2100"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445.12</w:t>
            </w:r>
          </w:p>
        </w:tc>
        <w:tc>
          <w:tcPr>
            <w:tcW w:w="192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8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6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trPr>
        <w:tc>
          <w:tcPr>
            <w:tcW w:w="1662"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2130111</w:t>
            </w:r>
          </w:p>
        </w:tc>
        <w:tc>
          <w:tcPr>
            <w:tcW w:w="3024"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统计监测与信息服务</w:t>
            </w:r>
          </w:p>
        </w:tc>
        <w:tc>
          <w:tcPr>
            <w:tcW w:w="1155"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174.83</w:t>
            </w:r>
          </w:p>
        </w:tc>
        <w:tc>
          <w:tcPr>
            <w:tcW w:w="193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100"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174.83</w:t>
            </w:r>
          </w:p>
        </w:tc>
        <w:tc>
          <w:tcPr>
            <w:tcW w:w="192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8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6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trPr>
        <w:tc>
          <w:tcPr>
            <w:tcW w:w="1662"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2130199</w:t>
            </w:r>
          </w:p>
        </w:tc>
        <w:tc>
          <w:tcPr>
            <w:tcW w:w="3024"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其他农业农村支出</w:t>
            </w:r>
          </w:p>
        </w:tc>
        <w:tc>
          <w:tcPr>
            <w:tcW w:w="1155"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36.96</w:t>
            </w:r>
          </w:p>
        </w:tc>
        <w:tc>
          <w:tcPr>
            <w:tcW w:w="193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100"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36.96</w:t>
            </w:r>
          </w:p>
        </w:tc>
        <w:tc>
          <w:tcPr>
            <w:tcW w:w="192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8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6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trPr>
        <w:tc>
          <w:tcPr>
            <w:tcW w:w="1662"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2130122</w:t>
            </w:r>
          </w:p>
        </w:tc>
        <w:tc>
          <w:tcPr>
            <w:tcW w:w="3024"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农业生产发展</w:t>
            </w:r>
          </w:p>
        </w:tc>
        <w:tc>
          <w:tcPr>
            <w:tcW w:w="1155"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233.33</w:t>
            </w:r>
          </w:p>
        </w:tc>
        <w:tc>
          <w:tcPr>
            <w:tcW w:w="193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100"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233.33</w:t>
            </w:r>
          </w:p>
        </w:tc>
        <w:tc>
          <w:tcPr>
            <w:tcW w:w="192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8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6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trPr>
        <w:tc>
          <w:tcPr>
            <w:tcW w:w="1662"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2130104</w:t>
            </w:r>
          </w:p>
        </w:tc>
        <w:tc>
          <w:tcPr>
            <w:tcW w:w="3024"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事业运行</w:t>
            </w:r>
          </w:p>
        </w:tc>
        <w:tc>
          <w:tcPr>
            <w:tcW w:w="1155"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206.54</w:t>
            </w:r>
          </w:p>
        </w:tc>
        <w:tc>
          <w:tcPr>
            <w:tcW w:w="193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206.54</w:t>
            </w:r>
          </w:p>
        </w:tc>
        <w:tc>
          <w:tcPr>
            <w:tcW w:w="2100"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2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8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6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trPr>
        <w:tc>
          <w:tcPr>
            <w:tcW w:w="1662"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2130101</w:t>
            </w:r>
          </w:p>
        </w:tc>
        <w:tc>
          <w:tcPr>
            <w:tcW w:w="3024"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行政运行</w:t>
            </w:r>
          </w:p>
        </w:tc>
        <w:tc>
          <w:tcPr>
            <w:tcW w:w="1155"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58.83</w:t>
            </w:r>
          </w:p>
        </w:tc>
        <w:tc>
          <w:tcPr>
            <w:tcW w:w="193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58.83</w:t>
            </w:r>
          </w:p>
        </w:tc>
        <w:tc>
          <w:tcPr>
            <w:tcW w:w="2100"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2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80"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6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828" w:hRule="atLeast"/>
        </w:trPr>
        <w:tc>
          <w:tcPr>
            <w:tcW w:w="15640" w:type="dxa"/>
            <w:gridSpan w:val="24"/>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r>
        <w:tblPrEx>
          <w:tblLayout w:type="fixed"/>
          <w:tblCellMar>
            <w:top w:w="0" w:type="dxa"/>
            <w:left w:w="108" w:type="dxa"/>
            <w:bottom w:w="0" w:type="dxa"/>
            <w:right w:w="108" w:type="dxa"/>
          </w:tblCellMar>
        </w:tblPrEx>
        <w:trPr>
          <w:trHeight w:val="90" w:hRule="atLeast"/>
        </w:trPr>
        <w:tc>
          <w:tcPr>
            <w:tcW w:w="15640" w:type="dxa"/>
            <w:gridSpan w:val="24"/>
            <w:tcBorders>
              <w:top w:val="nil"/>
              <w:left w:val="nil"/>
              <w:bottom w:val="nil"/>
              <w:right w:val="nil"/>
            </w:tcBorders>
            <w:shd w:val="clear" w:color="auto" w:fill="auto"/>
            <w:vAlign w:val="center"/>
          </w:tcPr>
          <w:p>
            <w:pPr>
              <w:widowControl/>
              <w:jc w:val="left"/>
              <w:rPr>
                <w:rFonts w:hint="eastAsia" w:ascii="宋体" w:hAnsi="宋体" w:eastAsia="宋体" w:cs="宋体"/>
                <w:kern w:val="0"/>
                <w:sz w:val="24"/>
                <w:szCs w:val="24"/>
              </w:rPr>
            </w:pPr>
            <w:bookmarkStart w:id="0" w:name="RANGE!A1:F16"/>
          </w:p>
        </w:tc>
      </w:tr>
      <w:tr>
        <w:tblPrEx>
          <w:tblLayout w:type="fixed"/>
          <w:tblCellMar>
            <w:top w:w="0" w:type="dxa"/>
            <w:left w:w="108" w:type="dxa"/>
            <w:bottom w:w="0" w:type="dxa"/>
            <w:right w:w="108" w:type="dxa"/>
          </w:tblCellMar>
        </w:tblPrEx>
        <w:trPr>
          <w:gridAfter w:val="1"/>
          <w:wAfter w:w="118" w:type="dxa"/>
          <w:trHeight w:val="548" w:hRule="exact"/>
        </w:trPr>
        <w:tc>
          <w:tcPr>
            <w:tcW w:w="15522" w:type="dxa"/>
            <w:gridSpan w:val="23"/>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bookmarkStart w:id="1" w:name="RANGE!A1:I22"/>
            <w:bookmarkEnd w:id="1"/>
            <w:r>
              <w:rPr>
                <w:rFonts w:hint="eastAsia" w:ascii="华文中宋" w:hAnsi="华文中宋" w:eastAsia="华文中宋" w:cs="宋体"/>
                <w:color w:val="000000"/>
                <w:kern w:val="0"/>
                <w:sz w:val="32"/>
                <w:szCs w:val="32"/>
              </w:rPr>
              <w:t>财政拨款收入支出决算总表</w:t>
            </w:r>
          </w:p>
        </w:tc>
      </w:tr>
      <w:tr>
        <w:tblPrEx>
          <w:tblLayout w:type="fixed"/>
          <w:tblCellMar>
            <w:top w:w="0" w:type="dxa"/>
            <w:left w:w="108" w:type="dxa"/>
            <w:bottom w:w="0" w:type="dxa"/>
            <w:right w:w="108" w:type="dxa"/>
          </w:tblCellMar>
        </w:tblPrEx>
        <w:trPr>
          <w:gridAfter w:val="1"/>
          <w:wAfter w:w="118" w:type="dxa"/>
          <w:trHeight w:val="272" w:hRule="exact"/>
        </w:trPr>
        <w:tc>
          <w:tcPr>
            <w:tcW w:w="359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6"/>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公开04表</w:t>
            </w:r>
          </w:p>
        </w:tc>
      </w:tr>
      <w:tr>
        <w:tblPrEx>
          <w:tblLayout w:type="fixed"/>
          <w:tblCellMar>
            <w:top w:w="0" w:type="dxa"/>
            <w:left w:w="108" w:type="dxa"/>
            <w:bottom w:w="0" w:type="dxa"/>
            <w:right w:w="108" w:type="dxa"/>
          </w:tblCellMar>
        </w:tblPrEx>
        <w:trPr>
          <w:gridAfter w:val="1"/>
          <w:wAfter w:w="118" w:type="dxa"/>
          <w:trHeight w:val="272" w:hRule="exact"/>
        </w:trPr>
        <w:tc>
          <w:tcPr>
            <w:tcW w:w="3596"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部门：湖南省农业农村信息中心</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6"/>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单位：万元</w:t>
            </w:r>
          </w:p>
        </w:tc>
      </w:tr>
      <w:tr>
        <w:tblPrEx>
          <w:tblLayout w:type="fixed"/>
          <w:tblCellMar>
            <w:top w:w="0" w:type="dxa"/>
            <w:left w:w="108" w:type="dxa"/>
            <w:bottom w:w="0" w:type="dxa"/>
            <w:right w:w="108" w:type="dxa"/>
          </w:tblCellMar>
        </w:tblPrEx>
        <w:trPr>
          <w:gridAfter w:val="1"/>
          <w:wAfter w:w="118" w:type="dxa"/>
          <w:cantSplit/>
          <w:trHeight w:val="238" w:hRule="exact"/>
        </w:trPr>
        <w:tc>
          <w:tcPr>
            <w:tcW w:w="5110" w:type="dxa"/>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收入</w:t>
            </w:r>
          </w:p>
        </w:tc>
        <w:tc>
          <w:tcPr>
            <w:tcW w:w="10412" w:type="dxa"/>
            <w:gridSpan w:val="16"/>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支出</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行次</w:t>
            </w:r>
          </w:p>
        </w:tc>
        <w:tc>
          <w:tcPr>
            <w:tcW w:w="1078"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金额</w:t>
            </w:r>
          </w:p>
        </w:tc>
        <w:tc>
          <w:tcPr>
            <w:tcW w:w="3139" w:type="dxa"/>
            <w:gridSpan w:val="4"/>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项    目</w:t>
            </w:r>
          </w:p>
        </w:tc>
        <w:tc>
          <w:tcPr>
            <w:tcW w:w="133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行次</w:t>
            </w:r>
          </w:p>
        </w:tc>
        <w:tc>
          <w:tcPr>
            <w:tcW w:w="157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合计</w:t>
            </w:r>
          </w:p>
        </w:tc>
        <w:tc>
          <w:tcPr>
            <w:tcW w:w="139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一般公共预算财政拨款</w:t>
            </w:r>
          </w:p>
        </w:tc>
        <w:tc>
          <w:tcPr>
            <w:tcW w:w="1394"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国有资本经营预算财政拨款</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1078"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c>
          <w:tcPr>
            <w:tcW w:w="3139" w:type="dxa"/>
            <w:gridSpan w:val="4"/>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栏    次</w:t>
            </w:r>
          </w:p>
        </w:tc>
        <w:tc>
          <w:tcPr>
            <w:tcW w:w="133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157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c>
          <w:tcPr>
            <w:tcW w:w="139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w:t>
            </w:r>
          </w:p>
        </w:tc>
        <w:tc>
          <w:tcPr>
            <w:tcW w:w="1394"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c>
          <w:tcPr>
            <w:tcW w:w="1078"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737.85</w:t>
            </w: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33</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2</w:t>
            </w:r>
          </w:p>
        </w:tc>
        <w:tc>
          <w:tcPr>
            <w:tcW w:w="1078"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二、外交支出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34</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3</w:t>
            </w:r>
          </w:p>
        </w:tc>
        <w:tc>
          <w:tcPr>
            <w:tcW w:w="1078"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三、国防支出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35</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4</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四、公共安全支出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36</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五、教育支出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37</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6</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六、科学技术支出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38</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7</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七、文化旅游体育与传媒支出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39</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8</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八、社会保障和就业支出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40</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16.30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16.30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9</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九、卫生健康支出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41</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十、节能环保支出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42</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11</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十一、城乡社区支出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43</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12</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十二、农林水支出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44</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710.49</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710.49</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13</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十三、交通运输支出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45</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14</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十四、资源勘探工业信息等支出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46</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15</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十五、商业服务业等支出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47</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16</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十六、金融支出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48</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17</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十七、援助其他地区支出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49</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18</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十八、自然资源海洋气象等支出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50</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19</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十九、住房保障支出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51</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二十、粮油物资储备支出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52</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21</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二十一、国有资本经营预算支出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53</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22</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二十二、灾害防治及应急管理支出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54</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23</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二十三、其他支出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55</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24</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二十四、债务还本支出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56</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25</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二十五、债务付息支出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57</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26</w:t>
            </w:r>
          </w:p>
        </w:tc>
        <w:tc>
          <w:tcPr>
            <w:tcW w:w="1078"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二十六、抗疫特别国债安排的支出</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58</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27</w:t>
            </w:r>
          </w:p>
        </w:tc>
        <w:tc>
          <w:tcPr>
            <w:tcW w:w="1078"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737.85</w:t>
            </w: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kern w:val="0"/>
                <w:sz w:val="18"/>
                <w:szCs w:val="18"/>
              </w:rPr>
            </w:pPr>
            <w:r>
              <w:rPr>
                <w:rFonts w:hint="eastAsia" w:ascii="宋体" w:hAnsi="宋体" w:eastAsia="宋体" w:cs="宋体"/>
                <w:b/>
                <w:bCs/>
                <w:i w:val="0"/>
                <w:iCs w:val="0"/>
                <w:color w:val="000000"/>
                <w:kern w:val="0"/>
                <w:sz w:val="18"/>
                <w:szCs w:val="18"/>
                <w:u w:val="none"/>
                <w:lang w:val="en-US" w:eastAsia="zh-CN" w:bidi="ar"/>
              </w:rPr>
              <w:t>本年支出合计</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59</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726.79</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726.79</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28</w:t>
            </w:r>
          </w:p>
        </w:tc>
        <w:tc>
          <w:tcPr>
            <w:tcW w:w="1078"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1,214.70</w:t>
            </w:r>
          </w:p>
        </w:tc>
        <w:tc>
          <w:tcPr>
            <w:tcW w:w="3139"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年末结转和结余</w:t>
            </w: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60</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1,225.76</w:t>
            </w:r>
          </w:p>
        </w:tc>
        <w:tc>
          <w:tcPr>
            <w:tcW w:w="139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1,225.76</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29</w:t>
            </w:r>
          </w:p>
        </w:tc>
        <w:tc>
          <w:tcPr>
            <w:tcW w:w="1078"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1,214.70</w:t>
            </w:r>
          </w:p>
        </w:tc>
        <w:tc>
          <w:tcPr>
            <w:tcW w:w="3139" w:type="dxa"/>
            <w:gridSpan w:val="4"/>
            <w:tcBorders>
              <w:top w:val="nil"/>
              <w:left w:val="nil"/>
              <w:bottom w:val="single" w:color="auto" w:sz="4" w:space="0"/>
              <w:right w:val="single" w:color="auto" w:sz="4" w:space="0"/>
            </w:tcBorders>
            <w:shd w:val="clear" w:color="auto" w:fill="auto"/>
            <w:noWrap/>
            <w:vAlign w:val="center"/>
          </w:tcPr>
          <w:p>
            <w:pPr>
              <w:jc w:val="left"/>
              <w:rPr>
                <w:rFonts w:hint="eastAsia" w:asciiTheme="minorEastAsia" w:hAnsiTheme="minorEastAsia" w:eastAsiaTheme="minorEastAsia" w:cstheme="minorEastAsia"/>
                <w:kern w:val="0"/>
                <w:sz w:val="18"/>
                <w:szCs w:val="18"/>
              </w:rPr>
            </w:pP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61</w:t>
            </w:r>
          </w:p>
        </w:tc>
        <w:tc>
          <w:tcPr>
            <w:tcW w:w="1573"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1394"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1394"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1573"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1078"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139" w:type="dxa"/>
            <w:gridSpan w:val="4"/>
            <w:tcBorders>
              <w:top w:val="nil"/>
              <w:left w:val="nil"/>
              <w:bottom w:val="single" w:color="auto" w:sz="4" w:space="0"/>
              <w:right w:val="single" w:color="auto" w:sz="4" w:space="0"/>
            </w:tcBorders>
            <w:shd w:val="clear" w:color="auto" w:fill="auto"/>
            <w:noWrap/>
            <w:vAlign w:val="center"/>
          </w:tcPr>
          <w:p>
            <w:pPr>
              <w:jc w:val="left"/>
              <w:rPr>
                <w:rFonts w:hint="eastAsia" w:asciiTheme="minorEastAsia" w:hAnsiTheme="minorEastAsia" w:eastAsiaTheme="minorEastAsia" w:cstheme="minorEastAsia"/>
                <w:kern w:val="0"/>
                <w:sz w:val="18"/>
                <w:szCs w:val="18"/>
              </w:rPr>
            </w:pP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62</w:t>
            </w:r>
          </w:p>
        </w:tc>
        <w:tc>
          <w:tcPr>
            <w:tcW w:w="1573"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1394"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1394"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1573"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31</w:t>
            </w:r>
          </w:p>
        </w:tc>
        <w:tc>
          <w:tcPr>
            <w:tcW w:w="1078"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139" w:type="dxa"/>
            <w:gridSpan w:val="4"/>
            <w:tcBorders>
              <w:top w:val="nil"/>
              <w:left w:val="nil"/>
              <w:bottom w:val="single" w:color="auto" w:sz="4" w:space="0"/>
              <w:right w:val="single" w:color="auto" w:sz="4" w:space="0"/>
            </w:tcBorders>
            <w:shd w:val="clear" w:color="auto" w:fill="auto"/>
            <w:noWrap/>
            <w:vAlign w:val="center"/>
          </w:tcPr>
          <w:p>
            <w:pPr>
              <w:jc w:val="left"/>
              <w:rPr>
                <w:rFonts w:hint="eastAsia" w:asciiTheme="minorEastAsia" w:hAnsiTheme="minorEastAsia" w:eastAsiaTheme="minorEastAsia" w:cstheme="minorEastAsia"/>
                <w:kern w:val="0"/>
                <w:sz w:val="18"/>
                <w:szCs w:val="18"/>
              </w:rPr>
            </w:pPr>
          </w:p>
        </w:tc>
        <w:tc>
          <w:tcPr>
            <w:tcW w:w="1339"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63</w:t>
            </w:r>
          </w:p>
        </w:tc>
        <w:tc>
          <w:tcPr>
            <w:tcW w:w="1573"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1394" w:type="dxa"/>
            <w:gridSpan w:val="2"/>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1394" w:type="dxa"/>
            <w:gridSpan w:val="3"/>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c>
          <w:tcPr>
            <w:tcW w:w="1573" w:type="dxa"/>
            <w:tcBorders>
              <w:top w:val="nil"/>
              <w:left w:val="nil"/>
              <w:bottom w:val="single" w:color="auto" w:sz="4" w:space="0"/>
              <w:right w:val="single" w:color="auto" w:sz="4" w:space="0"/>
            </w:tcBorders>
            <w:shd w:val="clear" w:color="auto" w:fill="auto"/>
            <w:noWrap/>
            <w:vAlign w:val="center"/>
          </w:tcPr>
          <w:p>
            <w:pPr>
              <w:jc w:val="right"/>
              <w:rPr>
                <w:rFonts w:hint="eastAsia" w:asciiTheme="minorEastAsia" w:hAnsiTheme="minorEastAsia" w:eastAsiaTheme="minorEastAsia" w:cstheme="minorEastAsia"/>
                <w:kern w:val="0"/>
                <w:sz w:val="18"/>
                <w:szCs w:val="18"/>
              </w:rPr>
            </w:pPr>
          </w:p>
        </w:tc>
      </w:tr>
      <w:tr>
        <w:tblPrEx>
          <w:tblLayout w:type="fixed"/>
          <w:tblCellMar>
            <w:top w:w="0" w:type="dxa"/>
            <w:left w:w="108" w:type="dxa"/>
            <w:bottom w:w="0" w:type="dxa"/>
            <w:right w:w="108" w:type="dxa"/>
          </w:tblCellMar>
        </w:tblPrEx>
        <w:trPr>
          <w:gridAfter w:val="1"/>
          <w:wAfter w:w="118" w:type="dxa"/>
          <w:cantSplit/>
          <w:trHeight w:val="238" w:hRule="exact"/>
        </w:trPr>
        <w:tc>
          <w:tcPr>
            <w:tcW w:w="3596" w:type="dxa"/>
            <w:gridSpan w:val="3"/>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总计</w:t>
            </w:r>
          </w:p>
        </w:tc>
        <w:tc>
          <w:tcPr>
            <w:tcW w:w="436"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32</w:t>
            </w:r>
          </w:p>
        </w:tc>
        <w:tc>
          <w:tcPr>
            <w:tcW w:w="1078"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1,952.55</w:t>
            </w:r>
          </w:p>
        </w:tc>
        <w:tc>
          <w:tcPr>
            <w:tcW w:w="3139" w:type="dxa"/>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kern w:val="0"/>
                <w:sz w:val="18"/>
                <w:szCs w:val="18"/>
              </w:rPr>
            </w:pPr>
            <w:r>
              <w:rPr>
                <w:rFonts w:hint="eastAsia" w:ascii="宋体" w:hAnsi="宋体" w:eastAsia="宋体" w:cs="宋体"/>
                <w:b/>
                <w:bCs/>
                <w:i w:val="0"/>
                <w:iCs w:val="0"/>
                <w:color w:val="000000"/>
                <w:kern w:val="0"/>
                <w:sz w:val="18"/>
                <w:szCs w:val="18"/>
                <w:u w:val="none"/>
                <w:lang w:val="en-US" w:eastAsia="zh-CN" w:bidi="ar"/>
              </w:rPr>
              <w:t>总计</w:t>
            </w:r>
          </w:p>
        </w:tc>
        <w:tc>
          <w:tcPr>
            <w:tcW w:w="133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64</w:t>
            </w:r>
          </w:p>
        </w:tc>
        <w:tc>
          <w:tcPr>
            <w:tcW w:w="1573"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1,952.55</w:t>
            </w:r>
          </w:p>
        </w:tc>
        <w:tc>
          <w:tcPr>
            <w:tcW w:w="1394"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18"/>
                <w:szCs w:val="18"/>
              </w:rPr>
            </w:pPr>
            <w:r>
              <w:rPr>
                <w:rFonts w:hint="eastAsia" w:ascii="宋体" w:hAnsi="宋体" w:eastAsia="宋体" w:cs="宋体"/>
                <w:i w:val="0"/>
                <w:iCs w:val="0"/>
                <w:color w:val="000000"/>
                <w:kern w:val="0"/>
                <w:sz w:val="18"/>
                <w:szCs w:val="18"/>
                <w:u w:val="none"/>
                <w:lang w:val="en-US" w:eastAsia="zh-CN" w:bidi="ar"/>
              </w:rPr>
              <w:t>1,952.55</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18"/>
                <w:szCs w:val="18"/>
              </w:rPr>
            </w:pPr>
            <w:r>
              <w:rPr>
                <w:rFonts w:hint="eastAsia" w:ascii="宋体" w:hAnsi="宋体" w:eastAsia="宋体" w:cs="宋体"/>
                <w:i w:val="0"/>
                <w:iCs w:val="0"/>
                <w:color w:val="000000"/>
                <w:kern w:val="0"/>
                <w:sz w:val="18"/>
                <w:szCs w:val="18"/>
                <w:u w:val="none"/>
                <w:lang w:val="en-US" w:eastAsia="zh-CN" w:bidi="ar"/>
              </w:rPr>
              <w:t>0.00</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bCs/>
                <w:kern w:val="0"/>
                <w:sz w:val="18"/>
                <w:szCs w:val="18"/>
              </w:rPr>
            </w:pPr>
            <w:r>
              <w:rPr>
                <w:rFonts w:hint="eastAsia" w:ascii="宋体" w:hAnsi="宋体" w:eastAsia="宋体" w:cs="宋体"/>
                <w:i w:val="0"/>
                <w:iCs w:val="0"/>
                <w:color w:val="000000"/>
                <w:kern w:val="0"/>
                <w:sz w:val="18"/>
                <w:szCs w:val="18"/>
                <w:u w:val="none"/>
                <w:lang w:val="en-US" w:eastAsia="zh-CN" w:bidi="ar"/>
              </w:rPr>
              <w:t>0.00</w:t>
            </w:r>
          </w:p>
        </w:tc>
      </w:tr>
      <w:tr>
        <w:tblPrEx>
          <w:tblLayout w:type="fixed"/>
          <w:tblCellMar>
            <w:top w:w="0" w:type="dxa"/>
            <w:left w:w="108" w:type="dxa"/>
            <w:bottom w:w="0" w:type="dxa"/>
            <w:right w:w="108" w:type="dxa"/>
          </w:tblCellMar>
        </w:tblPrEx>
        <w:trPr>
          <w:gridAfter w:val="1"/>
          <w:wAfter w:w="118" w:type="dxa"/>
          <w:trHeight w:val="510" w:hRule="atLeast"/>
        </w:trPr>
        <w:tc>
          <w:tcPr>
            <w:tcW w:w="15522" w:type="dxa"/>
            <w:gridSpan w:val="23"/>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18"/>
                <w:szCs w:val="18"/>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0"/>
    </w:p>
    <w:p>
      <w:pPr>
        <w:widowControl/>
        <w:spacing w:before="156" w:beforeLines="50"/>
        <w:jc w:val="left"/>
        <w:rPr>
          <w:rFonts w:ascii="Times New Roman" w:hAnsi="Times New Roman" w:eastAsia="仿宋_GB2312" w:cs="Times New Roman"/>
          <w:color w:val="000000"/>
          <w:kern w:val="0"/>
          <w:szCs w:val="21"/>
        </w:rPr>
      </w:pPr>
      <w:r>
        <w:rPr>
          <w:rFonts w:hint="eastAsia" w:ascii="宋体" w:hAnsi="宋体" w:eastAsia="宋体" w:cs="宋体"/>
          <w:color w:val="000000"/>
          <w:kern w:val="0"/>
          <w:szCs w:val="21"/>
        </w:rPr>
        <w:t xml:space="preserve">     部门：</w:t>
      </w:r>
      <w:r>
        <w:rPr>
          <w:rFonts w:hint="eastAsia" w:ascii="宋体" w:hAnsi="宋体" w:eastAsia="宋体" w:cs="宋体"/>
          <w:color w:val="000000"/>
          <w:kern w:val="0"/>
          <w:szCs w:val="21"/>
          <w:lang w:eastAsia="zh-CN"/>
        </w:rPr>
        <w:t>湖南省农业农村信息中心</w:t>
      </w:r>
      <w:r>
        <w:rPr>
          <w:rFonts w:hint="eastAsia" w:ascii="宋体" w:hAnsi="宋体" w:eastAsia="宋体" w:cs="宋体"/>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10"/>
        <w:tblW w:w="14219" w:type="dxa"/>
        <w:jc w:val="center"/>
        <w:tblInd w:w="0" w:type="dxa"/>
        <w:tblLayout w:type="fixed"/>
        <w:tblCellMar>
          <w:top w:w="0" w:type="dxa"/>
          <w:left w:w="108" w:type="dxa"/>
          <w:bottom w:w="0" w:type="dxa"/>
          <w:right w:w="108" w:type="dxa"/>
        </w:tblCellMar>
      </w:tblPr>
      <w:tblGrid>
        <w:gridCol w:w="1200"/>
        <w:gridCol w:w="3863"/>
        <w:gridCol w:w="2664"/>
        <w:gridCol w:w="3492"/>
        <w:gridCol w:w="3000"/>
      </w:tblGrid>
      <w:tr>
        <w:tblPrEx>
          <w:tblLayout w:type="fixed"/>
          <w:tblCellMar>
            <w:top w:w="0" w:type="dxa"/>
            <w:left w:w="108" w:type="dxa"/>
            <w:bottom w:w="0" w:type="dxa"/>
            <w:right w:w="108" w:type="dxa"/>
          </w:tblCellMar>
        </w:tblPrEx>
        <w:trPr>
          <w:trHeight w:val="405" w:hRule="atLeast"/>
          <w:jc w:val="center"/>
        </w:trPr>
        <w:tc>
          <w:tcPr>
            <w:tcW w:w="5063"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val="0"/>
                <w:bCs/>
                <w:kern w:val="0"/>
                <w:szCs w:val="21"/>
              </w:rPr>
            </w:pPr>
            <w:r>
              <w:rPr>
                <w:rFonts w:ascii="Times New Roman" w:hAnsi="Times New Roman" w:eastAsia="仿宋_GB2312" w:cs="Times New Roman"/>
                <w:b w:val="0"/>
                <w:bCs/>
                <w:kern w:val="0"/>
                <w:szCs w:val="21"/>
              </w:rPr>
              <w:t xml:space="preserve">项 </w:t>
            </w:r>
            <w:r>
              <w:rPr>
                <w:rFonts w:ascii="Times New Roman" w:hAnsi="Times New Roman" w:eastAsia="仿宋_GB2312" w:cs="Times New Roman"/>
                <w:b w:val="0"/>
                <w:bCs/>
                <w:color w:val="000000"/>
                <w:kern w:val="0"/>
                <w:szCs w:val="21"/>
              </w:rPr>
              <w:t xml:space="preserve">   </w:t>
            </w:r>
            <w:r>
              <w:rPr>
                <w:rFonts w:ascii="Times New Roman" w:hAnsi="Times New Roman" w:eastAsia="仿宋_GB2312" w:cs="Times New Roman"/>
                <w:b w:val="0"/>
                <w:bCs/>
                <w:kern w:val="0"/>
                <w:szCs w:val="21"/>
              </w:rPr>
              <w:t>目</w:t>
            </w:r>
          </w:p>
        </w:tc>
        <w:tc>
          <w:tcPr>
            <w:tcW w:w="9156"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val="0"/>
                <w:bCs/>
                <w:kern w:val="0"/>
                <w:szCs w:val="21"/>
              </w:rPr>
            </w:pPr>
            <w:r>
              <w:rPr>
                <w:rFonts w:ascii="Times New Roman" w:hAnsi="Times New Roman" w:eastAsia="仿宋_GB2312" w:cs="Times New Roman"/>
                <w:b w:val="0"/>
                <w:bCs/>
                <w:kern w:val="0"/>
                <w:szCs w:val="21"/>
              </w:rPr>
              <w:t>本年支出</w:t>
            </w:r>
          </w:p>
        </w:tc>
      </w:tr>
      <w:tr>
        <w:tblPrEx>
          <w:tblLayout w:type="fixed"/>
          <w:tblCellMar>
            <w:top w:w="0" w:type="dxa"/>
            <w:left w:w="108" w:type="dxa"/>
            <w:bottom w:w="0" w:type="dxa"/>
            <w:right w:w="108" w:type="dxa"/>
          </w:tblCellMar>
        </w:tblPrEx>
        <w:trPr>
          <w:trHeight w:val="454" w:hRule="exac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val="0"/>
                <w:bCs/>
                <w:kern w:val="0"/>
                <w:szCs w:val="21"/>
              </w:rPr>
            </w:pPr>
            <w:r>
              <w:rPr>
                <w:rFonts w:ascii="Times New Roman" w:hAnsi="Times New Roman" w:eastAsia="仿宋_GB2312" w:cs="Times New Roman"/>
                <w:b w:val="0"/>
                <w:bCs/>
                <w:kern w:val="0"/>
                <w:szCs w:val="21"/>
              </w:rPr>
              <w:t>功能分类科目编码</w:t>
            </w:r>
          </w:p>
        </w:tc>
        <w:tc>
          <w:tcPr>
            <w:tcW w:w="38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val="0"/>
                <w:bCs/>
                <w:kern w:val="0"/>
                <w:szCs w:val="21"/>
              </w:rPr>
            </w:pPr>
            <w:r>
              <w:rPr>
                <w:rFonts w:ascii="Times New Roman" w:hAnsi="Times New Roman" w:eastAsia="仿宋_GB2312" w:cs="Times New Roman"/>
                <w:b w:val="0"/>
                <w:bCs/>
                <w:kern w:val="0"/>
                <w:szCs w:val="21"/>
              </w:rPr>
              <w:t>科目名称</w:t>
            </w:r>
          </w:p>
        </w:tc>
        <w:tc>
          <w:tcPr>
            <w:tcW w:w="266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val="0"/>
                <w:bCs/>
                <w:kern w:val="0"/>
                <w:szCs w:val="21"/>
              </w:rPr>
            </w:pPr>
            <w:r>
              <w:rPr>
                <w:rFonts w:ascii="Times New Roman" w:hAnsi="Times New Roman" w:eastAsia="仿宋_GB2312" w:cs="Times New Roman"/>
                <w:b w:val="0"/>
                <w:bCs/>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val="0"/>
                <w:bCs/>
                <w:kern w:val="0"/>
                <w:szCs w:val="21"/>
              </w:rPr>
            </w:pPr>
            <w:r>
              <w:rPr>
                <w:rFonts w:ascii="Times New Roman" w:hAnsi="Times New Roman" w:eastAsia="仿宋_GB2312" w:cs="Times New Roman"/>
                <w:b w:val="0"/>
                <w:bCs/>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val="0"/>
                <w:bCs/>
                <w:kern w:val="0"/>
                <w:szCs w:val="21"/>
              </w:rPr>
            </w:pPr>
            <w:r>
              <w:rPr>
                <w:rFonts w:ascii="Times New Roman" w:hAnsi="Times New Roman" w:eastAsia="仿宋_GB2312" w:cs="Times New Roman"/>
                <w:b w:val="0"/>
                <w:bCs/>
                <w:kern w:val="0"/>
                <w:szCs w:val="21"/>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863"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66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863"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66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397" w:hRule="exact"/>
          <w:jc w:val="center"/>
        </w:trPr>
        <w:tc>
          <w:tcPr>
            <w:tcW w:w="5063"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66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397" w:hRule="exact"/>
          <w:jc w:val="center"/>
        </w:trPr>
        <w:tc>
          <w:tcPr>
            <w:tcW w:w="5063"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6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726.79</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281.67</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445.12</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208</w:t>
            </w:r>
          </w:p>
        </w:tc>
        <w:tc>
          <w:tcPr>
            <w:tcW w:w="3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社会保障和就业支出</w:t>
            </w:r>
          </w:p>
        </w:tc>
        <w:tc>
          <w:tcPr>
            <w:tcW w:w="26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20805</w:t>
            </w:r>
          </w:p>
        </w:tc>
        <w:tc>
          <w:tcPr>
            <w:tcW w:w="3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行政事业单位养老支出</w:t>
            </w:r>
          </w:p>
        </w:tc>
        <w:tc>
          <w:tcPr>
            <w:tcW w:w="26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2080505</w:t>
            </w:r>
          </w:p>
        </w:tc>
        <w:tc>
          <w:tcPr>
            <w:tcW w:w="3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机关事业单位基本养老保险缴费支出</w:t>
            </w:r>
          </w:p>
        </w:tc>
        <w:tc>
          <w:tcPr>
            <w:tcW w:w="26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16.30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16.30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213</w:t>
            </w:r>
          </w:p>
        </w:tc>
        <w:tc>
          <w:tcPr>
            <w:tcW w:w="3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农林水支出</w:t>
            </w:r>
          </w:p>
        </w:tc>
        <w:tc>
          <w:tcPr>
            <w:tcW w:w="26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710.49</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265.37</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445.12</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21301</w:t>
            </w:r>
          </w:p>
        </w:tc>
        <w:tc>
          <w:tcPr>
            <w:tcW w:w="3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农业农村</w:t>
            </w:r>
          </w:p>
        </w:tc>
        <w:tc>
          <w:tcPr>
            <w:tcW w:w="26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710.49</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265.37</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445.12</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2130199</w:t>
            </w:r>
          </w:p>
        </w:tc>
        <w:tc>
          <w:tcPr>
            <w:tcW w:w="3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其他农业农村支出</w:t>
            </w:r>
          </w:p>
        </w:tc>
        <w:tc>
          <w:tcPr>
            <w:tcW w:w="26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36.96</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36.96</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2130122</w:t>
            </w:r>
          </w:p>
        </w:tc>
        <w:tc>
          <w:tcPr>
            <w:tcW w:w="3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农业生产发展</w:t>
            </w:r>
          </w:p>
        </w:tc>
        <w:tc>
          <w:tcPr>
            <w:tcW w:w="26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233.33</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233.33</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2130111</w:t>
            </w:r>
          </w:p>
        </w:tc>
        <w:tc>
          <w:tcPr>
            <w:tcW w:w="3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统计监测与信息服务</w:t>
            </w:r>
          </w:p>
        </w:tc>
        <w:tc>
          <w:tcPr>
            <w:tcW w:w="26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174.83</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174.83</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2130101</w:t>
            </w:r>
          </w:p>
        </w:tc>
        <w:tc>
          <w:tcPr>
            <w:tcW w:w="3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行政运行</w:t>
            </w:r>
          </w:p>
        </w:tc>
        <w:tc>
          <w:tcPr>
            <w:tcW w:w="26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58.83</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58.83</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397" w:hRule="exac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2130104</w:t>
            </w:r>
          </w:p>
        </w:tc>
        <w:tc>
          <w:tcPr>
            <w:tcW w:w="3863"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highlight w:val="none"/>
              </w:rPr>
            </w:pPr>
            <w:r>
              <w:rPr>
                <w:rFonts w:hint="eastAsia" w:ascii="宋体" w:hAnsi="宋体" w:eastAsia="宋体" w:cs="宋体"/>
                <w:i w:val="0"/>
                <w:iCs w:val="0"/>
                <w:color w:val="000000"/>
                <w:kern w:val="0"/>
                <w:sz w:val="22"/>
                <w:szCs w:val="22"/>
                <w:highlight w:val="none"/>
                <w:u w:val="none"/>
                <w:lang w:val="en-US" w:eastAsia="zh-CN" w:bidi="ar"/>
              </w:rPr>
              <w:t>事业运行</w:t>
            </w:r>
          </w:p>
        </w:tc>
        <w:tc>
          <w:tcPr>
            <w:tcW w:w="2664"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206.54</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206.54</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hint="eastAsia" w:ascii="宋体" w:hAnsi="宋体" w:eastAsia="宋体" w:cs="宋体"/>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10"/>
        <w:tblW w:w="15614" w:type="dxa"/>
        <w:tblInd w:w="0" w:type="dxa"/>
        <w:tblLayout w:type="fixed"/>
        <w:tblCellMar>
          <w:top w:w="0" w:type="dxa"/>
          <w:left w:w="108" w:type="dxa"/>
          <w:bottom w:w="0" w:type="dxa"/>
          <w:right w:w="108" w:type="dxa"/>
        </w:tblCellMar>
      </w:tblPr>
      <w:tblGrid>
        <w:gridCol w:w="990"/>
        <w:gridCol w:w="265"/>
        <w:gridCol w:w="94"/>
        <w:gridCol w:w="1283"/>
        <w:gridCol w:w="1883"/>
        <w:gridCol w:w="203"/>
        <w:gridCol w:w="907"/>
        <w:gridCol w:w="1088"/>
        <w:gridCol w:w="303"/>
        <w:gridCol w:w="1955"/>
        <w:gridCol w:w="112"/>
        <w:gridCol w:w="652"/>
        <w:gridCol w:w="1093"/>
        <w:gridCol w:w="353"/>
        <w:gridCol w:w="2070"/>
        <w:gridCol w:w="1693"/>
        <w:gridCol w:w="422"/>
        <w:gridCol w:w="248"/>
      </w:tblGrid>
      <w:tr>
        <w:tblPrEx>
          <w:tblLayout w:type="fixed"/>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hint="eastAsia" w:asciiTheme="minorEastAsia" w:hAnsiTheme="minorEastAsia" w:eastAsiaTheme="minorEastAsia" w:cstheme="minorEastAsia"/>
                <w:color w:val="000000"/>
                <w:kern w:val="0"/>
                <w:szCs w:val="21"/>
              </w:rPr>
            </w:pPr>
            <w:r>
              <w:rPr>
                <w:rFonts w:hint="eastAsia" w:ascii="Times New Roman" w:hAnsi="Times New Roman" w:eastAsia="仿宋_GB2312" w:cs="Times New Roman"/>
                <w:color w:val="000000"/>
                <w:kern w:val="0"/>
                <w:szCs w:val="21"/>
              </w:rPr>
              <w:t xml:space="preserve">  </w:t>
            </w:r>
            <w:r>
              <w:rPr>
                <w:rFonts w:hint="eastAsia" w:asciiTheme="minorEastAsia" w:hAnsiTheme="minorEastAsia" w:eastAsiaTheme="minorEastAsia" w:cstheme="minorEastAsia"/>
                <w:color w:val="000000"/>
                <w:kern w:val="0"/>
                <w:szCs w:val="21"/>
              </w:rPr>
              <w:t>部门：湖南省农业农村信息中心                                                                                                                                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255" w:hRule="exact"/>
        </w:trPr>
        <w:tc>
          <w:tcPr>
            <w:tcW w:w="562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Cs w:val="20"/>
                <w:lang w:eastAsia="zh-CN"/>
              </w:rPr>
            </w:pPr>
            <w:r>
              <w:rPr>
                <w:rFonts w:hint="eastAsia" w:ascii="宋体" w:hAnsi="宋体" w:eastAsia="宋体" w:cs="宋体"/>
                <w:color w:val="000000"/>
                <w:kern w:val="0"/>
                <w:szCs w:val="20"/>
                <w:lang w:eastAsia="zh-CN"/>
              </w:rPr>
              <w:t>人员经费</w:t>
            </w:r>
          </w:p>
        </w:tc>
        <w:tc>
          <w:tcPr>
            <w:tcW w:w="9989"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Cs w:val="20"/>
                <w:lang w:eastAsia="zh-CN"/>
              </w:rPr>
            </w:pPr>
            <w:r>
              <w:rPr>
                <w:rFonts w:hint="eastAsia" w:ascii="宋体" w:hAnsi="宋体" w:eastAsia="宋体" w:cs="宋体"/>
                <w:color w:val="000000"/>
                <w:kern w:val="0"/>
                <w:szCs w:val="20"/>
                <w:lang w:eastAsia="zh-CN"/>
              </w:rPr>
              <w:t>公用经费</w:t>
            </w:r>
          </w:p>
        </w:tc>
      </w:tr>
      <w:tr>
        <w:tblPrEx>
          <w:tblLayout w:type="fixed"/>
          <w:tblCellMar>
            <w:top w:w="0" w:type="dxa"/>
            <w:left w:w="108" w:type="dxa"/>
            <w:bottom w:w="0" w:type="dxa"/>
            <w:right w:w="108" w:type="dxa"/>
          </w:tblCellMar>
        </w:tblPrEx>
        <w:trPr>
          <w:trHeight w:val="255" w:hRule="exact"/>
        </w:trPr>
        <w:tc>
          <w:tcPr>
            <w:tcW w:w="13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1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8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2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11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255.80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8.31</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62.22</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131.10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16.38</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0.80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11.30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10.40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1.92</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22.47</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17.57</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14.68</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0.47</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39907</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国家赔偿费用支出</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5.04</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39908</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对民间非营利组织和群众性自治组织补贴</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2.42</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3990</w:t>
            </w:r>
            <w:r>
              <w:rPr>
                <w:rFonts w:hint="eastAsia" w:ascii="宋体" w:hAnsi="宋体" w:eastAsia="宋体" w:cs="宋体"/>
                <w:color w:val="000000"/>
                <w:kern w:val="0"/>
                <w:szCs w:val="20"/>
                <w:lang w:val="en-US" w:eastAsia="zh-CN"/>
              </w:rPr>
              <w:t>9</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pPr>
              <w:widowControl/>
              <w:jc w:val="left"/>
              <w:rPr>
                <w:rFonts w:hint="eastAsia" w:ascii="宋体" w:hAnsi="宋体" w:eastAsia="宋体" w:cs="宋体"/>
                <w:color w:val="000000"/>
                <w:kern w:val="0"/>
                <w:szCs w:val="20"/>
              </w:rPr>
            </w:pPr>
          </w:p>
          <w:tbl>
            <w:tblPr>
              <w:tblStyle w:val="10"/>
              <w:tblW w:w="3900"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2" w:hRule="atLeast"/>
              </w:trPr>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hint="eastAsia" w:ascii="宋体" w:hAnsi="宋体" w:eastAsia="宋体" w:cs="宋体"/>
                <w:color w:val="000000"/>
                <w:kern w:val="0"/>
                <w:szCs w:val="20"/>
              </w:rPr>
            </w:pPr>
          </w:p>
          <w:tbl>
            <w:tblPr>
              <w:tblStyle w:val="10"/>
              <w:tblW w:w="3900"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ascii="宋体" w:hAnsi="宋体" w:eastAsia="宋体" w:cs="宋体"/>
                <w:color w:val="000000"/>
                <w:kern w:val="0"/>
                <w:szCs w:val="20"/>
              </w:rPr>
            </w:pP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399</w:t>
            </w:r>
            <w:r>
              <w:rPr>
                <w:rFonts w:hint="eastAsia" w:ascii="宋体" w:hAnsi="宋体" w:eastAsia="宋体" w:cs="宋体"/>
                <w:color w:val="000000"/>
                <w:kern w:val="0"/>
                <w:szCs w:val="20"/>
                <w:lang w:val="en-US" w:eastAsia="zh-CN"/>
              </w:rPr>
              <w:t>10</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xml:space="preserve">  资本性赠与</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39999</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其他支出</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70"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55" w:hRule="exact"/>
        </w:trPr>
        <w:tc>
          <w:tcPr>
            <w:tcW w:w="1349"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1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10" w:type="dxa"/>
            <w:gridSpan w:val="2"/>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kern w:val="0"/>
                <w:szCs w:val="20"/>
              </w:rPr>
            </w:pPr>
          </w:p>
        </w:tc>
        <w:tc>
          <w:tcPr>
            <w:tcW w:w="108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25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w:t>
            </w:r>
            <w:r>
              <w:rPr>
                <w:rFonts w:hint="eastAsia" w:ascii="宋体" w:hAnsi="宋体" w:eastAsia="宋体" w:cs="宋体"/>
                <w:color w:val="000000"/>
                <w:kern w:val="0"/>
                <w:szCs w:val="20"/>
                <w:lang w:val="en-US" w:eastAsia="zh-CN"/>
              </w:rPr>
              <w:t>出</w:t>
            </w:r>
            <w:r>
              <w:rPr>
                <w:rFonts w:hint="eastAsia" w:ascii="宋体" w:hAnsi="宋体" w:eastAsia="宋体" w:cs="宋体"/>
                <w:color w:val="000000"/>
                <w:kern w:val="0"/>
                <w:szCs w:val="20"/>
              </w:rPr>
              <w:t>出</w:t>
            </w:r>
          </w:p>
        </w:tc>
        <w:tc>
          <w:tcPr>
            <w:tcW w:w="7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1.47</w:t>
            </w:r>
          </w:p>
        </w:tc>
        <w:tc>
          <w:tcPr>
            <w:tcW w:w="10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1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70"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55" w:hRule="exact"/>
        </w:trPr>
        <w:tc>
          <w:tcPr>
            <w:tcW w:w="451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11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273.36</w:t>
            </w:r>
          </w:p>
        </w:tc>
        <w:tc>
          <w:tcPr>
            <w:tcW w:w="9319"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67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18"/>
              </w:rPr>
            </w:pPr>
            <w:r>
              <w:rPr>
                <w:rFonts w:hint="eastAsia" w:ascii="宋体" w:hAnsi="宋体" w:eastAsia="宋体" w:cs="宋体"/>
                <w:i w:val="0"/>
                <w:iCs w:val="0"/>
                <w:color w:val="000000"/>
                <w:kern w:val="0"/>
                <w:sz w:val="22"/>
                <w:szCs w:val="22"/>
                <w:u w:val="none"/>
                <w:lang w:val="en-US" w:eastAsia="zh-CN" w:bidi="ar"/>
              </w:rPr>
              <w:t>8.31</w:t>
            </w:r>
          </w:p>
        </w:tc>
      </w:tr>
      <w:tr>
        <w:tblPrEx>
          <w:tblLayout w:type="fixed"/>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690" w:hRule="atLeast"/>
        </w:trPr>
        <w:tc>
          <w:tcPr>
            <w:tcW w:w="15366"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345" w:hRule="atLeast"/>
        </w:trPr>
        <w:tc>
          <w:tcPr>
            <w:tcW w:w="99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65"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377"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086"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298"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67"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98"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7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5"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690" w:hRule="atLeast"/>
        </w:trPr>
        <w:tc>
          <w:tcPr>
            <w:tcW w:w="4718" w:type="dxa"/>
            <w:gridSpan w:val="6"/>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部门：湖南省农业农村信息中心</w:t>
            </w:r>
          </w:p>
        </w:tc>
        <w:tc>
          <w:tcPr>
            <w:tcW w:w="2298"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67"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98"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7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5"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459" w:hRule="atLeast"/>
        </w:trPr>
        <w:tc>
          <w:tcPr>
            <w:tcW w:w="2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7"/>
                <w:lang w:val="en-US" w:eastAsia="zh-CN" w:bidi="ar"/>
              </w:rPr>
              <w:t xml:space="preserve">   </w:t>
            </w:r>
            <w:r>
              <w:rPr>
                <w:rStyle w:val="18"/>
                <w:lang w:val="en-US" w:eastAsia="zh-CN" w:bidi="ar"/>
              </w:rPr>
              <w:t>目</w:t>
            </w:r>
          </w:p>
        </w:tc>
        <w:tc>
          <w:tcPr>
            <w:tcW w:w="208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29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2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609" w:hRule="atLeast"/>
        </w:trPr>
        <w:tc>
          <w:tcPr>
            <w:tcW w:w="12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3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0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09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409" w:hRule="atLeast"/>
        </w:trPr>
        <w:tc>
          <w:tcPr>
            <w:tcW w:w="12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509" w:hRule="atLeast"/>
        </w:trPr>
        <w:tc>
          <w:tcPr>
            <w:tcW w:w="12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509" w:hRule="atLeast"/>
        </w:trPr>
        <w:tc>
          <w:tcPr>
            <w:tcW w:w="2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0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509" w:hRule="atLeast"/>
        </w:trPr>
        <w:tc>
          <w:tcPr>
            <w:tcW w:w="2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509" w:hRule="atLeast"/>
        </w:trPr>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509" w:hRule="atLeast"/>
        </w:trPr>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509" w:hRule="atLeast"/>
        </w:trPr>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509" w:hRule="atLeast"/>
        </w:trPr>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509" w:hRule="atLeast"/>
        </w:trPr>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509" w:hRule="atLeast"/>
        </w:trPr>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8" w:type="dxa"/>
          <w:trHeight w:val="725" w:hRule="atLeast"/>
        </w:trPr>
        <w:tc>
          <w:tcPr>
            <w:tcW w:w="15366"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10"/>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66"/>
        <w:gridCol w:w="701"/>
        <w:gridCol w:w="494"/>
        <w:gridCol w:w="1261"/>
        <w:gridCol w:w="537"/>
        <w:gridCol w:w="724"/>
        <w:gridCol w:w="1261"/>
        <w:gridCol w:w="1261"/>
        <w:gridCol w:w="69"/>
        <w:gridCol w:w="1192"/>
        <w:gridCol w:w="1261"/>
        <w:gridCol w:w="862"/>
        <w:gridCol w:w="399"/>
        <w:gridCol w:w="1261"/>
        <w:gridCol w:w="1261"/>
        <w:gridCol w:w="1250"/>
        <w:gridCol w:w="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0" w:type="dxa"/>
          <w:trHeight w:val="963" w:hRule="atLeast"/>
        </w:trPr>
        <w:tc>
          <w:tcPr>
            <w:tcW w:w="15120"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417" w:hRule="atLeast"/>
        </w:trPr>
        <w:tc>
          <w:tcPr>
            <w:tcW w:w="1326"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gridSpan w:val="3"/>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gridSpan w:val="4"/>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gridSpan w:val="4"/>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417" w:hRule="atLeast"/>
        </w:trPr>
        <w:tc>
          <w:tcPr>
            <w:tcW w:w="4319" w:type="dxa"/>
            <w:gridSpan w:val="6"/>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部门：湖南省农业农村信息中心</w:t>
            </w:r>
          </w:p>
        </w:tc>
        <w:tc>
          <w:tcPr>
            <w:tcW w:w="3315" w:type="dxa"/>
            <w:gridSpan w:val="4"/>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gridSpan w:val="4"/>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9"/>
                <w:lang w:val="en-US" w:eastAsia="zh-CN" w:bidi="ar"/>
              </w:rPr>
              <w:t>目</w:t>
            </w:r>
          </w:p>
        </w:tc>
        <w:tc>
          <w:tcPr>
            <w:tcW w:w="1080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0" w:type="dxa"/>
          <w:trHeight w:val="548" w:hRule="atLeast"/>
        </w:trPr>
        <w:tc>
          <w:tcPr>
            <w:tcW w:w="202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548" w:hRule="atLeast"/>
        </w:trPr>
        <w:tc>
          <w:tcPr>
            <w:tcW w:w="202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312" w:hRule="atLeast"/>
        </w:trPr>
        <w:tc>
          <w:tcPr>
            <w:tcW w:w="202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0"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548" w:hRule="atLeast"/>
        </w:trPr>
        <w:tc>
          <w:tcPr>
            <w:tcW w:w="2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548" w:hRule="atLeast"/>
        </w:trPr>
        <w:tc>
          <w:tcPr>
            <w:tcW w:w="2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548" w:hRule="atLeast"/>
        </w:trPr>
        <w:tc>
          <w:tcPr>
            <w:tcW w:w="2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548" w:hRule="atLeast"/>
        </w:trPr>
        <w:tc>
          <w:tcPr>
            <w:tcW w:w="2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548" w:hRule="atLeast"/>
        </w:trPr>
        <w:tc>
          <w:tcPr>
            <w:tcW w:w="2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548" w:hRule="atLeast"/>
        </w:trPr>
        <w:tc>
          <w:tcPr>
            <w:tcW w:w="2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 w:type="dxa"/>
          <w:trHeight w:val="976" w:hRule="atLeast"/>
        </w:trPr>
        <w:tc>
          <w:tcPr>
            <w:tcW w:w="15120"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5140" w:type="dxa"/>
            <w:gridSpan w:val="18"/>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3782" w:type="dxa"/>
            <w:gridSpan w:val="5"/>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部门：湖南省农业农村信息中心</w:t>
            </w: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4.00</w:t>
            </w:r>
          </w:p>
        </w:tc>
        <w:tc>
          <w:tcPr>
            <w:tcW w:w="1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1.00</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3.00</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0.55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0.00</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0.27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0.27</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6" w:hRule="atLeast"/>
        </w:trPr>
        <w:tc>
          <w:tcPr>
            <w:tcW w:w="15140" w:type="dxa"/>
            <w:gridSpan w:val="1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4"/>
        <w:rPr>
          <w:sz w:val="72"/>
          <w:szCs w:val="72"/>
        </w:rPr>
      </w:pPr>
    </w:p>
    <w:p>
      <w:pPr>
        <w:pStyle w:val="14"/>
        <w:rPr>
          <w:sz w:val="72"/>
          <w:szCs w:val="72"/>
        </w:rPr>
      </w:pPr>
    </w:p>
    <w:p>
      <w:pPr>
        <w:pStyle w:val="14"/>
        <w:rPr>
          <w:sz w:val="72"/>
          <w:szCs w:val="72"/>
        </w:rPr>
      </w:pPr>
    </w:p>
    <w:p>
      <w:pPr>
        <w:pStyle w:val="14"/>
        <w:rPr>
          <w:sz w:val="72"/>
          <w:szCs w:val="72"/>
        </w:rPr>
      </w:pPr>
    </w:p>
    <w:p>
      <w:pPr>
        <w:pStyle w:val="14"/>
        <w:jc w:val="center"/>
        <w:rPr>
          <w:sz w:val="72"/>
          <w:szCs w:val="72"/>
        </w:rPr>
      </w:pPr>
    </w:p>
    <w:p>
      <w:pPr>
        <w:pStyle w:val="14"/>
        <w:ind w:firstLine="2880" w:firstLineChars="400"/>
        <w:jc w:val="both"/>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pacing w:val="-20"/>
          <w:sz w:val="72"/>
          <w:szCs w:val="72"/>
        </w:rPr>
      </w:pPr>
      <w:r>
        <w:rPr>
          <w:rFonts w:hint="eastAsia" w:ascii="方正小标宋_GBK" w:hAnsi="方正小标宋_GBK" w:eastAsia="方正小标宋_GBK" w:cs="方正小标宋_GBK"/>
          <w:spacing w:val="-20"/>
          <w:sz w:val="72"/>
          <w:szCs w:val="72"/>
        </w:rPr>
        <w:t>202</w:t>
      </w:r>
      <w:r>
        <w:rPr>
          <w:rFonts w:hint="eastAsia" w:ascii="方正小标宋_GBK" w:hAnsi="方正小标宋_GBK" w:eastAsia="方正小标宋_GBK" w:cs="方正小标宋_GBK"/>
          <w:spacing w:val="-20"/>
          <w:sz w:val="72"/>
          <w:szCs w:val="72"/>
          <w:lang w:val="en-US" w:eastAsia="zh-CN"/>
        </w:rPr>
        <w:t>3</w:t>
      </w:r>
      <w:r>
        <w:rPr>
          <w:rFonts w:hint="eastAsia" w:ascii="方正小标宋_GBK" w:hAnsi="方正小标宋_GBK" w:eastAsia="方正小标宋_GBK" w:cs="方正小标宋_GBK"/>
          <w:spacing w:val="-20"/>
          <w:sz w:val="72"/>
          <w:szCs w:val="72"/>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1952.55</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1209.43</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38.25</w:t>
      </w:r>
      <w:r>
        <w:rPr>
          <w:rFonts w:hint="eastAsia" w:ascii="Times New Roman" w:hAnsi="Times New Roman" w:eastAsia="仿宋_GB2312"/>
          <w:sz w:val="32"/>
          <w:szCs w:val="32"/>
        </w:rPr>
        <w:t>%，主要是因为</w:t>
      </w:r>
      <w:r>
        <w:rPr>
          <w:rFonts w:hint="eastAsia" w:ascii="Times New Roman" w:hAnsi="Times New Roman" w:eastAsia="仿宋_GB2312"/>
          <w:sz w:val="32"/>
          <w:szCs w:val="32"/>
          <w:highlight w:val="none"/>
          <w:lang w:val="en-US" w:eastAsia="zh-CN"/>
        </w:rPr>
        <w:t>本年</w:t>
      </w:r>
      <w:r>
        <w:rPr>
          <w:rFonts w:hint="eastAsia" w:ascii="Times New Roman" w:hAnsi="Times New Roman" w:eastAsia="仿宋_GB2312"/>
          <w:color w:val="auto"/>
          <w:sz w:val="32"/>
          <w:szCs w:val="32"/>
          <w:highlight w:val="none"/>
          <w:u w:val="none"/>
          <w:lang w:val="en-US" w:eastAsia="zh-CN"/>
        </w:rPr>
        <w:t>农业</w:t>
      </w:r>
      <w:r>
        <w:rPr>
          <w:rFonts w:hint="eastAsia" w:ascii="Times New Roman" w:hAnsi="Times New Roman" w:eastAsia="仿宋_GB2312"/>
          <w:sz w:val="32"/>
          <w:szCs w:val="32"/>
          <w:highlight w:val="none"/>
          <w:lang w:val="en-US" w:eastAsia="zh-CN"/>
        </w:rPr>
        <w:t>优势特色产业集群项目经费较上年减少。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737.85</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737.85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726.79</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281.67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38.76</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445.12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61.24</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1952.55</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1209.43</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sz w:val="32"/>
          <w:szCs w:val="32"/>
        </w:rPr>
        <w:t>减少</w:t>
      </w:r>
      <w:r>
        <w:rPr>
          <w:rFonts w:hint="eastAsia" w:ascii="Times New Roman" w:hAnsi="Times New Roman" w:eastAsia="仿宋_GB2312"/>
          <w:sz w:val="32"/>
          <w:szCs w:val="32"/>
          <w:lang w:val="en-US" w:eastAsia="zh-CN"/>
        </w:rPr>
        <w:t>38.25</w:t>
      </w:r>
      <w:r>
        <w:rPr>
          <w:rFonts w:hint="eastAsia" w:ascii="Times New Roman" w:hAnsi="Times New Roman" w:eastAsia="仿宋_GB2312"/>
          <w:sz w:val="32"/>
          <w:szCs w:val="32"/>
        </w:rPr>
        <w:t>%，主要是因为</w:t>
      </w:r>
      <w:r>
        <w:rPr>
          <w:rFonts w:hint="eastAsia" w:ascii="Times New Roman" w:hAnsi="Times New Roman" w:eastAsia="仿宋_GB2312"/>
          <w:sz w:val="32"/>
          <w:szCs w:val="32"/>
          <w:highlight w:val="none"/>
          <w:lang w:val="en-US" w:eastAsia="zh-CN"/>
        </w:rPr>
        <w:t>本年</w:t>
      </w:r>
      <w:r>
        <w:rPr>
          <w:rFonts w:hint="eastAsia" w:ascii="Times New Roman" w:hAnsi="Times New Roman" w:eastAsia="仿宋_GB2312"/>
          <w:color w:val="auto"/>
          <w:sz w:val="32"/>
          <w:szCs w:val="32"/>
          <w:u w:val="none"/>
          <w:lang w:val="en-US" w:eastAsia="zh-CN"/>
        </w:rPr>
        <w:t>农业</w:t>
      </w:r>
      <w:r>
        <w:rPr>
          <w:rFonts w:hint="eastAsia" w:ascii="Times New Roman" w:hAnsi="Times New Roman" w:eastAsia="仿宋_GB2312"/>
          <w:color w:val="auto"/>
          <w:sz w:val="32"/>
          <w:szCs w:val="32"/>
          <w:highlight w:val="none"/>
          <w:u w:val="none"/>
          <w:lang w:val="en-US" w:eastAsia="zh-CN"/>
        </w:rPr>
        <w:t>优</w:t>
      </w:r>
      <w:r>
        <w:rPr>
          <w:rFonts w:hint="eastAsia" w:ascii="Times New Roman" w:hAnsi="Times New Roman" w:eastAsia="仿宋_GB2312"/>
          <w:sz w:val="32"/>
          <w:szCs w:val="32"/>
          <w:highlight w:val="none"/>
          <w:lang w:val="en-US" w:eastAsia="zh-CN"/>
        </w:rPr>
        <w:t>势特色产业集群项目经费较上年减少。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726.79</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941.7</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56.44</w:t>
      </w:r>
      <w:r>
        <w:rPr>
          <w:rFonts w:hint="eastAsia" w:ascii="Times New Roman" w:hAnsi="Times New Roman" w:eastAsia="仿宋_GB2312"/>
          <w:sz w:val="32"/>
          <w:szCs w:val="32"/>
        </w:rPr>
        <w:t>%，主要是因为</w:t>
      </w:r>
      <w:r>
        <w:rPr>
          <w:rFonts w:hint="eastAsia" w:ascii="Times New Roman" w:hAnsi="Times New Roman" w:eastAsia="仿宋_GB2312"/>
          <w:sz w:val="32"/>
          <w:szCs w:val="32"/>
          <w:highlight w:val="none"/>
          <w:lang w:val="en-US" w:eastAsia="zh-CN"/>
        </w:rPr>
        <w:t>本年</w:t>
      </w:r>
      <w:r>
        <w:rPr>
          <w:rFonts w:hint="eastAsia" w:ascii="Times New Roman" w:hAnsi="Times New Roman" w:eastAsia="仿宋_GB2312"/>
          <w:color w:val="auto"/>
          <w:sz w:val="32"/>
          <w:szCs w:val="32"/>
          <w:u w:val="none"/>
          <w:lang w:val="en-US" w:eastAsia="zh-CN"/>
        </w:rPr>
        <w:t>农业</w:t>
      </w:r>
      <w:r>
        <w:rPr>
          <w:rFonts w:hint="eastAsia" w:ascii="Times New Roman" w:hAnsi="Times New Roman" w:eastAsia="仿宋_GB2312"/>
          <w:color w:val="auto"/>
          <w:sz w:val="32"/>
          <w:szCs w:val="32"/>
          <w:highlight w:val="none"/>
          <w:u w:val="none"/>
          <w:lang w:val="en-US" w:eastAsia="zh-CN"/>
        </w:rPr>
        <w:t>优</w:t>
      </w:r>
      <w:r>
        <w:rPr>
          <w:rFonts w:hint="eastAsia" w:ascii="Times New Roman" w:hAnsi="Times New Roman" w:eastAsia="仿宋_GB2312"/>
          <w:sz w:val="32"/>
          <w:szCs w:val="32"/>
          <w:highlight w:val="none"/>
          <w:lang w:val="en-US" w:eastAsia="zh-CN"/>
        </w:rPr>
        <w:t>势特色产业集群项目经费较上年减少。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726.79</w:t>
      </w:r>
      <w:r>
        <w:rPr>
          <w:rFonts w:hint="eastAsia" w:ascii="Times New Roman" w:hAnsi="Times New Roman" w:eastAsia="仿宋_GB2312"/>
          <w:sz w:val="32"/>
          <w:szCs w:val="32"/>
        </w:rPr>
        <w:t>万元，主要用于以下方面：社会保障和就业（类）支出</w:t>
      </w:r>
      <w:r>
        <w:rPr>
          <w:rFonts w:hint="eastAsia" w:ascii="Times New Roman" w:hAnsi="Times New Roman" w:eastAsia="仿宋_GB2312"/>
          <w:sz w:val="32"/>
          <w:szCs w:val="32"/>
          <w:lang w:val="en-US" w:eastAsia="zh-CN"/>
        </w:rPr>
        <w:t>16.30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2.24</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710.49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97.76</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1768.72</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726.79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41.09</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 w:val="32"/>
          <w:szCs w:val="32"/>
        </w:rPr>
      </w:pPr>
      <w:r>
        <w:rPr>
          <w:rFonts w:hint="eastAsia" w:ascii="Times New Roman" w:hAnsi="Times New Roman" w:eastAsia="仿宋_GB2312"/>
          <w:color w:val="auto"/>
          <w:sz w:val="32"/>
          <w:szCs w:val="32"/>
          <w:u w:val="none"/>
          <w:lang w:val="en-US" w:eastAsia="zh-CN"/>
        </w:rPr>
        <w:t>1.</w:t>
      </w:r>
      <w:r>
        <w:rPr>
          <w:rFonts w:hint="eastAsia" w:ascii="Times New Roman" w:hAnsi="Times New Roman" w:eastAsia="仿宋_GB2312"/>
          <w:sz w:val="32"/>
          <w:szCs w:val="32"/>
        </w:rPr>
        <w:t>社会保障和就业（类）行政事业单位养老支出（款）机关事业单位基本养老保险缴费支出（项）。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16.30</w:t>
      </w:r>
      <w:r>
        <w:rPr>
          <w:rFonts w:hint="eastAsia" w:ascii="Times New Roman" w:hAnsi="Times New Roman" w:eastAsia="仿宋_GB2312"/>
          <w:sz w:val="32"/>
          <w:szCs w:val="32"/>
        </w:rPr>
        <w:t>万元，支出决算</w:t>
      </w:r>
      <w:r>
        <w:rPr>
          <w:rFonts w:hint="eastAsia" w:ascii="Times New Roman" w:hAnsi="Times New Roman" w:eastAsia="仿宋_GB2312"/>
          <w:sz w:val="32"/>
          <w:szCs w:val="32"/>
          <w:lang w:val="en-US" w:eastAsia="zh-CN"/>
        </w:rPr>
        <w:t>16.30</w:t>
      </w:r>
      <w:r>
        <w:rPr>
          <w:rFonts w:hint="eastAsia" w:ascii="Times New Roman" w:hAnsi="Times New Roman" w:eastAsia="仿宋_GB2312"/>
          <w:sz w:val="32"/>
          <w:szCs w:val="32"/>
        </w:rPr>
        <w:t>万元，完成年初预算的100%。</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color w:val="auto"/>
          <w:sz w:val="32"/>
          <w:szCs w:val="32"/>
          <w:u w:val="none"/>
          <w:lang w:val="en-US" w:eastAsia="zh-CN"/>
        </w:rPr>
        <w:t>2.</w:t>
      </w:r>
      <w:r>
        <w:rPr>
          <w:rFonts w:hint="eastAsia" w:ascii="Times New Roman" w:hAnsi="Times New Roman" w:eastAsia="仿宋_GB2312"/>
          <w:sz w:val="32"/>
          <w:szCs w:val="32"/>
          <w:lang w:val="en-US" w:eastAsia="zh-CN"/>
        </w:rPr>
        <w:t>农林水（类）农业农村（款）行政运行（项）。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年初预算为0万元，支出决算为58.83万元</w:t>
      </w:r>
      <w:r>
        <w:rPr>
          <w:rFonts w:hint="eastAsia" w:ascii="Times New Roman" w:hAnsi="Times New Roman" w:eastAsia="仿宋_GB2312"/>
          <w:color w:val="auto"/>
          <w:sz w:val="32"/>
          <w:szCs w:val="32"/>
          <w:highlight w:val="none"/>
          <w:u w:val="none"/>
          <w:lang w:val="en-US" w:eastAsia="zh-CN"/>
        </w:rPr>
        <w:t>。</w:t>
      </w:r>
      <w:r>
        <w:rPr>
          <w:rFonts w:hint="eastAsia" w:ascii="Times New Roman" w:hAnsi="Times New Roman" w:eastAsia="仿宋_GB2312"/>
          <w:sz w:val="32"/>
          <w:szCs w:val="32"/>
          <w:lang w:val="en-US" w:eastAsia="zh-CN"/>
        </w:rPr>
        <w:t>决算数大于年初预算数的主要原因是：</w:t>
      </w:r>
      <w:r>
        <w:rPr>
          <w:rFonts w:hint="eastAsia" w:ascii="Times New Roman" w:hAnsi="Times New Roman" w:eastAsia="仿宋_GB2312"/>
          <w:color w:val="auto"/>
          <w:sz w:val="32"/>
          <w:szCs w:val="32"/>
          <w:u w:val="none"/>
          <w:lang w:val="en-US" w:eastAsia="zh-CN"/>
        </w:rPr>
        <w:t>根据有关政策，</w:t>
      </w:r>
      <w:r>
        <w:rPr>
          <w:rFonts w:hint="eastAsia" w:ascii="Times New Roman" w:hAnsi="Times New Roman" w:eastAsia="仿宋_GB2312"/>
          <w:sz w:val="32"/>
          <w:szCs w:val="32"/>
          <w:lang w:val="en-US" w:eastAsia="zh-CN"/>
        </w:rPr>
        <w:t>年中追加单位绩效工资补助。</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3.农林水（类）农业农村（款）事业运行（项）。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年初预算为212.72万元，支出决算为206.54万元，完成年初预算的97.09%。决算数小于年初预算数的主要原因是：退休人员补贴政策与年初预算时有所变化。</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4.农林水（类）农业农村（款）统计监测与信息服务（项）。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color w:val="auto"/>
          <w:sz w:val="32"/>
          <w:szCs w:val="32"/>
          <w:u w:val="none"/>
          <w:lang w:val="en-US" w:eastAsia="zh-CN"/>
        </w:rPr>
        <w:t>年初预算为178.42万元，支出决算为174.83万元，完成年初预算的97.99%。决</w:t>
      </w:r>
      <w:r>
        <w:rPr>
          <w:rFonts w:hint="eastAsia" w:ascii="Times New Roman" w:hAnsi="Times New Roman" w:eastAsia="仿宋_GB2312"/>
          <w:sz w:val="32"/>
          <w:szCs w:val="32"/>
          <w:lang w:val="en-US" w:eastAsia="zh-CN"/>
        </w:rPr>
        <w:t>算数小于年初预算数的主要原因是：</w:t>
      </w:r>
      <w:r>
        <w:rPr>
          <w:rFonts w:hint="eastAsia" w:ascii="Times New Roman" w:hAnsi="Times New Roman" w:eastAsia="仿宋_GB2312"/>
          <w:color w:val="auto"/>
          <w:sz w:val="32"/>
          <w:szCs w:val="32"/>
          <w:lang w:val="en-US" w:eastAsia="zh-CN"/>
        </w:rPr>
        <w:t>单位</w:t>
      </w:r>
      <w:r>
        <w:rPr>
          <w:rFonts w:hint="eastAsia" w:ascii="Times New Roman" w:hAnsi="Times New Roman" w:eastAsia="仿宋_GB2312"/>
          <w:sz w:val="32"/>
          <w:szCs w:val="32"/>
          <w:lang w:val="en-US" w:eastAsia="zh-CN"/>
        </w:rPr>
        <w:t>厉行节约，严格控制经费支出。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5.农林水（类）农业农村（款）农业生产发展（项）。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color w:val="auto"/>
          <w:sz w:val="32"/>
          <w:szCs w:val="32"/>
          <w:u w:val="none"/>
          <w:lang w:val="en-US" w:eastAsia="zh-CN"/>
        </w:rPr>
        <w:t>年初预算为551.28万元，支出决算为233.33万元，完成年初预算的42.33%。决</w:t>
      </w:r>
      <w:r>
        <w:rPr>
          <w:rFonts w:hint="eastAsia" w:ascii="Times New Roman" w:hAnsi="Times New Roman" w:eastAsia="仿宋_GB2312"/>
          <w:sz w:val="32"/>
          <w:szCs w:val="32"/>
          <w:lang w:val="en-US" w:eastAsia="zh-CN"/>
        </w:rPr>
        <w:t>算数小于年初预算数的主要原因是：</w:t>
      </w:r>
      <w:r>
        <w:rPr>
          <w:rFonts w:hint="eastAsia" w:ascii="Times New Roman" w:hAnsi="Times New Roman" w:eastAsia="仿宋_GB2312"/>
          <w:color w:val="auto"/>
          <w:sz w:val="32"/>
          <w:szCs w:val="32"/>
          <w:u w:val="none"/>
          <w:lang w:val="en-US" w:eastAsia="zh-CN"/>
        </w:rPr>
        <w:t>湖南农业</w:t>
      </w:r>
      <w:r>
        <w:rPr>
          <w:rFonts w:hint="eastAsia" w:ascii="Times New Roman" w:hAnsi="Times New Roman" w:eastAsia="仿宋_GB2312"/>
          <w:color w:val="auto"/>
          <w:sz w:val="32"/>
          <w:szCs w:val="32"/>
          <w:lang w:val="en-US" w:eastAsia="zh-CN"/>
        </w:rPr>
        <w:t>优势特色产业集群</w:t>
      </w:r>
      <w:r>
        <w:rPr>
          <w:rFonts w:hint="eastAsia" w:ascii="Times New Roman" w:hAnsi="Times New Roman" w:eastAsia="仿宋_GB2312"/>
          <w:color w:val="auto"/>
          <w:sz w:val="32"/>
          <w:szCs w:val="32"/>
          <w:u w:val="none"/>
          <w:lang w:val="en-US" w:eastAsia="zh-CN"/>
        </w:rPr>
        <w:t>信息系统项目涉及专业和地区多、工作量大，开展项目需求调研、初步设计等耗时较长，</w:t>
      </w:r>
      <w:r>
        <w:rPr>
          <w:rFonts w:hint="eastAsia" w:ascii="Times New Roman" w:hAnsi="Times New Roman" w:eastAsia="仿宋_GB2312"/>
          <w:sz w:val="32"/>
          <w:szCs w:val="32"/>
          <w:lang w:val="en-US" w:eastAsia="zh-CN"/>
        </w:rPr>
        <w:t>项目实施进度缓于预期。</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color w:val="auto"/>
          <w:sz w:val="32"/>
          <w:szCs w:val="32"/>
          <w:u w:val="none"/>
          <w:lang w:val="en-US" w:eastAsia="zh-CN"/>
        </w:rPr>
        <w:t>6.</w:t>
      </w:r>
      <w:r>
        <w:rPr>
          <w:rFonts w:hint="eastAsia" w:ascii="Times New Roman" w:hAnsi="Times New Roman" w:eastAsia="仿宋_GB2312"/>
          <w:sz w:val="32"/>
          <w:szCs w:val="32"/>
          <w:lang w:val="en-US" w:eastAsia="zh-CN"/>
        </w:rPr>
        <w:t>农林水（类）农业农村（款）其他农业农村支出（项）。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年初预算为810万元，支出决算为36.96万元，完成年初预算的4.56%，决算数大于年初预算数的主要原因是：</w:t>
      </w:r>
      <w:r>
        <w:rPr>
          <w:rFonts w:hint="eastAsia" w:ascii="Times New Roman" w:hAnsi="Times New Roman" w:eastAsia="仿宋_GB2312"/>
          <w:color w:val="auto"/>
          <w:sz w:val="32"/>
          <w:szCs w:val="32"/>
          <w:u w:val="none"/>
          <w:lang w:val="en-US" w:eastAsia="zh-CN"/>
        </w:rPr>
        <w:t>湖南农业优势特色产业集群信息系统项目涉及专业和地区多、</w:t>
      </w:r>
      <w:r>
        <w:rPr>
          <w:rFonts w:hint="eastAsia" w:ascii="Times New Roman" w:hAnsi="Times New Roman" w:eastAsia="仿宋_GB2312"/>
          <w:sz w:val="32"/>
          <w:szCs w:val="32"/>
          <w:lang w:val="en-US" w:eastAsia="zh-CN"/>
        </w:rPr>
        <w:t>工作量大，</w:t>
      </w:r>
      <w:r>
        <w:rPr>
          <w:rFonts w:hint="eastAsia" w:ascii="Times New Roman" w:hAnsi="Times New Roman" w:eastAsia="仿宋_GB2312"/>
          <w:color w:val="auto"/>
          <w:sz w:val="32"/>
          <w:szCs w:val="32"/>
          <w:u w:val="none"/>
          <w:lang w:val="en-US" w:eastAsia="zh-CN"/>
        </w:rPr>
        <w:t>开展项目需求调研、初步设计等</w:t>
      </w:r>
      <w:r>
        <w:rPr>
          <w:rFonts w:hint="eastAsia" w:ascii="Times New Roman" w:hAnsi="Times New Roman" w:eastAsia="仿宋_GB2312"/>
          <w:sz w:val="32"/>
          <w:szCs w:val="32"/>
          <w:lang w:val="en-US" w:eastAsia="zh-CN"/>
        </w:rPr>
        <w:t>耗时较长</w:t>
      </w:r>
      <w:r>
        <w:rPr>
          <w:rFonts w:hint="eastAsia" w:ascii="Times New Roman" w:hAnsi="Times New Roman" w:eastAsia="仿宋_GB2312"/>
          <w:strike w:val="0"/>
          <w:dstrike w:val="0"/>
          <w:color w:val="auto"/>
          <w:sz w:val="32"/>
          <w:szCs w:val="32"/>
          <w:u w:val="none"/>
          <w:lang w:val="en-US" w:eastAsia="zh-CN"/>
        </w:rPr>
        <w:t>，</w:t>
      </w:r>
      <w:r>
        <w:rPr>
          <w:rFonts w:hint="eastAsia" w:ascii="Times New Roman" w:hAnsi="Times New Roman" w:eastAsia="仿宋_GB2312"/>
          <w:sz w:val="32"/>
          <w:szCs w:val="32"/>
          <w:lang w:val="en-US" w:eastAsia="zh-CN"/>
        </w:rPr>
        <w:t>项目实施进度缓于预期。</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281.67</w:t>
      </w:r>
      <w:r>
        <w:rPr>
          <w:rFonts w:hint="eastAsia" w:ascii="Times New Roman" w:hAnsi="Times New Roman" w:eastAsia="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273.36</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97.05</w:t>
      </w:r>
      <w:r>
        <w:rPr>
          <w:rFonts w:hint="eastAsia" w:ascii="Times New Roman" w:hAnsi="Times New Roman" w:eastAsia="仿宋_GB2312"/>
          <w:sz w:val="32"/>
          <w:szCs w:val="32"/>
        </w:rPr>
        <w:t>%</w:t>
      </w:r>
      <w:r>
        <w:rPr>
          <w:rFonts w:hint="eastAsia" w:ascii="Times New Roman" w:hAnsi="Times New Roman" w:eastAsia="仿宋_GB2312"/>
          <w:color w:val="auto"/>
          <w:sz w:val="32"/>
          <w:szCs w:val="32"/>
          <w:u w:val="none"/>
        </w:rPr>
        <w:t>，</w:t>
      </w:r>
      <w:r>
        <w:rPr>
          <w:rFonts w:hint="eastAsia" w:ascii="Times New Roman" w:hAnsi="Times New Roman" w:eastAsia="仿宋_GB2312"/>
          <w:sz w:val="32"/>
          <w:szCs w:val="32"/>
        </w:rPr>
        <w:t>主要包括基本工资、</w:t>
      </w:r>
      <w:r>
        <w:rPr>
          <w:rFonts w:hint="eastAsia" w:ascii="仿宋_GB2312" w:hAnsi="仿宋_GB2312" w:eastAsia="仿宋_GB2312" w:cs="仿宋_GB2312"/>
          <w:sz w:val="32"/>
          <w:szCs w:val="32"/>
        </w:rPr>
        <w:t>绩效工资、机关事业单位基本养老保险缴费、职工基本医疗保险缴费、公务员医疗补助缴费、</w:t>
      </w:r>
      <w:r>
        <w:rPr>
          <w:rFonts w:hint="eastAsia" w:ascii="仿宋_GB2312" w:hAnsi="仿宋_GB2312" w:eastAsia="仿宋_GB2312" w:cs="仿宋_GB2312"/>
          <w:sz w:val="32"/>
          <w:szCs w:val="32"/>
          <w:lang w:eastAsia="zh-CN"/>
        </w:rPr>
        <w:t>其他社会保障缴费、</w:t>
      </w:r>
      <w:r>
        <w:rPr>
          <w:rFonts w:hint="eastAsia" w:ascii="仿宋_GB2312" w:hAnsi="仿宋_GB2312" w:eastAsia="仿宋_GB2312" w:cs="仿宋_GB2312"/>
          <w:sz w:val="32"/>
          <w:szCs w:val="32"/>
        </w:rPr>
        <w:t>住房公积金、退休费、奖励金等。</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highlight w:val="none"/>
        </w:rPr>
        <w:t>公用经费</w:t>
      </w:r>
      <w:r>
        <w:rPr>
          <w:rFonts w:hint="eastAsia" w:ascii="Times New Roman" w:hAnsi="Times New Roman" w:eastAsia="仿宋_GB2312"/>
          <w:sz w:val="32"/>
          <w:szCs w:val="32"/>
          <w:highlight w:val="none"/>
          <w:lang w:val="en-US" w:eastAsia="zh-CN"/>
        </w:rPr>
        <w:t>8.31</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rPr>
        <w:t>占基本支出的</w:t>
      </w:r>
      <w:r>
        <w:rPr>
          <w:rFonts w:hint="eastAsia" w:ascii="Times New Roman" w:hAnsi="Times New Roman" w:eastAsia="仿宋_GB2312"/>
          <w:sz w:val="32"/>
          <w:szCs w:val="32"/>
          <w:lang w:val="en-US" w:eastAsia="zh-CN"/>
        </w:rPr>
        <w:t>2.95</w:t>
      </w:r>
      <w:r>
        <w:rPr>
          <w:rFonts w:hint="eastAsia" w:ascii="Times New Roman" w:hAnsi="Times New Roman" w:eastAsia="仿宋_GB2312"/>
          <w:sz w:val="32"/>
          <w:szCs w:val="32"/>
        </w:rPr>
        <w:t>%，主要包括办公费、</w:t>
      </w:r>
      <w:r>
        <w:rPr>
          <w:rFonts w:hint="eastAsia" w:ascii="Times New Roman" w:hAnsi="Times New Roman" w:eastAsia="仿宋_GB2312"/>
          <w:sz w:val="32"/>
          <w:szCs w:val="32"/>
          <w:lang w:eastAsia="zh-CN"/>
        </w:rPr>
        <w:t>邮电费、工会经费、其他商品和服务支出等。</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0.55</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13.75</w:t>
      </w:r>
      <w:r>
        <w:rPr>
          <w:rFonts w:hint="eastAsia" w:ascii="Times New Roman" w:hAnsi="Times New Roman" w:eastAsia="仿宋_GB2312"/>
          <w:sz w:val="32"/>
          <w:szCs w:val="32"/>
        </w:rPr>
        <w:t>%</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决算数小于预算数的主要原因是</w:t>
      </w:r>
      <w:r>
        <w:rPr>
          <w:rFonts w:hint="eastAsia" w:ascii="Times New Roman" w:hAnsi="Times New Roman" w:eastAsia="仿宋_GB2312"/>
          <w:color w:val="auto"/>
          <w:sz w:val="32"/>
          <w:szCs w:val="32"/>
          <w:u w:val="none"/>
          <w:lang w:eastAsia="zh-CN"/>
        </w:rPr>
        <w:t>单位</w:t>
      </w:r>
      <w:r>
        <w:rPr>
          <w:rFonts w:hint="eastAsia" w:ascii="仿宋_GB2312" w:hAnsi="仿宋_GB2312" w:eastAsia="仿宋_GB2312" w:cs="仿宋_GB2312"/>
          <w:color w:val="auto"/>
          <w:sz w:val="32"/>
          <w:szCs w:val="32"/>
          <w:u w:val="none"/>
        </w:rPr>
        <w:t>厉行节约，</w:t>
      </w:r>
      <w:r>
        <w:rPr>
          <w:rFonts w:hint="eastAsia" w:ascii="仿宋_GB2312" w:hAnsi="仿宋_GB2312" w:eastAsia="仿宋_GB2312" w:cs="仿宋_GB2312"/>
          <w:color w:val="auto"/>
          <w:sz w:val="32"/>
          <w:szCs w:val="32"/>
          <w:u w:val="none"/>
          <w:lang w:val="en-US" w:eastAsia="zh-CN"/>
        </w:rPr>
        <w:t>严格</w:t>
      </w:r>
      <w:r>
        <w:rPr>
          <w:rFonts w:hint="eastAsia" w:ascii="仿宋_GB2312" w:hAnsi="仿宋_GB2312" w:eastAsia="仿宋_GB2312" w:cs="仿宋_GB2312"/>
          <w:color w:val="auto"/>
          <w:sz w:val="32"/>
          <w:szCs w:val="32"/>
          <w:u w:val="none"/>
        </w:rPr>
        <w:t>控制</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三公</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经费支出</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与上年相比减少</w:t>
      </w:r>
      <w:r>
        <w:rPr>
          <w:rFonts w:hint="eastAsia" w:ascii="Times New Roman" w:hAnsi="Times New Roman" w:eastAsia="仿宋_GB2312"/>
          <w:color w:val="auto"/>
          <w:sz w:val="32"/>
          <w:szCs w:val="32"/>
          <w:u w:val="none"/>
          <w:lang w:val="en-US" w:eastAsia="zh-CN"/>
        </w:rPr>
        <w:t>0.35</w:t>
      </w:r>
      <w:r>
        <w:rPr>
          <w:rFonts w:hint="eastAsia" w:ascii="Times New Roman" w:hAnsi="Times New Roman" w:eastAsia="仿宋_GB2312"/>
          <w:color w:val="auto"/>
          <w:sz w:val="32"/>
          <w:szCs w:val="32"/>
          <w:u w:val="none"/>
        </w:rPr>
        <w:t>万元，减少</w:t>
      </w:r>
      <w:r>
        <w:rPr>
          <w:rFonts w:hint="eastAsia" w:ascii="Times New Roman" w:hAnsi="Times New Roman" w:eastAsia="仿宋_GB2312"/>
          <w:color w:val="auto"/>
          <w:sz w:val="32"/>
          <w:szCs w:val="32"/>
          <w:u w:val="none"/>
          <w:lang w:val="en-US" w:eastAsia="zh-CN"/>
        </w:rPr>
        <w:t>38.89</w:t>
      </w:r>
      <w:r>
        <w:rPr>
          <w:rFonts w:hint="eastAsia" w:ascii="Times New Roman" w:hAnsi="Times New Roman" w:eastAsia="仿宋_GB2312"/>
          <w:color w:val="auto"/>
          <w:sz w:val="32"/>
          <w:szCs w:val="32"/>
          <w:u w:val="none"/>
        </w:rPr>
        <w:t>%</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减少的主要原因是</w:t>
      </w:r>
      <w:r>
        <w:rPr>
          <w:rFonts w:hint="eastAsia" w:ascii="Times New Roman" w:hAnsi="Times New Roman" w:eastAsia="仿宋_GB2312"/>
          <w:color w:val="auto"/>
          <w:sz w:val="32"/>
          <w:szCs w:val="32"/>
          <w:u w:val="none"/>
          <w:lang w:eastAsia="zh-CN"/>
        </w:rPr>
        <w:t>单位</w:t>
      </w:r>
      <w:r>
        <w:rPr>
          <w:rFonts w:hint="eastAsia" w:ascii="仿宋_GB2312" w:hAnsi="仿宋_GB2312" w:eastAsia="仿宋_GB2312" w:cs="仿宋_GB2312"/>
          <w:color w:val="auto"/>
          <w:sz w:val="32"/>
          <w:szCs w:val="32"/>
          <w:u w:val="none"/>
        </w:rPr>
        <w:t>厉行节约，</w:t>
      </w:r>
      <w:r>
        <w:rPr>
          <w:rFonts w:hint="eastAsia" w:ascii="仿宋_GB2312" w:hAnsi="仿宋_GB2312" w:eastAsia="仿宋_GB2312" w:cs="仿宋_GB2312"/>
          <w:color w:val="auto"/>
          <w:sz w:val="32"/>
          <w:szCs w:val="32"/>
          <w:u w:val="none"/>
          <w:lang w:val="en-US" w:eastAsia="zh-CN"/>
        </w:rPr>
        <w:t>严格</w:t>
      </w:r>
      <w:r>
        <w:rPr>
          <w:rFonts w:hint="eastAsia" w:ascii="仿宋_GB2312" w:hAnsi="仿宋_GB2312" w:eastAsia="仿宋_GB2312" w:cs="仿宋_GB2312"/>
          <w:color w:val="auto"/>
          <w:sz w:val="32"/>
          <w:szCs w:val="32"/>
          <w:u w:val="none"/>
        </w:rPr>
        <w:t>控制</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三公</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经费支出</w:t>
      </w:r>
      <w:r>
        <w:rPr>
          <w:rFonts w:hint="eastAsia" w:ascii="Times New Roman" w:hAnsi="Times New Roman" w:eastAsia="仿宋_GB2312"/>
          <w:color w:val="auto"/>
          <w:sz w:val="32"/>
          <w:szCs w:val="32"/>
          <w:u w:val="none"/>
        </w:rPr>
        <w:t>。其</w:t>
      </w:r>
      <w:r>
        <w:rPr>
          <w:rFonts w:hint="eastAsia" w:ascii="Times New Roman" w:hAnsi="Times New Roman" w:eastAsia="仿宋_GB2312"/>
          <w:sz w:val="32"/>
          <w:szCs w:val="32"/>
        </w:rPr>
        <w:t>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eastAsia="zh-CN"/>
        </w:rPr>
        <w:t>持平。</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u w:val="none"/>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0.27</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决算数小于预算数的主要原因是</w:t>
      </w:r>
      <w:r>
        <w:rPr>
          <w:rFonts w:hint="eastAsia" w:ascii="Times New Roman" w:hAnsi="Times New Roman" w:eastAsia="仿宋_GB2312"/>
          <w:color w:val="auto"/>
          <w:sz w:val="32"/>
          <w:szCs w:val="32"/>
          <w:u w:val="none"/>
          <w:lang w:eastAsia="zh-CN"/>
        </w:rPr>
        <w:t>单位</w:t>
      </w:r>
      <w:r>
        <w:rPr>
          <w:rFonts w:hint="eastAsia" w:ascii="仿宋_GB2312" w:hAnsi="仿宋_GB2312" w:eastAsia="仿宋_GB2312" w:cs="仿宋_GB2312"/>
          <w:color w:val="auto"/>
          <w:sz w:val="32"/>
          <w:szCs w:val="32"/>
          <w:u w:val="none"/>
        </w:rPr>
        <w:t>厉行节约，</w:t>
      </w:r>
      <w:r>
        <w:rPr>
          <w:rFonts w:hint="eastAsia" w:ascii="仿宋_GB2312" w:hAnsi="仿宋_GB2312" w:eastAsia="仿宋_GB2312" w:cs="仿宋_GB2312"/>
          <w:color w:val="auto"/>
          <w:sz w:val="32"/>
          <w:szCs w:val="32"/>
          <w:u w:val="none"/>
          <w:lang w:val="en-US" w:eastAsia="zh-CN"/>
        </w:rPr>
        <w:t>严格</w:t>
      </w:r>
      <w:r>
        <w:rPr>
          <w:rFonts w:hint="eastAsia" w:ascii="仿宋_GB2312" w:hAnsi="仿宋_GB2312" w:eastAsia="仿宋_GB2312" w:cs="仿宋_GB2312"/>
          <w:color w:val="auto"/>
          <w:sz w:val="32"/>
          <w:szCs w:val="32"/>
          <w:u w:val="none"/>
        </w:rPr>
        <w:t>控制</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三公</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经费支出</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与上年相比减少</w:t>
      </w:r>
      <w:r>
        <w:rPr>
          <w:rFonts w:hint="eastAsia" w:ascii="Times New Roman" w:hAnsi="Times New Roman" w:eastAsia="仿宋_GB2312"/>
          <w:color w:val="auto"/>
          <w:sz w:val="32"/>
          <w:szCs w:val="32"/>
          <w:u w:val="none"/>
          <w:lang w:val="en-US" w:eastAsia="zh-CN"/>
        </w:rPr>
        <w:t>0.05</w:t>
      </w:r>
      <w:r>
        <w:rPr>
          <w:rFonts w:hint="eastAsia" w:ascii="Times New Roman" w:hAnsi="Times New Roman" w:eastAsia="仿宋_GB2312"/>
          <w:color w:val="auto"/>
          <w:sz w:val="32"/>
          <w:szCs w:val="32"/>
          <w:u w:val="none"/>
        </w:rPr>
        <w:t>万元，减少</w:t>
      </w:r>
      <w:r>
        <w:rPr>
          <w:rFonts w:hint="eastAsia" w:ascii="Times New Roman" w:hAnsi="Times New Roman" w:eastAsia="仿宋_GB2312"/>
          <w:color w:val="auto"/>
          <w:sz w:val="32"/>
          <w:szCs w:val="32"/>
          <w:u w:val="none"/>
          <w:lang w:val="en-US" w:eastAsia="zh-CN"/>
        </w:rPr>
        <w:t>15.63</w:t>
      </w:r>
      <w:r>
        <w:rPr>
          <w:rFonts w:hint="eastAsia" w:ascii="Times New Roman" w:hAnsi="Times New Roman" w:eastAsia="仿宋_GB2312"/>
          <w:color w:val="auto"/>
          <w:sz w:val="32"/>
          <w:szCs w:val="32"/>
          <w:u w:val="none"/>
        </w:rPr>
        <w:t>%</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减少的主要原因是</w:t>
      </w:r>
      <w:r>
        <w:rPr>
          <w:rFonts w:hint="eastAsia" w:ascii="Times New Roman" w:hAnsi="Times New Roman" w:eastAsia="仿宋_GB2312"/>
          <w:color w:val="auto"/>
          <w:sz w:val="32"/>
          <w:szCs w:val="32"/>
          <w:u w:val="none"/>
          <w:lang w:eastAsia="zh-CN"/>
        </w:rPr>
        <w:t>单位</w:t>
      </w:r>
      <w:r>
        <w:rPr>
          <w:rFonts w:hint="eastAsia" w:ascii="仿宋_GB2312" w:hAnsi="仿宋_GB2312" w:eastAsia="仿宋_GB2312" w:cs="仿宋_GB2312"/>
          <w:color w:val="auto"/>
          <w:sz w:val="32"/>
          <w:szCs w:val="32"/>
          <w:u w:val="none"/>
        </w:rPr>
        <w:t>厉行节约，</w:t>
      </w:r>
      <w:r>
        <w:rPr>
          <w:rFonts w:hint="eastAsia" w:ascii="仿宋_GB2312" w:hAnsi="仿宋_GB2312" w:eastAsia="仿宋_GB2312" w:cs="仿宋_GB2312"/>
          <w:color w:val="auto"/>
          <w:sz w:val="32"/>
          <w:szCs w:val="32"/>
          <w:u w:val="none"/>
          <w:lang w:val="en-US" w:eastAsia="zh-CN"/>
        </w:rPr>
        <w:t>严格</w:t>
      </w:r>
      <w:r>
        <w:rPr>
          <w:rFonts w:hint="eastAsia" w:ascii="仿宋_GB2312" w:hAnsi="仿宋_GB2312" w:eastAsia="仿宋_GB2312" w:cs="仿宋_GB2312"/>
          <w:color w:val="auto"/>
          <w:sz w:val="32"/>
          <w:szCs w:val="32"/>
          <w:u w:val="none"/>
        </w:rPr>
        <w:t>控制</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三公</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经费支出</w:t>
      </w:r>
      <w:r>
        <w:rPr>
          <w:rFonts w:hint="eastAsia" w:ascii="Times New Roman" w:hAnsi="Times New Roman" w:eastAsia="仿宋_GB2312"/>
          <w:color w:val="auto"/>
          <w:sz w:val="32"/>
          <w:szCs w:val="32"/>
          <w:u w:val="none"/>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万元，与上年相比持平。</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0.27</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27</w:t>
      </w:r>
      <w:r>
        <w:rPr>
          <w:rFonts w:hint="eastAsia" w:ascii="Times New Roman" w:hAnsi="Times New Roman" w:eastAsia="仿宋_GB2312"/>
          <w:sz w:val="32"/>
          <w:szCs w:val="32"/>
        </w:rPr>
        <w:t>%</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决算数小于预算数的主要原因是</w:t>
      </w:r>
      <w:r>
        <w:rPr>
          <w:rFonts w:hint="eastAsia" w:ascii="Times New Roman" w:hAnsi="Times New Roman" w:eastAsia="仿宋_GB2312"/>
          <w:color w:val="auto"/>
          <w:sz w:val="32"/>
          <w:szCs w:val="32"/>
          <w:u w:val="none"/>
          <w:lang w:eastAsia="zh-CN"/>
        </w:rPr>
        <w:t>单位</w:t>
      </w:r>
      <w:r>
        <w:rPr>
          <w:rFonts w:hint="eastAsia" w:ascii="仿宋_GB2312" w:hAnsi="仿宋_GB2312" w:eastAsia="仿宋_GB2312" w:cs="仿宋_GB2312"/>
          <w:color w:val="auto"/>
          <w:sz w:val="32"/>
          <w:szCs w:val="32"/>
          <w:u w:val="none"/>
        </w:rPr>
        <w:t>厉行节约，</w:t>
      </w:r>
      <w:r>
        <w:rPr>
          <w:rFonts w:hint="eastAsia" w:ascii="仿宋_GB2312" w:hAnsi="仿宋_GB2312" w:eastAsia="仿宋_GB2312" w:cs="仿宋_GB2312"/>
          <w:color w:val="auto"/>
          <w:sz w:val="32"/>
          <w:szCs w:val="32"/>
          <w:u w:val="none"/>
          <w:lang w:val="en-US" w:eastAsia="zh-CN"/>
        </w:rPr>
        <w:t>严格</w:t>
      </w:r>
      <w:r>
        <w:rPr>
          <w:rFonts w:hint="eastAsia" w:ascii="仿宋_GB2312" w:hAnsi="仿宋_GB2312" w:eastAsia="仿宋_GB2312" w:cs="仿宋_GB2312"/>
          <w:color w:val="auto"/>
          <w:sz w:val="32"/>
          <w:szCs w:val="32"/>
          <w:u w:val="none"/>
        </w:rPr>
        <w:t>控制</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三公</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经费支出</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与上年相比减少</w:t>
      </w:r>
      <w:r>
        <w:rPr>
          <w:rFonts w:hint="eastAsia" w:ascii="Times New Roman" w:hAnsi="Times New Roman" w:eastAsia="仿宋_GB2312"/>
          <w:color w:val="auto"/>
          <w:sz w:val="32"/>
          <w:szCs w:val="32"/>
          <w:u w:val="none"/>
          <w:lang w:val="en-US" w:eastAsia="zh-CN"/>
        </w:rPr>
        <w:t>0.31</w:t>
      </w:r>
      <w:r>
        <w:rPr>
          <w:rFonts w:hint="eastAsia" w:ascii="Times New Roman" w:hAnsi="Times New Roman" w:eastAsia="仿宋_GB2312"/>
          <w:color w:val="auto"/>
          <w:sz w:val="32"/>
          <w:szCs w:val="32"/>
          <w:u w:val="none"/>
        </w:rPr>
        <w:t>万元，减少</w:t>
      </w:r>
      <w:r>
        <w:rPr>
          <w:rFonts w:hint="eastAsia" w:ascii="Times New Roman" w:hAnsi="Times New Roman" w:eastAsia="仿宋_GB2312"/>
          <w:color w:val="auto"/>
          <w:sz w:val="32"/>
          <w:szCs w:val="32"/>
          <w:u w:val="none"/>
          <w:lang w:val="en-US" w:eastAsia="zh-CN"/>
        </w:rPr>
        <w:t>53.45</w:t>
      </w:r>
      <w:r>
        <w:rPr>
          <w:rFonts w:hint="eastAsia" w:ascii="Times New Roman" w:hAnsi="Times New Roman" w:eastAsia="仿宋_GB2312"/>
          <w:color w:val="auto"/>
          <w:sz w:val="32"/>
          <w:szCs w:val="32"/>
          <w:u w:val="none"/>
        </w:rPr>
        <w:t>%</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减少的主要原因是</w:t>
      </w:r>
      <w:r>
        <w:rPr>
          <w:rFonts w:hint="eastAsia" w:ascii="Times New Roman" w:hAnsi="Times New Roman" w:eastAsia="仿宋_GB2312"/>
          <w:color w:val="auto"/>
          <w:sz w:val="32"/>
          <w:szCs w:val="32"/>
          <w:u w:val="none"/>
          <w:lang w:eastAsia="zh-CN"/>
        </w:rPr>
        <w:t>单位</w:t>
      </w:r>
      <w:r>
        <w:rPr>
          <w:rFonts w:hint="eastAsia" w:ascii="仿宋_GB2312" w:hAnsi="仿宋_GB2312" w:eastAsia="仿宋_GB2312" w:cs="仿宋_GB2312"/>
          <w:color w:val="auto"/>
          <w:sz w:val="32"/>
          <w:szCs w:val="32"/>
          <w:u w:val="none"/>
        </w:rPr>
        <w:t>厉行节约，</w:t>
      </w:r>
      <w:r>
        <w:rPr>
          <w:rFonts w:hint="eastAsia" w:ascii="仿宋_GB2312" w:hAnsi="仿宋_GB2312" w:eastAsia="仿宋_GB2312" w:cs="仿宋_GB2312"/>
          <w:color w:val="auto"/>
          <w:sz w:val="32"/>
          <w:szCs w:val="32"/>
          <w:u w:val="none"/>
          <w:lang w:val="en-US" w:eastAsia="zh-CN"/>
        </w:rPr>
        <w:t>严格</w:t>
      </w:r>
      <w:r>
        <w:rPr>
          <w:rFonts w:hint="eastAsia" w:ascii="仿宋_GB2312" w:hAnsi="仿宋_GB2312" w:eastAsia="仿宋_GB2312" w:cs="仿宋_GB2312"/>
          <w:color w:val="auto"/>
          <w:sz w:val="32"/>
          <w:szCs w:val="32"/>
          <w:u w:val="none"/>
        </w:rPr>
        <w:t>控制</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三公</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经费支出</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年度“三公”经费财政拨款支出决算中，公务接待费支出决算</w:t>
      </w:r>
      <w:r>
        <w:rPr>
          <w:rFonts w:hint="eastAsia" w:ascii="Times New Roman" w:hAnsi="Times New Roman" w:eastAsia="仿宋_GB2312"/>
          <w:color w:val="auto"/>
          <w:sz w:val="32"/>
          <w:szCs w:val="32"/>
          <w:lang w:val="en-US" w:eastAsia="zh-CN"/>
        </w:rPr>
        <w:t>0.27</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50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因公出国（境）费支出决算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公务用车购置费及运行维护费支出决算</w:t>
      </w:r>
      <w:r>
        <w:rPr>
          <w:rFonts w:hint="eastAsia" w:ascii="Times New Roman" w:hAnsi="Times New Roman" w:eastAsia="仿宋_GB2312"/>
          <w:color w:val="auto"/>
          <w:sz w:val="32"/>
          <w:szCs w:val="32"/>
          <w:lang w:val="en-US" w:eastAsia="zh-CN"/>
        </w:rPr>
        <w:t>0.27</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50</w:t>
      </w:r>
      <w:r>
        <w:rPr>
          <w:rFonts w:hint="eastAsia" w:ascii="Times New Roman" w:hAnsi="Times New Roman" w:eastAsia="仿宋_GB2312"/>
          <w:color w:val="auto"/>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sz w:val="32"/>
          <w:szCs w:val="32"/>
        </w:rPr>
      </w:pP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因公出国（境）费支出决算为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万元，全年未安排因公出国（境）事务。</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sz w:val="32"/>
          <w:szCs w:val="32"/>
        </w:rPr>
        <w:t>公务接待费支出决算为</w:t>
      </w:r>
      <w:r>
        <w:rPr>
          <w:rFonts w:hint="eastAsia" w:ascii="Times New Roman" w:hAnsi="Times New Roman" w:eastAsia="仿宋_GB2312"/>
          <w:sz w:val="32"/>
          <w:szCs w:val="32"/>
          <w:lang w:val="en-US" w:eastAsia="zh-CN"/>
        </w:rPr>
        <w:t>0.27</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人次，主要是</w:t>
      </w:r>
      <w:r>
        <w:rPr>
          <w:rFonts w:hint="eastAsia" w:ascii="Times New Roman" w:hAnsi="Times New Roman" w:eastAsia="仿宋_GB2312"/>
          <w:color w:val="auto"/>
          <w:sz w:val="32"/>
          <w:szCs w:val="32"/>
          <w:lang w:val="en-US" w:eastAsia="zh-CN"/>
        </w:rPr>
        <w:t>农村</w:t>
      </w:r>
      <w:r>
        <w:rPr>
          <w:rFonts w:hint="eastAsia" w:ascii="Times New Roman" w:hAnsi="Times New Roman" w:eastAsia="仿宋_GB2312"/>
          <w:sz w:val="32"/>
          <w:szCs w:val="32"/>
        </w:rPr>
        <w:t>宅基地“两项试点”和农业农村大数据建设应用调研</w:t>
      </w:r>
      <w:r>
        <w:rPr>
          <w:rFonts w:hint="eastAsia" w:ascii="Times New Roman" w:hAnsi="Times New Roman" w:eastAsia="仿宋_GB2312"/>
          <w:sz w:val="32"/>
          <w:szCs w:val="32"/>
          <w:lang w:eastAsia="zh-CN"/>
        </w:rPr>
        <w:t>、特色产业数字化发展考察调研、农业农村信息化调研</w:t>
      </w:r>
      <w:r>
        <w:rPr>
          <w:rFonts w:hint="eastAsia" w:ascii="Times New Roman" w:hAnsi="Times New Roman" w:eastAsia="仿宋_GB2312"/>
          <w:sz w:val="32"/>
          <w:szCs w:val="32"/>
        </w:rPr>
        <w:t>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3.</w:t>
      </w:r>
      <w:r>
        <w:rPr>
          <w:rFonts w:hint="eastAsia" w:ascii="Times New Roman" w:hAnsi="Times New Roman" w:eastAsia="仿宋_GB2312"/>
          <w:color w:val="auto"/>
          <w:sz w:val="32"/>
          <w:szCs w:val="32"/>
          <w:highlight w:val="none"/>
        </w:rPr>
        <w:t>公</w:t>
      </w:r>
      <w:r>
        <w:rPr>
          <w:rFonts w:hint="eastAsia" w:ascii="Times New Roman" w:hAnsi="Times New Roman" w:eastAsia="仿宋_GB2312"/>
          <w:sz w:val="32"/>
          <w:szCs w:val="32"/>
          <w:highlight w:val="none"/>
        </w:rPr>
        <w:t>务用车购置费及运行维护费支出决算为</w:t>
      </w:r>
      <w:r>
        <w:rPr>
          <w:rFonts w:hint="eastAsia" w:ascii="Times New Roman" w:hAnsi="Times New Roman" w:eastAsia="仿宋_GB2312"/>
          <w:sz w:val="32"/>
          <w:szCs w:val="32"/>
          <w:highlight w:val="none"/>
          <w:lang w:val="en-US" w:eastAsia="zh-CN"/>
        </w:rPr>
        <w:t>0.27</w:t>
      </w:r>
      <w:r>
        <w:rPr>
          <w:rFonts w:hint="eastAsia" w:ascii="Times New Roman" w:hAnsi="Times New Roman" w:eastAsia="仿宋_GB2312"/>
          <w:sz w:val="32"/>
          <w:szCs w:val="32"/>
          <w:highlight w:val="none"/>
        </w:rPr>
        <w:t>万元，其中：公务用车购置费</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rPr>
        <w:t>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highlight w:val="none"/>
          <w14:textFill>
            <w14:solidFill>
              <w14:schemeClr w14:val="tx1"/>
            </w14:solidFill>
          </w14:textFill>
        </w:rPr>
        <w:t>。</w:t>
      </w:r>
      <w:r>
        <w:rPr>
          <w:rFonts w:hint="eastAsia" w:ascii="Times New Roman" w:hAnsi="Times New Roman" w:eastAsia="仿宋_GB2312"/>
          <w:sz w:val="32"/>
          <w:szCs w:val="32"/>
          <w:highlight w:val="none"/>
        </w:rPr>
        <w:t>公务用车运行维护费</w:t>
      </w:r>
      <w:r>
        <w:rPr>
          <w:rFonts w:hint="eastAsia" w:ascii="Times New Roman" w:hAnsi="Times New Roman" w:eastAsia="仿宋_GB2312"/>
          <w:sz w:val="32"/>
          <w:szCs w:val="32"/>
          <w:highlight w:val="none"/>
          <w:lang w:val="en-US" w:eastAsia="zh-CN"/>
        </w:rPr>
        <w:t>0.27</w:t>
      </w:r>
      <w:r>
        <w:rPr>
          <w:rFonts w:hint="eastAsia" w:ascii="Times New Roman" w:hAnsi="Times New Roman" w:eastAsia="仿宋_GB2312"/>
          <w:sz w:val="32"/>
          <w:szCs w:val="32"/>
          <w:highlight w:val="none"/>
        </w:rPr>
        <w:t>万元，主要是</w:t>
      </w:r>
      <w:r>
        <w:rPr>
          <w:rFonts w:hint="eastAsia" w:ascii="Times New Roman" w:hAnsi="Times New Roman" w:eastAsia="仿宋_GB2312"/>
          <w:sz w:val="32"/>
          <w:szCs w:val="32"/>
          <w:highlight w:val="none"/>
          <w:lang w:eastAsia="zh-CN"/>
        </w:rPr>
        <w:t>公务用车燃油费、维修保养费、保险费等</w:t>
      </w:r>
      <w:r>
        <w:rPr>
          <w:rFonts w:hint="eastAsia" w:ascii="Times New Roman" w:hAnsi="Times New Roman" w:eastAsia="仿宋_GB2312"/>
          <w:sz w:val="32"/>
          <w:szCs w:val="32"/>
          <w:highlight w:val="none"/>
        </w:rPr>
        <w:t>支</w:t>
      </w:r>
      <w:r>
        <w:rPr>
          <w:rFonts w:hint="eastAsia" w:ascii="Times New Roman" w:hAnsi="Times New Roman" w:eastAsia="仿宋_GB2312"/>
          <w:color w:val="auto"/>
          <w:sz w:val="32"/>
          <w:szCs w:val="32"/>
          <w:highlight w:val="none"/>
        </w:rPr>
        <w:t>出</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sz w:val="32"/>
          <w:szCs w:val="32"/>
          <w:highlight w:val="none"/>
        </w:rPr>
        <w:t>截止202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年12月31日，我单位开支财政拨款的公务用车保有量为</w:t>
      </w: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2023年，本单位无政府性基金收支。</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2023年，本单位无机关运行经费。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4"/>
        <w:spacing w:line="600" w:lineRule="exact"/>
        <w:ind w:firstLine="640" w:firstLineChars="200"/>
        <w:rPr>
          <w:rFonts w:hint="eastAsia" w:ascii="仿宋_GB2312" w:hAnsi="仿宋_GB2312" w:eastAsia="仿宋_GB2312" w:cs="仿宋_GB2312"/>
          <w:b/>
          <w:bCs/>
          <w:i/>
          <w:color w:val="auto"/>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0.93</w:t>
      </w:r>
      <w:r>
        <w:rPr>
          <w:rFonts w:hint="eastAsia" w:ascii="Times New Roman" w:hAnsi="Times New Roman" w:eastAsia="仿宋_GB2312"/>
          <w:sz w:val="32"/>
          <w:szCs w:val="32"/>
        </w:rPr>
        <w:t>万元，用于召</w:t>
      </w:r>
      <w:r>
        <w:rPr>
          <w:rFonts w:hint="eastAsia" w:ascii="Times New Roman" w:hAnsi="Times New Roman" w:eastAsia="仿宋_GB2312"/>
          <w:color w:val="auto"/>
          <w:sz w:val="32"/>
          <w:szCs w:val="32"/>
        </w:rPr>
        <w:t>开湖南</w:t>
      </w:r>
      <w:r>
        <w:rPr>
          <w:rFonts w:hint="eastAsia" w:ascii="Times New Roman" w:hAnsi="Times New Roman" w:eastAsia="仿宋_GB2312"/>
          <w:color w:val="auto"/>
          <w:sz w:val="32"/>
          <w:szCs w:val="32"/>
          <w:lang w:val="en-US" w:eastAsia="zh-CN"/>
        </w:rPr>
        <w:t>农业</w:t>
      </w:r>
      <w:r>
        <w:rPr>
          <w:rFonts w:hint="eastAsia" w:ascii="Times New Roman" w:hAnsi="Times New Roman" w:eastAsia="仿宋_GB2312"/>
          <w:color w:val="auto"/>
          <w:sz w:val="32"/>
          <w:szCs w:val="32"/>
        </w:rPr>
        <w:t>优势特色产业集群系统项目（一期）初步设计方案专家论证会</w:t>
      </w:r>
      <w:r>
        <w:rPr>
          <w:rFonts w:hint="eastAsia" w:ascii="Times New Roman" w:hAnsi="Times New Roman" w:eastAsia="仿宋_GB2312"/>
          <w:color w:val="auto"/>
          <w:sz w:val="32"/>
          <w:szCs w:val="32"/>
          <w:lang w:val="en-US" w:eastAsia="zh-CN"/>
        </w:rPr>
        <w:t>及可行性研究报告</w:t>
      </w:r>
      <w:r>
        <w:rPr>
          <w:rFonts w:hint="eastAsia" w:ascii="Times New Roman" w:hAnsi="Times New Roman" w:eastAsia="仿宋_GB2312"/>
          <w:color w:val="auto"/>
          <w:sz w:val="32"/>
          <w:szCs w:val="32"/>
          <w:lang w:eastAsia="zh-CN"/>
        </w:rPr>
        <w:t>专家论证会</w:t>
      </w:r>
      <w:r>
        <w:rPr>
          <w:rFonts w:hint="eastAsia" w:ascii="Times New Roman" w:hAnsi="Times New Roman" w:eastAsia="仿宋_GB2312"/>
          <w:color w:val="auto"/>
          <w:sz w:val="32"/>
          <w:szCs w:val="32"/>
        </w:rPr>
        <w:t>，人数</w:t>
      </w:r>
      <w:r>
        <w:rPr>
          <w:rFonts w:hint="eastAsia" w:ascii="Times New Roman" w:hAnsi="Times New Roman" w:eastAsia="仿宋_GB2312"/>
          <w:color w:val="auto"/>
          <w:sz w:val="32"/>
          <w:szCs w:val="32"/>
          <w:lang w:val="en-US" w:eastAsia="zh-CN"/>
        </w:rPr>
        <w:t>31</w:t>
      </w:r>
      <w:r>
        <w:rPr>
          <w:rFonts w:hint="eastAsia" w:ascii="Times New Roman" w:hAnsi="Times New Roman" w:eastAsia="仿宋_GB2312"/>
          <w:color w:val="auto"/>
          <w:sz w:val="32"/>
          <w:szCs w:val="32"/>
        </w:rPr>
        <w:t>人，</w:t>
      </w:r>
      <w:r>
        <w:rPr>
          <w:rFonts w:hint="eastAsia" w:ascii="Times New Roman" w:hAnsi="Times New Roman" w:eastAsia="仿宋_GB2312"/>
          <w:color w:val="auto"/>
          <w:sz w:val="32"/>
          <w:szCs w:val="32"/>
          <w:lang w:val="en-US" w:eastAsia="zh-CN"/>
        </w:rPr>
        <w:t>会议</w:t>
      </w:r>
      <w:r>
        <w:rPr>
          <w:rFonts w:hint="eastAsia" w:ascii="Times New Roman" w:hAnsi="Times New Roman" w:eastAsia="仿宋_GB2312"/>
          <w:color w:val="auto"/>
          <w:sz w:val="32"/>
          <w:szCs w:val="32"/>
        </w:rPr>
        <w:t>内容为对</w:t>
      </w:r>
      <w:r>
        <w:rPr>
          <w:rFonts w:hint="eastAsia" w:ascii="Times New Roman" w:hAnsi="Times New Roman" w:eastAsia="仿宋_GB2312"/>
          <w:color w:val="auto"/>
          <w:sz w:val="32"/>
          <w:szCs w:val="32"/>
          <w:lang w:val="en-US" w:eastAsia="zh-CN"/>
        </w:rPr>
        <w:t>湖南农业</w:t>
      </w:r>
      <w:r>
        <w:rPr>
          <w:rFonts w:hint="eastAsia" w:ascii="Times New Roman" w:hAnsi="Times New Roman" w:eastAsia="仿宋_GB2312"/>
          <w:color w:val="auto"/>
          <w:sz w:val="32"/>
          <w:szCs w:val="32"/>
        </w:rPr>
        <w:t>优势特色产业集群系统项目（一期）初步设计方案进行技术审查和论证</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及对可行性研究报告</w:t>
      </w:r>
      <w:r>
        <w:rPr>
          <w:rFonts w:hint="eastAsia" w:ascii="Times New Roman" w:hAnsi="Times New Roman" w:eastAsia="仿宋_GB2312"/>
          <w:color w:val="auto"/>
          <w:sz w:val="32"/>
          <w:szCs w:val="32"/>
          <w:lang w:eastAsia="zh-CN"/>
        </w:rPr>
        <w:t>进行技术</w:t>
      </w:r>
      <w:r>
        <w:rPr>
          <w:rFonts w:hint="eastAsia" w:ascii="Times New Roman" w:hAnsi="Times New Roman" w:eastAsia="仿宋_GB2312"/>
          <w:sz w:val="32"/>
          <w:szCs w:val="32"/>
          <w:lang w:eastAsia="zh-CN"/>
        </w:rPr>
        <w:t>审查和论证</w:t>
      </w:r>
      <w:r>
        <w:rPr>
          <w:rFonts w:hint="eastAsia" w:ascii="Times New Roman" w:hAnsi="Times New Roman" w:eastAsia="仿宋_GB2312"/>
          <w:sz w:val="32"/>
          <w:szCs w:val="32"/>
        </w:rPr>
        <w:t>；开支培训费</w:t>
      </w:r>
      <w:r>
        <w:rPr>
          <w:rFonts w:hint="eastAsia" w:ascii="Times New Roman" w:hAnsi="Times New Roman" w:eastAsia="仿宋_GB2312"/>
          <w:sz w:val="32"/>
          <w:szCs w:val="32"/>
          <w:lang w:val="en-US" w:eastAsia="zh-CN"/>
        </w:rPr>
        <w:t>2.05</w:t>
      </w:r>
      <w:r>
        <w:rPr>
          <w:rFonts w:hint="eastAsia" w:ascii="Times New Roman" w:hAnsi="Times New Roman" w:eastAsia="仿宋_GB2312"/>
          <w:sz w:val="32"/>
          <w:szCs w:val="32"/>
        </w:rPr>
        <w:t>万元，用于</w:t>
      </w:r>
      <w:r>
        <w:rPr>
          <w:rFonts w:hint="eastAsia" w:ascii="Times New Roman" w:hAnsi="Times New Roman" w:eastAsia="仿宋_GB2312"/>
          <w:sz w:val="32"/>
          <w:szCs w:val="32"/>
          <w:lang w:eastAsia="zh-CN"/>
        </w:rPr>
        <w:t>参加农业农村人才数字化技术业务培训班、农业农村人事人才信息统计业务能力培训班、</w:t>
      </w:r>
      <w:r>
        <w:rPr>
          <w:rFonts w:hint="eastAsia" w:ascii="Times New Roman" w:hAnsi="Times New Roman" w:eastAsia="仿宋_GB2312"/>
          <w:sz w:val="32"/>
          <w:szCs w:val="32"/>
        </w:rPr>
        <w:t>事业单位工作人员网上继续教育培训，人数</w:t>
      </w:r>
      <w:r>
        <w:rPr>
          <w:rFonts w:hint="eastAsia" w:ascii="Times New Roman" w:hAnsi="Times New Roman" w:eastAsia="仿宋_GB2312"/>
          <w:sz w:val="32"/>
          <w:szCs w:val="32"/>
          <w:lang w:val="en-US" w:eastAsia="zh-CN"/>
        </w:rPr>
        <w:t>11</w:t>
      </w:r>
      <w:r>
        <w:rPr>
          <w:rFonts w:hint="eastAsia" w:ascii="Times New Roman" w:hAnsi="Times New Roman" w:eastAsia="仿宋_GB2312"/>
          <w:sz w:val="32"/>
          <w:szCs w:val="32"/>
        </w:rPr>
        <w:t>人，内容为农业农村部政务信息系统管理平台建设成</w:t>
      </w:r>
      <w:r>
        <w:rPr>
          <w:rFonts w:hint="eastAsia" w:ascii="Times New Roman" w:hAnsi="Times New Roman" w:eastAsia="仿宋_GB2312"/>
          <w:color w:val="auto"/>
          <w:sz w:val="32"/>
          <w:szCs w:val="32"/>
          <w:u w:val="none"/>
        </w:rPr>
        <w:t>果</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农业农村部政务数据共享平台业务应用等</w:t>
      </w:r>
      <w:r>
        <w:rPr>
          <w:rFonts w:hint="eastAsia" w:ascii="Times New Roman" w:hAnsi="Times New Roman" w:eastAsia="仿宋_GB2312"/>
          <w:color w:val="auto"/>
          <w:sz w:val="32"/>
          <w:szCs w:val="32"/>
          <w:u w:val="none"/>
          <w:lang w:eastAsia="zh-CN"/>
        </w:rPr>
        <w:t>培训，</w:t>
      </w:r>
      <w:r>
        <w:rPr>
          <w:rFonts w:hint="eastAsia" w:ascii="Times New Roman" w:hAnsi="Times New Roman" w:eastAsia="仿宋_GB2312"/>
          <w:color w:val="auto"/>
          <w:sz w:val="32"/>
          <w:szCs w:val="32"/>
          <w:u w:val="none"/>
        </w:rPr>
        <w:t>全国农业农村系统国有单位人事劳动统计调查制度等</w:t>
      </w:r>
      <w:r>
        <w:rPr>
          <w:rFonts w:hint="eastAsia" w:ascii="Times New Roman" w:hAnsi="Times New Roman" w:eastAsia="仿宋_GB2312"/>
          <w:color w:val="auto"/>
          <w:sz w:val="32"/>
          <w:szCs w:val="32"/>
          <w:u w:val="none"/>
          <w:lang w:val="en-US" w:eastAsia="zh-CN"/>
        </w:rPr>
        <w:t>业务</w:t>
      </w:r>
      <w:r>
        <w:rPr>
          <w:rFonts w:hint="eastAsia" w:ascii="Times New Roman" w:hAnsi="Times New Roman" w:eastAsia="仿宋_GB2312"/>
          <w:color w:val="auto"/>
          <w:sz w:val="32"/>
          <w:szCs w:val="32"/>
          <w:u w:val="none"/>
        </w:rPr>
        <w:t>培训</w:t>
      </w:r>
      <w:r>
        <w:rPr>
          <w:rFonts w:hint="eastAsia" w:ascii="Times New Roman" w:hAnsi="Times New Roman" w:eastAsia="仿宋_GB2312"/>
          <w:color w:val="auto"/>
          <w:sz w:val="32"/>
          <w:szCs w:val="32"/>
          <w:u w:val="none"/>
          <w:lang w:eastAsia="zh-CN"/>
        </w:rPr>
        <w:t>，事业单位</w:t>
      </w:r>
      <w:r>
        <w:rPr>
          <w:rFonts w:hint="eastAsia" w:ascii="Times New Roman" w:hAnsi="Times New Roman" w:eastAsia="仿宋_GB2312"/>
          <w:sz w:val="32"/>
          <w:szCs w:val="32"/>
          <w:lang w:eastAsia="zh-CN"/>
        </w:rPr>
        <w:t>工作人员网上继续教育培训。</w:t>
      </w:r>
      <w:r>
        <w:rPr>
          <w:rFonts w:hint="eastAsia" w:ascii="仿宋_GB2312" w:hAnsi="仿宋_GB2312" w:eastAsia="仿宋_GB2312" w:cs="仿宋_GB2312"/>
          <w:sz w:val="32"/>
          <w:szCs w:val="32"/>
        </w:rPr>
        <w:t>未举办节庆、晚会、论坛、赛事活动。</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本部门202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年度政府采购支出总额</w:t>
      </w:r>
      <w:r>
        <w:rPr>
          <w:rFonts w:hint="eastAsia" w:ascii="Times New Roman" w:hAnsi="Times New Roman" w:eastAsia="仿宋_GB2312"/>
          <w:color w:val="auto"/>
          <w:sz w:val="32"/>
          <w:szCs w:val="32"/>
          <w:lang w:val="en-US" w:eastAsia="zh-CN"/>
        </w:rPr>
        <w:t>63.08</w:t>
      </w:r>
      <w:r>
        <w:rPr>
          <w:rFonts w:hint="eastAsia" w:ascii="Times New Roman" w:hAnsi="Times New Roman" w:eastAsia="仿宋_GB2312"/>
          <w:color w:val="auto"/>
          <w:sz w:val="32"/>
          <w:szCs w:val="32"/>
        </w:rPr>
        <w:t>万元，其中：政府采购货物支出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万元、政府采购工程支出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万元、政府采购服务支出</w:t>
      </w:r>
      <w:r>
        <w:rPr>
          <w:rFonts w:hint="eastAsia" w:ascii="Times New Roman" w:hAnsi="Times New Roman" w:eastAsia="仿宋_GB2312"/>
          <w:color w:val="auto"/>
          <w:sz w:val="32"/>
          <w:szCs w:val="32"/>
          <w:lang w:val="en-US" w:eastAsia="zh-CN"/>
        </w:rPr>
        <w:t>63.08</w:t>
      </w:r>
      <w:r>
        <w:rPr>
          <w:rFonts w:hint="eastAsia" w:ascii="Times New Roman" w:hAnsi="Times New Roman" w:eastAsia="仿宋_GB2312"/>
          <w:color w:val="auto"/>
          <w:sz w:val="32"/>
          <w:szCs w:val="32"/>
        </w:rPr>
        <w:t>万元。授予中小企业合同金额</w:t>
      </w:r>
      <w:r>
        <w:rPr>
          <w:rFonts w:hint="eastAsia" w:ascii="Times New Roman" w:hAnsi="Times New Roman" w:eastAsia="仿宋_GB2312"/>
          <w:color w:val="auto"/>
          <w:sz w:val="32"/>
          <w:szCs w:val="32"/>
          <w:lang w:val="en-US" w:eastAsia="zh-CN"/>
        </w:rPr>
        <w:t>53.08</w:t>
      </w:r>
      <w:r>
        <w:rPr>
          <w:rFonts w:hint="eastAsia" w:ascii="Times New Roman" w:hAnsi="Times New Roman" w:eastAsia="仿宋_GB2312"/>
          <w:color w:val="auto"/>
          <w:sz w:val="32"/>
          <w:szCs w:val="32"/>
        </w:rPr>
        <w:t>万元，占政府采购支出总额的</w:t>
      </w:r>
      <w:r>
        <w:rPr>
          <w:rFonts w:hint="eastAsia" w:ascii="Times New Roman" w:hAnsi="Times New Roman" w:eastAsia="仿宋_GB2312"/>
          <w:color w:val="auto"/>
          <w:sz w:val="32"/>
          <w:szCs w:val="32"/>
          <w:lang w:val="en-US" w:eastAsia="zh-CN"/>
        </w:rPr>
        <w:t>84.15</w:t>
      </w:r>
      <w:r>
        <w:rPr>
          <w:rFonts w:hint="eastAsia" w:ascii="Times New Roman" w:hAnsi="Times New Roman" w:eastAsia="仿宋_GB2312"/>
          <w:color w:val="auto"/>
          <w:sz w:val="32"/>
          <w:szCs w:val="32"/>
        </w:rPr>
        <w:t>%，其中：授予小微企业合同金额</w:t>
      </w:r>
      <w:r>
        <w:rPr>
          <w:rFonts w:hint="eastAsia" w:ascii="Times New Roman" w:hAnsi="Times New Roman" w:eastAsia="仿宋_GB2312"/>
          <w:color w:val="auto"/>
          <w:sz w:val="32"/>
          <w:szCs w:val="32"/>
          <w:lang w:val="en-US" w:eastAsia="zh-CN"/>
        </w:rPr>
        <w:t>19.2</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36.17</w:t>
      </w:r>
      <w:r>
        <w:rPr>
          <w:rFonts w:hint="eastAsia" w:ascii="Times New Roman" w:hAnsi="Times New Roman" w:eastAsia="仿宋_GB2312"/>
          <w:color w:val="auto"/>
          <w:sz w:val="32"/>
          <w:szCs w:val="32"/>
        </w:rPr>
        <w:t>%。服务采购授予中小企业合同金额占服务支出金额的</w:t>
      </w:r>
      <w:r>
        <w:rPr>
          <w:rFonts w:hint="eastAsia" w:ascii="Times New Roman" w:hAnsi="Times New Roman" w:eastAsia="仿宋_GB2312"/>
          <w:color w:val="auto"/>
          <w:sz w:val="32"/>
          <w:szCs w:val="32"/>
          <w:lang w:val="en-US" w:eastAsia="zh-CN"/>
        </w:rPr>
        <w:t>84.15</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4"/>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w:t>
      </w:r>
      <w:r>
        <w:rPr>
          <w:rFonts w:hint="eastAsia" w:ascii="Times New Roman" w:hAnsi="Times New Roman" w:eastAsia="仿宋_GB2312"/>
          <w:sz w:val="32"/>
          <w:szCs w:val="32"/>
          <w:lang w:eastAsia="zh-CN"/>
        </w:rPr>
        <w:t>本单位</w:t>
      </w:r>
      <w:r>
        <w:rPr>
          <w:rFonts w:hint="eastAsia" w:ascii="Times New Roman" w:hAnsi="Times New Roman" w:eastAsia="仿宋_GB2312"/>
          <w:sz w:val="32"/>
          <w:szCs w:val="32"/>
        </w:rPr>
        <w:t>共有车辆</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其中，主要领导干部用车0辆，机要通信用车0辆、应急保障用车0辆、执法执勤用车0辆、特种专业技术用车0辆、其他用车1辆，其他用车主要是到省内相关市县开展专业业务活动用车</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sz w:val="32"/>
          <w:szCs w:val="32"/>
        </w:rPr>
        <w:t>单位价值100万元以上设备</w:t>
      </w:r>
      <w:r>
        <w:rPr>
          <w:rFonts w:hint="eastAsia" w:ascii="Times New Roman" w:hAnsi="Times New Roman" w:eastAsia="仿宋_GB2312"/>
          <w:sz w:val="32"/>
          <w:szCs w:val="32"/>
          <w:lang w:eastAsia="zh-CN"/>
        </w:rPr>
        <w:t>（不含车辆）</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（一）绩效管理工作开展情况</w:t>
      </w:r>
    </w:p>
    <w:p>
      <w:pPr>
        <w:pStyle w:val="14"/>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color w:val="auto"/>
          <w:sz w:val="32"/>
          <w:szCs w:val="32"/>
          <w:lang w:val="en-US" w:eastAsia="zh-CN"/>
        </w:rPr>
        <w:t>按照</w:t>
      </w:r>
      <w:r>
        <w:rPr>
          <w:rFonts w:hint="eastAsia" w:ascii="Times New Roman" w:hAnsi="Times New Roman" w:eastAsia="仿宋_GB2312"/>
          <w:sz w:val="32"/>
          <w:szCs w:val="32"/>
          <w:lang w:eastAsia="zh-CN"/>
        </w:rPr>
        <w:t>预算绩效管理要求，本单位组织开展整体支出绩效自评</w:t>
      </w:r>
      <w:r>
        <w:rPr>
          <w:rFonts w:hint="eastAsia" w:ascii="Times New Roman" w:hAnsi="Times New Roman" w:eastAsia="仿宋_GB2312"/>
          <w:sz w:val="32"/>
          <w:szCs w:val="32"/>
          <w:lang w:val="en-US" w:eastAsia="zh-CN"/>
        </w:rPr>
        <w:t>，涉及一般公共预算支出726.79万元。2023年基本支出全年收入为287.85万元，基本支出决算金额为281.67 万元，支出进度为97.85%；项目支出全年收入为1664.70万元，项目支出决算金额为445.12万元，支出进度为26.74%。</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（二）单位</w:t>
      </w:r>
      <w:r>
        <w:rPr>
          <w:rFonts w:hint="eastAsia" w:ascii="楷体" w:hAnsi="楷体" w:eastAsia="楷体" w:cs="楷体"/>
          <w:b w:val="0"/>
          <w:bCs w:val="0"/>
          <w:sz w:val="32"/>
          <w:szCs w:val="32"/>
        </w:rPr>
        <w:t>整体支出绩效情况</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根据湖南省农业农村厅文件（湘农办发〔2024〕8号）要求，现从运行成本、管理效率、履职效能、社会效应、可持续发展能力、服务对象满意度等六方面进行自评。</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b/>
          <w:bCs/>
          <w:sz w:val="32"/>
          <w:szCs w:val="32"/>
          <w:lang w:eastAsia="zh-CN"/>
        </w:rPr>
        <w:t>（一）严控运行成本。</w:t>
      </w:r>
      <w:r>
        <w:rPr>
          <w:rFonts w:hint="eastAsia" w:ascii="Times New Roman" w:hAnsi="Times New Roman" w:eastAsia="仿宋_GB2312"/>
          <w:sz w:val="32"/>
          <w:szCs w:val="32"/>
          <w:lang w:eastAsia="zh-CN"/>
        </w:rPr>
        <w:t>2023年，我单位</w:t>
      </w:r>
      <w:r>
        <w:rPr>
          <w:rFonts w:hint="eastAsia" w:ascii="Times New Roman" w:hAnsi="Times New Roman" w:eastAsia="仿宋_GB2312"/>
          <w:sz w:val="32"/>
          <w:szCs w:val="32"/>
          <w:lang w:val="en-US" w:eastAsia="zh-CN"/>
        </w:rPr>
        <w:t>进一步</w:t>
      </w:r>
      <w:r>
        <w:rPr>
          <w:rFonts w:hint="eastAsia" w:ascii="Times New Roman" w:hAnsi="Times New Roman" w:eastAsia="仿宋_GB2312"/>
          <w:sz w:val="32"/>
          <w:szCs w:val="32"/>
          <w:lang w:eastAsia="zh-CN"/>
        </w:rPr>
        <w:t>加强内部管理，厉行节约，严控运行成本，促进节本增效。“三公”经费支出0.54万元，较年初预算4万元节约3.46万元，节约比为86.50%；坚持</w:t>
      </w:r>
      <w:r>
        <w:rPr>
          <w:rFonts w:hint="eastAsia" w:ascii="Times New Roman" w:hAnsi="Times New Roman" w:eastAsia="仿宋_GB2312"/>
          <w:color w:val="auto"/>
          <w:sz w:val="32"/>
          <w:szCs w:val="32"/>
          <w:lang w:val="en-US" w:eastAsia="zh-CN"/>
        </w:rPr>
        <w:t>从</w:t>
      </w:r>
      <w:r>
        <w:rPr>
          <w:rFonts w:hint="eastAsia" w:ascii="Times New Roman" w:hAnsi="Times New Roman" w:eastAsia="仿宋_GB2312"/>
          <w:sz w:val="32"/>
          <w:szCs w:val="32"/>
          <w:lang w:eastAsia="zh-CN"/>
        </w:rPr>
        <w:t>实际出发，科学组织实施网络和政务系统运行维护，合理减低运行成本，不断提升服务质量水平。</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b/>
          <w:bCs/>
          <w:sz w:val="32"/>
          <w:szCs w:val="32"/>
          <w:lang w:eastAsia="zh-CN"/>
        </w:rPr>
        <w:t>（二）提高管理效率。</w:t>
      </w:r>
      <w:r>
        <w:rPr>
          <w:rFonts w:hint="eastAsia" w:ascii="Times New Roman" w:hAnsi="Times New Roman" w:eastAsia="仿宋_GB2312"/>
          <w:sz w:val="32"/>
          <w:szCs w:val="32"/>
          <w:lang w:eastAsia="zh-CN"/>
        </w:rPr>
        <w:t>健全各项工作制度，强化内部管理，坚持用制度管钱管物、管人管事。明确领导班子职责分工，压实科室和人员岗位责任，加强检查督促，确保各项工作落到实处、见到实效。坚持从实际出发，合理制定采购需求，按规定实施政府采购，严格项目</w:t>
      </w:r>
      <w:r>
        <w:rPr>
          <w:rFonts w:hint="eastAsia" w:ascii="Times New Roman" w:hAnsi="Times New Roman" w:eastAsia="仿宋_GB2312"/>
          <w:color w:val="auto"/>
          <w:sz w:val="32"/>
          <w:szCs w:val="32"/>
          <w:lang w:eastAsia="zh-CN"/>
        </w:rPr>
        <w:t>进度质量</w:t>
      </w:r>
      <w:r>
        <w:rPr>
          <w:rFonts w:hint="eastAsia" w:ascii="Times New Roman" w:hAnsi="Times New Roman" w:eastAsia="仿宋_GB2312"/>
          <w:color w:val="auto"/>
          <w:sz w:val="32"/>
          <w:szCs w:val="32"/>
          <w:lang w:val="en-US" w:eastAsia="zh-CN"/>
        </w:rPr>
        <w:t>管理</w:t>
      </w:r>
      <w:r>
        <w:rPr>
          <w:rFonts w:hint="eastAsia" w:ascii="Times New Roman" w:hAnsi="Times New Roman" w:eastAsia="仿宋_GB2312"/>
          <w:sz w:val="32"/>
          <w:szCs w:val="32"/>
          <w:lang w:eastAsia="zh-CN"/>
        </w:rPr>
        <w:t>，对运维服务项目实行考评制度，切实发挥财政资金效益。</w:t>
      </w:r>
    </w:p>
    <w:p>
      <w:pPr>
        <w:pStyle w:val="14"/>
        <w:spacing w:line="600" w:lineRule="exact"/>
        <w:ind w:firstLine="640" w:firstLineChars="200"/>
        <w:rPr>
          <w:rFonts w:hint="default" w:ascii="Times New Roman" w:hAnsi="Times New Roman" w:eastAsia="仿宋_GB2312"/>
          <w:color w:val="auto"/>
          <w:sz w:val="32"/>
          <w:szCs w:val="32"/>
          <w:lang w:val="en-US" w:eastAsia="zh-CN"/>
        </w:rPr>
      </w:pPr>
      <w:r>
        <w:rPr>
          <w:rFonts w:hint="eastAsia" w:ascii="Times New Roman" w:hAnsi="Times New Roman" w:eastAsia="仿宋_GB2312"/>
          <w:b/>
          <w:bCs/>
          <w:sz w:val="32"/>
          <w:szCs w:val="32"/>
          <w:lang w:eastAsia="zh-CN"/>
        </w:rPr>
        <w:t>（三）提升履职效能。</w:t>
      </w:r>
      <w:r>
        <w:rPr>
          <w:rFonts w:hint="eastAsia" w:ascii="Times New Roman" w:hAnsi="Times New Roman" w:eastAsia="仿宋_GB2312"/>
          <w:sz w:val="32"/>
          <w:szCs w:val="32"/>
          <w:lang w:eastAsia="zh-CN"/>
        </w:rPr>
        <w:t>切实履行部门职能职责，围绕中心、服务大局，扎实推进各项工作，取得明显成效。一是加强意识形态阵地建管，厅官网官微发布信息1.81万条，完成3.46万条历史存量数据排查，有力维护网络意识形态安全；在省政务局、省网信委检查测评中，四个季度厅官网官微合格率均为100%、IPV6支持度均居省直单位前列。二是抓好政务系统运维管理，OA系统覆盖厅市县480多个单位，保障各类视频会议211场次；</w:t>
      </w:r>
      <w:r>
        <w:rPr>
          <w:rFonts w:hint="eastAsia" w:ascii="Times New Roman" w:hAnsi="Times New Roman" w:eastAsia="仿宋_GB2312"/>
          <w:color w:val="auto"/>
          <w:sz w:val="32"/>
          <w:szCs w:val="32"/>
          <w:lang w:val="en-US" w:eastAsia="zh-CN"/>
        </w:rPr>
        <w:t>加强资源管理，</w:t>
      </w:r>
      <w:r>
        <w:rPr>
          <w:rFonts w:hint="eastAsia" w:ascii="Times New Roman" w:hAnsi="Times New Roman" w:eastAsia="仿宋_GB2312"/>
          <w:color w:val="auto"/>
          <w:sz w:val="32"/>
          <w:szCs w:val="32"/>
          <w:lang w:eastAsia="zh-CN"/>
        </w:rPr>
        <w:t>强化技术支持，为政务</w:t>
      </w:r>
      <w:r>
        <w:rPr>
          <w:rFonts w:hint="eastAsia" w:ascii="Times New Roman" w:hAnsi="Times New Roman" w:eastAsia="仿宋_GB2312"/>
          <w:color w:val="auto"/>
          <w:sz w:val="32"/>
          <w:szCs w:val="32"/>
          <w:lang w:val="en-US" w:eastAsia="zh-CN"/>
        </w:rPr>
        <w:t>信息</w:t>
      </w:r>
      <w:r>
        <w:rPr>
          <w:rFonts w:hint="eastAsia" w:ascii="Times New Roman" w:hAnsi="Times New Roman" w:eastAsia="仿宋_GB2312"/>
          <w:color w:val="auto"/>
          <w:sz w:val="32"/>
          <w:szCs w:val="32"/>
          <w:lang w:eastAsia="zh-CN"/>
        </w:rPr>
        <w:t>系统部署运行提供可靠保障。三是推进政务数据归集共享，建立11大数据库，共采集数据26.8亿条，完成与部省10</w:t>
      </w:r>
      <w:r>
        <w:rPr>
          <w:rFonts w:hint="eastAsia" w:ascii="Times New Roman" w:hAnsi="Times New Roman" w:eastAsia="仿宋_GB2312"/>
          <w:color w:val="auto"/>
          <w:sz w:val="32"/>
          <w:szCs w:val="32"/>
          <w:lang w:val="en-US" w:eastAsia="zh-CN"/>
        </w:rPr>
        <w:t>多</w:t>
      </w:r>
      <w:r>
        <w:rPr>
          <w:rFonts w:hint="eastAsia" w:ascii="Times New Roman" w:hAnsi="Times New Roman" w:eastAsia="仿宋_GB2312"/>
          <w:color w:val="auto"/>
          <w:sz w:val="32"/>
          <w:szCs w:val="32"/>
          <w:lang w:eastAsia="zh-CN"/>
        </w:rPr>
        <w:t>个政务系统对接，做好“湘易办”</w:t>
      </w:r>
      <w:r>
        <w:rPr>
          <w:rFonts w:hint="eastAsia" w:ascii="Times New Roman" w:hAnsi="Times New Roman" w:eastAsia="仿宋_GB2312"/>
          <w:color w:val="auto"/>
          <w:sz w:val="32"/>
          <w:szCs w:val="32"/>
          <w:lang w:val="en-US" w:eastAsia="zh-CN"/>
        </w:rPr>
        <w:t>旗舰店</w:t>
      </w:r>
      <w:r>
        <w:rPr>
          <w:rFonts w:hint="eastAsia" w:ascii="Times New Roman" w:hAnsi="Times New Roman" w:eastAsia="仿宋_GB2312"/>
          <w:color w:val="auto"/>
          <w:sz w:val="32"/>
          <w:szCs w:val="32"/>
          <w:lang w:eastAsia="zh-CN"/>
        </w:rPr>
        <w:t>等工作。四是强化网络系统运行保障，</w:t>
      </w:r>
      <w:r>
        <w:rPr>
          <w:rFonts w:hint="eastAsia" w:ascii="Times New Roman" w:hAnsi="Times New Roman" w:eastAsia="仿宋_GB2312"/>
          <w:color w:val="auto"/>
          <w:sz w:val="32"/>
          <w:szCs w:val="32"/>
          <w:lang w:val="en-US" w:eastAsia="zh-CN"/>
        </w:rPr>
        <w:t>抓好700多</w:t>
      </w:r>
      <w:r>
        <w:rPr>
          <w:rFonts w:hint="eastAsia" w:ascii="Times New Roman" w:hAnsi="Times New Roman" w:eastAsia="仿宋_GB2312"/>
          <w:color w:val="auto"/>
          <w:sz w:val="32"/>
          <w:szCs w:val="32"/>
          <w:lang w:eastAsia="zh-CN"/>
        </w:rPr>
        <w:t>台套网</w:t>
      </w:r>
      <w:r>
        <w:rPr>
          <w:rFonts w:hint="eastAsia" w:ascii="Times New Roman" w:hAnsi="Times New Roman" w:eastAsia="仿宋_GB2312"/>
          <w:sz w:val="32"/>
          <w:szCs w:val="32"/>
          <w:lang w:eastAsia="zh-CN"/>
        </w:rPr>
        <w:t>络设备、办公终端的日常维护，对40多个信息系统实施漏洞扫描和渗透测试，修补高危漏洞978个，封禁恶意境外IP740条，监测处置安全问题121次；</w:t>
      </w:r>
      <w:r>
        <w:rPr>
          <w:rFonts w:hint="eastAsia" w:ascii="Times New Roman" w:hAnsi="Times New Roman" w:eastAsia="仿宋_GB2312"/>
          <w:color w:val="auto"/>
          <w:sz w:val="32"/>
          <w:szCs w:val="32"/>
          <w:lang w:val="en-US" w:eastAsia="zh-CN"/>
        </w:rPr>
        <w:t>制定《湖南省农业农村厅</w:t>
      </w:r>
      <w:r>
        <w:rPr>
          <w:rFonts w:hint="eastAsia" w:ascii="Times New Roman" w:hAnsi="Times New Roman" w:eastAsia="仿宋_GB2312"/>
          <w:color w:val="auto"/>
          <w:sz w:val="32"/>
          <w:szCs w:val="32"/>
          <w:lang w:eastAsia="zh-CN"/>
        </w:rPr>
        <w:t>网络与信息安全管理办法（试行）》，</w:t>
      </w:r>
      <w:r>
        <w:rPr>
          <w:rFonts w:ascii="Times New Roman" w:hAnsi="仿宋_GB2312" w:eastAsia="仿宋_GB2312" w:cs="Times New Roman"/>
          <w:color w:val="auto"/>
          <w:sz w:val="32"/>
          <w:szCs w:val="32"/>
        </w:rPr>
        <w:t>建立落实安全巡检、渗透测试、风险评估等</w:t>
      </w:r>
      <w:r>
        <w:rPr>
          <w:rFonts w:hint="eastAsia" w:ascii="Times New Roman" w:hAnsi="Times New Roman" w:eastAsia="仿宋_GB2312"/>
          <w:color w:val="auto"/>
          <w:sz w:val="32"/>
          <w:szCs w:val="32"/>
          <w:lang w:val="en-US" w:eastAsia="zh-CN"/>
        </w:rPr>
        <w:t>系列</w:t>
      </w:r>
      <w:r>
        <w:rPr>
          <w:rFonts w:ascii="Times New Roman" w:hAnsi="仿宋_GB2312" w:eastAsia="仿宋_GB2312" w:cs="Times New Roman"/>
          <w:color w:val="auto"/>
          <w:sz w:val="32"/>
          <w:szCs w:val="32"/>
        </w:rPr>
        <w:t>制度</w:t>
      </w:r>
      <w:r>
        <w:rPr>
          <w:rFonts w:hint="eastAsia" w:ascii="Times New Roman" w:hAnsi="仿宋_GB2312" w:eastAsia="仿宋_GB2312" w:cs="Times New Roman"/>
          <w:color w:val="auto"/>
          <w:sz w:val="32"/>
          <w:szCs w:val="32"/>
          <w:lang w:eastAsia="zh-CN"/>
        </w:rPr>
        <w:t>，</w:t>
      </w:r>
      <w:r>
        <w:rPr>
          <w:rFonts w:hint="eastAsia" w:ascii="Times New Roman" w:hAnsi="Times New Roman" w:eastAsia="仿宋_GB2312"/>
          <w:color w:val="auto"/>
          <w:sz w:val="32"/>
          <w:szCs w:val="32"/>
          <w:lang w:eastAsia="zh-CN"/>
        </w:rPr>
        <w:t>打造厅密码基础平台</w:t>
      </w:r>
      <w:r>
        <w:rPr>
          <w:rFonts w:hint="eastAsia" w:ascii="Times New Roman" w:hAnsi="Times New Roman" w:eastAsia="仿宋_GB2312"/>
          <w:color w:val="auto"/>
          <w:sz w:val="32"/>
          <w:szCs w:val="32"/>
          <w:lang w:val="en-US" w:eastAsia="zh-CN"/>
        </w:rPr>
        <w:t>，推动密码技术应用；制定应急预案、开展应急演练，</w:t>
      </w:r>
      <w:r>
        <w:rPr>
          <w:rFonts w:hint="eastAsia" w:ascii="Times New Roman" w:hAnsi="Times New Roman" w:eastAsia="仿宋_GB2312"/>
          <w:color w:val="auto"/>
          <w:sz w:val="32"/>
          <w:szCs w:val="32"/>
          <w:lang w:eastAsia="zh-CN"/>
        </w:rPr>
        <w:t>加强值班值守和应急</w:t>
      </w:r>
      <w:r>
        <w:rPr>
          <w:rFonts w:hint="eastAsia" w:ascii="Times New Roman" w:hAnsi="Times New Roman" w:eastAsia="仿宋_GB2312"/>
          <w:sz w:val="32"/>
          <w:szCs w:val="32"/>
          <w:lang w:eastAsia="zh-CN"/>
        </w:rPr>
        <w:t>处置，未发生重大网络安全事件。五是打造“涉农舆情监测平台”，健全监测处置机制，加强分析研判，扩充监测数据库；编发《网情择要（周报）》47期，开展专题监测、编发《快报》24期，</w:t>
      </w:r>
      <w:r>
        <w:rPr>
          <w:rFonts w:hint="eastAsia" w:ascii="Times New Roman" w:hAnsi="Times New Roman" w:eastAsia="仿宋_GB2312"/>
          <w:color w:val="auto"/>
          <w:sz w:val="32"/>
          <w:szCs w:val="32"/>
          <w:lang w:val="en-US" w:eastAsia="zh-CN"/>
        </w:rPr>
        <w:t>为领导决策提供参考。</w:t>
      </w:r>
      <w:r>
        <w:rPr>
          <w:rFonts w:hint="eastAsia" w:ascii="Times New Roman" w:hAnsi="Times New Roman" w:eastAsia="仿宋_GB2312"/>
          <w:sz w:val="32"/>
          <w:szCs w:val="32"/>
          <w:lang w:eastAsia="zh-CN"/>
        </w:rPr>
        <w:t>六是推动</w:t>
      </w:r>
      <w:r>
        <w:rPr>
          <w:rFonts w:hint="eastAsia" w:ascii="Times New Roman" w:hAnsi="Times New Roman" w:eastAsia="仿宋_GB2312"/>
          <w:color w:val="auto"/>
          <w:sz w:val="32"/>
          <w:szCs w:val="32"/>
        </w:rPr>
        <w:t>湖南</w:t>
      </w:r>
      <w:r>
        <w:rPr>
          <w:rFonts w:hint="eastAsia" w:ascii="Times New Roman" w:hAnsi="Times New Roman" w:eastAsia="仿宋_GB2312"/>
          <w:color w:val="auto"/>
          <w:sz w:val="32"/>
          <w:szCs w:val="32"/>
          <w:lang w:val="en-US" w:eastAsia="zh-CN"/>
        </w:rPr>
        <w:t>农业</w:t>
      </w:r>
      <w:r>
        <w:rPr>
          <w:rFonts w:hint="eastAsia" w:ascii="Times New Roman" w:hAnsi="Times New Roman" w:eastAsia="仿宋_GB2312"/>
          <w:color w:val="auto"/>
          <w:sz w:val="32"/>
          <w:szCs w:val="32"/>
        </w:rPr>
        <w:t>优势特色产业集群系统项目（一期）</w:t>
      </w:r>
      <w:r>
        <w:rPr>
          <w:rFonts w:hint="eastAsia" w:ascii="Times New Roman" w:hAnsi="Times New Roman" w:eastAsia="仿宋_GB2312"/>
          <w:color w:val="auto"/>
          <w:sz w:val="32"/>
          <w:szCs w:val="32"/>
          <w:lang w:eastAsia="zh-CN"/>
        </w:rPr>
        <w:t>完成前</w:t>
      </w:r>
      <w:r>
        <w:rPr>
          <w:rFonts w:hint="eastAsia" w:ascii="Times New Roman" w:hAnsi="Times New Roman" w:eastAsia="仿宋_GB2312"/>
          <w:sz w:val="32"/>
          <w:szCs w:val="32"/>
          <w:lang w:eastAsia="zh-CN"/>
        </w:rPr>
        <w:t>置审查、可研批复、概算评审、财政评审和政府采购，大力推进项目实施投用。七是提升为农信息服务水平，</w:t>
      </w:r>
      <w:r>
        <w:rPr>
          <w:rFonts w:hint="eastAsia" w:ascii="Times New Roman" w:hAnsi="Times New Roman" w:eastAsia="仿宋_GB2312"/>
          <w:color w:val="auto"/>
          <w:sz w:val="32"/>
          <w:szCs w:val="32"/>
          <w:lang w:val="en-US" w:eastAsia="zh-CN"/>
        </w:rPr>
        <w:t>大力</w:t>
      </w:r>
      <w:r>
        <w:rPr>
          <w:rFonts w:hint="eastAsia" w:ascii="Times New Roman" w:hAnsi="Times New Roman" w:eastAsia="仿宋_GB2312"/>
          <w:color w:val="auto"/>
          <w:sz w:val="32"/>
          <w:szCs w:val="32"/>
          <w:lang w:eastAsia="zh-CN"/>
        </w:rPr>
        <w:t>推进政务信息公开，</w:t>
      </w:r>
      <w:r>
        <w:rPr>
          <w:rFonts w:hint="eastAsia" w:ascii="Times New Roman" w:hAnsi="Times New Roman" w:eastAsia="仿宋_GB2312"/>
          <w:color w:val="auto"/>
          <w:sz w:val="32"/>
          <w:szCs w:val="32"/>
          <w:lang w:val="en-US" w:eastAsia="zh-CN"/>
        </w:rPr>
        <w:t>办</w:t>
      </w:r>
      <w:r>
        <w:rPr>
          <w:rFonts w:hint="eastAsia" w:ascii="Times New Roman" w:hAnsi="Times New Roman" w:eastAsia="仿宋_GB2312"/>
          <w:color w:val="auto"/>
          <w:sz w:val="32"/>
          <w:szCs w:val="32"/>
          <w:lang w:eastAsia="zh-CN"/>
        </w:rPr>
        <w:t>理</w:t>
      </w:r>
      <w:r>
        <w:rPr>
          <w:rFonts w:hint="eastAsia" w:ascii="Times New Roman" w:hAnsi="Times New Roman" w:eastAsia="仿宋_GB2312"/>
          <w:color w:val="auto"/>
          <w:sz w:val="32"/>
          <w:szCs w:val="32"/>
          <w:lang w:val="en-US" w:eastAsia="zh-CN"/>
        </w:rPr>
        <w:t>厅官网群众</w:t>
      </w:r>
      <w:r>
        <w:rPr>
          <w:rFonts w:hint="eastAsia" w:ascii="Times New Roman" w:hAnsi="Times New Roman" w:eastAsia="仿宋_GB2312"/>
          <w:color w:val="auto"/>
          <w:sz w:val="32"/>
          <w:szCs w:val="32"/>
          <w:lang w:eastAsia="zh-CN"/>
        </w:rPr>
        <w:t>来信250余件，</w:t>
      </w:r>
      <w:r>
        <w:rPr>
          <w:rFonts w:hint="eastAsia" w:ascii="Times New Roman" w:hAnsi="Times New Roman" w:eastAsia="仿宋_GB2312"/>
          <w:color w:val="auto"/>
          <w:sz w:val="32"/>
          <w:szCs w:val="32"/>
          <w:lang w:val="en-US" w:eastAsia="zh-CN"/>
        </w:rPr>
        <w:t>承办</w:t>
      </w:r>
      <w:r>
        <w:rPr>
          <w:rFonts w:hint="eastAsia" w:ascii="Times New Roman" w:hAnsi="Times New Roman" w:eastAsia="仿宋_GB2312"/>
          <w:color w:val="auto"/>
          <w:sz w:val="32"/>
          <w:szCs w:val="32"/>
          <w:lang w:eastAsia="zh-CN"/>
        </w:rPr>
        <w:t>省级12345平台工单200余</w:t>
      </w:r>
      <w:r>
        <w:rPr>
          <w:rFonts w:hint="eastAsia" w:ascii="Times New Roman" w:hAnsi="Times New Roman" w:eastAsia="仿宋_GB2312"/>
          <w:color w:val="auto"/>
          <w:sz w:val="32"/>
          <w:szCs w:val="32"/>
          <w:lang w:val="en-US" w:eastAsia="zh-CN"/>
        </w:rPr>
        <w:t>项</w:t>
      </w:r>
      <w:r>
        <w:rPr>
          <w:rFonts w:hint="eastAsia" w:ascii="Times New Roman" w:hAnsi="Times New Roman" w:eastAsia="仿宋_GB2312"/>
          <w:color w:val="auto"/>
          <w:sz w:val="32"/>
          <w:szCs w:val="32"/>
          <w:lang w:eastAsia="zh-CN"/>
        </w:rPr>
        <w:t>，受理热线电话3500余次，建立</w:t>
      </w:r>
      <w:r>
        <w:rPr>
          <w:rFonts w:hint="eastAsia" w:ascii="Times New Roman" w:hAnsi="Times New Roman" w:eastAsia="仿宋_GB2312"/>
          <w:color w:val="auto"/>
          <w:sz w:val="32"/>
          <w:szCs w:val="32"/>
          <w:lang w:val="en-US" w:eastAsia="zh-CN"/>
        </w:rPr>
        <w:t>农业农村政策法规和农业科技</w:t>
      </w:r>
      <w:r>
        <w:rPr>
          <w:rFonts w:hint="eastAsia" w:ascii="Times New Roman" w:hAnsi="Times New Roman" w:eastAsia="仿宋_GB2312"/>
          <w:color w:val="auto"/>
          <w:sz w:val="32"/>
          <w:szCs w:val="32"/>
          <w:lang w:eastAsia="zh-CN"/>
        </w:rPr>
        <w:t>知</w:t>
      </w:r>
      <w:r>
        <w:rPr>
          <w:rFonts w:hint="eastAsia" w:ascii="Times New Roman" w:hAnsi="Times New Roman" w:eastAsia="仿宋_GB2312"/>
          <w:sz w:val="32"/>
          <w:szCs w:val="32"/>
          <w:lang w:eastAsia="zh-CN"/>
        </w:rPr>
        <w:t>识库条目1.37万条，发布</w:t>
      </w:r>
      <w:r>
        <w:rPr>
          <w:rFonts w:hint="eastAsia" w:ascii="Times New Roman" w:hAnsi="Times New Roman" w:eastAsia="仿宋_GB2312"/>
          <w:color w:val="auto"/>
          <w:sz w:val="32"/>
          <w:szCs w:val="32"/>
          <w:lang w:val="en-US" w:eastAsia="zh-CN"/>
        </w:rPr>
        <w:t>主要农产品</w:t>
      </w:r>
      <w:r>
        <w:rPr>
          <w:rFonts w:hint="eastAsia" w:ascii="Times New Roman" w:hAnsi="Times New Roman" w:eastAsia="仿宋_GB2312"/>
          <w:color w:val="auto"/>
          <w:sz w:val="32"/>
          <w:szCs w:val="32"/>
          <w:lang w:eastAsia="zh-CN"/>
        </w:rPr>
        <w:t>电商行情监测周报50期；</w:t>
      </w:r>
      <w:r>
        <w:rPr>
          <w:rFonts w:hint="eastAsia" w:ascii="Times New Roman" w:hAnsi="Times New Roman" w:eastAsia="仿宋_GB2312"/>
          <w:color w:val="auto"/>
          <w:sz w:val="32"/>
          <w:szCs w:val="32"/>
          <w:lang w:val="en-US" w:eastAsia="zh-CN"/>
        </w:rPr>
        <w:t>组织开展农村电商培训，开展</w:t>
      </w:r>
      <w:r>
        <w:rPr>
          <w:rFonts w:hint="eastAsia" w:ascii="Times New Roman" w:hAnsi="仿宋_GB2312" w:eastAsia="仿宋_GB2312" w:cs="Times New Roman"/>
          <w:color w:val="auto"/>
          <w:sz w:val="32"/>
          <w:szCs w:val="32"/>
        </w:rPr>
        <w:t>数字乡村发展水平评价</w:t>
      </w:r>
      <w:r>
        <w:rPr>
          <w:rFonts w:hint="eastAsia" w:ascii="Times New Roman" w:hAnsi="Times New Roman" w:eastAsia="仿宋_GB2312"/>
          <w:color w:val="auto"/>
          <w:sz w:val="32"/>
          <w:szCs w:val="32"/>
          <w:lang w:val="en-US" w:eastAsia="zh-CN"/>
        </w:rPr>
        <w:t>等。</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b/>
          <w:bCs/>
          <w:sz w:val="32"/>
          <w:szCs w:val="32"/>
          <w:lang w:eastAsia="zh-CN"/>
        </w:rPr>
        <w:t>（四）发挥社会效益。</w:t>
      </w:r>
      <w:r>
        <w:rPr>
          <w:rFonts w:hint="eastAsia" w:ascii="Times New Roman" w:hAnsi="Times New Roman" w:eastAsia="仿宋_GB2312"/>
          <w:sz w:val="32"/>
          <w:szCs w:val="32"/>
          <w:lang w:eastAsia="zh-CN"/>
        </w:rPr>
        <w:t>坚持面向“三农”、服务“三农”，不断提升工作服务水平，发挥良好社会效益。厅官网</w:t>
      </w:r>
      <w:r>
        <w:rPr>
          <w:rFonts w:hint="eastAsia" w:ascii="Times New Roman" w:hAnsi="Times New Roman" w:eastAsia="仿宋_GB2312"/>
          <w:color w:val="auto"/>
          <w:sz w:val="32"/>
          <w:szCs w:val="32"/>
          <w:lang w:eastAsia="zh-CN"/>
        </w:rPr>
        <w:t>官微</w:t>
      </w:r>
      <w:r>
        <w:rPr>
          <w:rFonts w:hint="eastAsia" w:ascii="Times New Roman" w:hAnsi="Times New Roman" w:eastAsia="仿宋_GB2312"/>
          <w:color w:val="auto"/>
          <w:sz w:val="32"/>
          <w:szCs w:val="32"/>
          <w:lang w:val="en-US" w:eastAsia="zh-CN"/>
        </w:rPr>
        <w:t>积极宣传贯彻党的“三农”工作方针和强农惠农政策，</w:t>
      </w:r>
      <w:r>
        <w:rPr>
          <w:rFonts w:hint="eastAsia" w:ascii="Times New Roman" w:hAnsi="Times New Roman" w:eastAsia="仿宋_GB2312"/>
          <w:color w:val="auto"/>
          <w:sz w:val="32"/>
          <w:szCs w:val="32"/>
          <w:lang w:eastAsia="zh-CN"/>
        </w:rPr>
        <w:t>推介科学实用技术和先进典型，共发布信息1.81万篇，浏览量分别达276.85万次、35.5万次，社会影响力不断提升。推进政务信息公开、政策解读，</w:t>
      </w:r>
      <w:r>
        <w:rPr>
          <w:rFonts w:hint="eastAsia" w:ascii="Times New Roman" w:hAnsi="Times New Roman" w:eastAsia="仿宋_GB2312"/>
          <w:color w:val="auto"/>
          <w:sz w:val="32"/>
          <w:szCs w:val="32"/>
          <w:lang w:val="en-US" w:eastAsia="zh-CN"/>
        </w:rPr>
        <w:t>办理厅官网群众来信250余件，承办省级12345平台工单200余项，受理热线电话3500余次，建立农业农村政策法规和农业科技知识库条目1.37万条，发布主要农产品</w:t>
      </w:r>
      <w:r>
        <w:rPr>
          <w:rFonts w:hint="eastAsia" w:ascii="Times New Roman" w:hAnsi="Times New Roman" w:eastAsia="仿宋_GB2312"/>
          <w:color w:val="auto"/>
          <w:sz w:val="32"/>
          <w:szCs w:val="32"/>
          <w:lang w:eastAsia="zh-CN"/>
        </w:rPr>
        <w:t>电商行情监测周报50期（总143期），受到群众好</w:t>
      </w:r>
      <w:r>
        <w:rPr>
          <w:rFonts w:hint="eastAsia" w:ascii="Times New Roman" w:hAnsi="Times New Roman" w:eastAsia="仿宋_GB2312"/>
          <w:sz w:val="32"/>
          <w:szCs w:val="32"/>
          <w:lang w:eastAsia="zh-CN"/>
        </w:rPr>
        <w:t>评。加强网络安全巡检维护，维护网络设施940余次，清理病毒1600余条；强化风险监测处置，对各类信息系统实施24次漏洞扫描和渗透测试，发现和修补高危漏洞978个，封禁恶意境外IP共740条，处置网络安全问题121次，有力保障厅网络和政务系统顺畅、安全运行。全省</w:t>
      </w:r>
      <w:r>
        <w:rPr>
          <w:rFonts w:hint="eastAsia" w:ascii="Times New Roman" w:hAnsi="Times New Roman" w:eastAsia="仿宋_GB2312"/>
          <w:color w:val="auto"/>
          <w:sz w:val="32"/>
          <w:szCs w:val="32"/>
          <w:lang w:val="en-US" w:eastAsia="zh-CN"/>
        </w:rPr>
        <w:t>农业农村</w:t>
      </w:r>
      <w:r>
        <w:rPr>
          <w:rFonts w:hint="eastAsia" w:ascii="Times New Roman" w:hAnsi="Times New Roman" w:eastAsia="仿宋_GB2312"/>
          <w:color w:val="auto"/>
          <w:sz w:val="32"/>
          <w:szCs w:val="32"/>
          <w:lang w:eastAsia="zh-CN"/>
        </w:rPr>
        <w:t>协同办公OA系统覆盖</w:t>
      </w:r>
      <w:r>
        <w:rPr>
          <w:rFonts w:hint="eastAsia" w:ascii="Times New Roman" w:hAnsi="Times New Roman" w:eastAsia="仿宋_GB2312"/>
          <w:color w:val="auto"/>
          <w:sz w:val="32"/>
          <w:szCs w:val="32"/>
          <w:lang w:val="en-US" w:eastAsia="zh-CN"/>
        </w:rPr>
        <w:t>厅</w:t>
      </w:r>
      <w:r>
        <w:rPr>
          <w:rFonts w:hint="eastAsia" w:ascii="Times New Roman" w:hAnsi="Times New Roman" w:eastAsia="仿宋_GB2312"/>
          <w:color w:val="auto"/>
          <w:sz w:val="32"/>
          <w:szCs w:val="32"/>
          <w:lang w:eastAsia="zh-CN"/>
        </w:rPr>
        <w:t>市县480多个单位，流转办理公文8.4万件次；</w:t>
      </w:r>
      <w:r>
        <w:rPr>
          <w:rFonts w:hint="eastAsia" w:ascii="Times New Roman" w:hAnsi="Times New Roman" w:eastAsia="仿宋_GB2312"/>
          <w:color w:val="auto"/>
          <w:sz w:val="32"/>
          <w:szCs w:val="32"/>
          <w:lang w:val="en-US" w:eastAsia="zh-CN"/>
        </w:rPr>
        <w:t>全省农业</w:t>
      </w:r>
      <w:r>
        <w:rPr>
          <w:rFonts w:hint="eastAsia" w:ascii="Times New Roman" w:hAnsi="Times New Roman" w:eastAsia="仿宋_GB2312"/>
          <w:color w:val="auto"/>
          <w:sz w:val="32"/>
          <w:szCs w:val="32"/>
          <w:lang w:eastAsia="zh-CN"/>
        </w:rPr>
        <w:t>视频会议点址增加到154个，保障各类视频会议211场</w:t>
      </w:r>
      <w:r>
        <w:rPr>
          <w:rFonts w:hint="eastAsia" w:ascii="Times New Roman" w:hAnsi="Times New Roman" w:eastAsia="仿宋_GB2312"/>
          <w:sz w:val="32"/>
          <w:szCs w:val="32"/>
          <w:lang w:eastAsia="zh-CN"/>
        </w:rPr>
        <w:t>次，有力减低全省农业农村系统运行成本、提升行政管理和服务效能。</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b/>
          <w:bCs/>
          <w:sz w:val="32"/>
          <w:szCs w:val="32"/>
          <w:lang w:eastAsia="zh-CN"/>
        </w:rPr>
        <w:t>（五）促进可持续发展。</w:t>
      </w:r>
      <w:r>
        <w:rPr>
          <w:rFonts w:hint="eastAsia" w:ascii="Times New Roman" w:hAnsi="Times New Roman" w:eastAsia="仿宋_GB2312"/>
          <w:color w:val="auto"/>
          <w:sz w:val="32"/>
          <w:szCs w:val="32"/>
          <w:lang w:val="en-US" w:eastAsia="zh-CN"/>
        </w:rPr>
        <w:t>厅官网官微积极宣传贯彻党的“三农”工作方针和强农惠农政策，推介科学实用技术和先进典型，共发布信息1.81万篇；建立农业农村政策法规和农业科技知识库条目1.37万条，发布主要农产品电商行情监测周报50期（总143期）；</w:t>
      </w:r>
      <w:r>
        <w:rPr>
          <w:rFonts w:hint="eastAsia" w:ascii="Times New Roman" w:hAnsi="Times New Roman" w:eastAsia="仿宋_GB2312"/>
          <w:color w:val="auto"/>
          <w:sz w:val="32"/>
          <w:szCs w:val="32"/>
          <w:lang w:eastAsia="zh-CN"/>
        </w:rPr>
        <w:t>组织采集接入</w:t>
      </w:r>
      <w:r>
        <w:rPr>
          <w:rFonts w:hint="eastAsia" w:ascii="Times New Roman" w:hAnsi="Times New Roman" w:eastAsia="仿宋_GB2312"/>
          <w:sz w:val="32"/>
          <w:szCs w:val="32"/>
          <w:lang w:eastAsia="zh-CN"/>
        </w:rPr>
        <w:t>农业农村政务数据4770万项26.8亿条，完成与部省10多个政务信息系统对接，做好“湘易办”旗舰店等工作</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sz w:val="32"/>
          <w:szCs w:val="32"/>
          <w:lang w:eastAsia="zh-CN"/>
        </w:rPr>
        <w:t>抓好全省农业视频会议系统、全省农业农村协同办公OA系统、及其他重要政务信息系统运行维护，推进湖南农业优势特色产业集群信息系统建设等，将有力促进我省数字农业农村发展，推动绿色节能技术和设施设备应用，推进产业转型、减耗增效和绿色、高质量发展，不断提升农业农村可持续发展能力。</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b/>
          <w:bCs/>
          <w:sz w:val="32"/>
          <w:szCs w:val="32"/>
          <w:lang w:eastAsia="zh-CN"/>
        </w:rPr>
        <w:t>（六）提高服务满意度。</w:t>
      </w:r>
      <w:r>
        <w:rPr>
          <w:rFonts w:hint="eastAsia" w:ascii="Times New Roman" w:hAnsi="Times New Roman" w:eastAsia="仿宋_GB2312"/>
          <w:sz w:val="32"/>
          <w:szCs w:val="32"/>
          <w:lang w:eastAsia="zh-CN"/>
        </w:rPr>
        <w:t>树牢服务理念、强化服务意识，切实抓好厅网络和政务系统日常运行维护，做好值班值守，及时处置网络问题，有力保障厅网络和政务系统顺畅、安全运行；创新方式方法，强化为农信息服务，推进政务信息公开，及时受理回复群众咨询、投诉事项，受到全省农业农村系统和广大群众好评，服务对象满意度不断提升。</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（三）</w:t>
      </w:r>
      <w:r>
        <w:rPr>
          <w:rFonts w:hint="eastAsia" w:ascii="楷体" w:hAnsi="楷体" w:eastAsia="楷体" w:cs="楷体"/>
          <w:b w:val="0"/>
          <w:bCs w:val="0"/>
          <w:sz w:val="32"/>
          <w:szCs w:val="32"/>
        </w:rPr>
        <w:t>存在的问题及原因分析</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我单位项目支出预算执行率有待提高。项目支出全年预算数为1664.70万元，决算数为445.12万元，执行率为26.74%。主要原因为：湖南农业优势特色产业集群信息系统项目（一期）实施进度缓于预期。因</w:t>
      </w:r>
      <w:r>
        <w:rPr>
          <w:rFonts w:hint="eastAsia" w:ascii="Times New Roman" w:hAnsi="Times New Roman" w:eastAsia="仿宋_GB2312"/>
          <w:color w:val="auto"/>
          <w:sz w:val="32"/>
          <w:szCs w:val="32"/>
          <w:u w:val="none"/>
          <w:lang w:val="en-US" w:eastAsia="zh-CN"/>
        </w:rPr>
        <w:t>项目涉及专业和地区多、工作量大，</w:t>
      </w:r>
      <w:r>
        <w:rPr>
          <w:rFonts w:hint="eastAsia" w:ascii="Times New Roman" w:hAnsi="Times New Roman" w:eastAsia="仿宋_GB2312"/>
          <w:sz w:val="32"/>
          <w:szCs w:val="32"/>
          <w:lang w:eastAsia="zh-CN"/>
        </w:rPr>
        <w:t>开展项目需求调研、初步设计等耗时较长，项目尚在建设、未竣工验收，以致资金预算执行滞后。</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下一步，我们将全力推进湖南农业优势特色产业集群信息系统项目（一期）实施建设，确保项目按期、按质竣工投用，切实提高项目资金预算执行率，发挥财政资金效益。同时，进一步完善本单位预算编制管理，定期分析调度预算执行情况，并作为下年度预算编制的重要依据；加强对跨年项目的实施管理，进一步提高我单位预算执行率。</w:t>
      </w:r>
    </w:p>
    <w:p>
      <w:pPr>
        <w:pStyle w:val="14"/>
        <w:jc w:val="both"/>
        <w:rPr>
          <w:sz w:val="72"/>
          <w:szCs w:val="72"/>
        </w:rPr>
      </w:pPr>
    </w:p>
    <w:p>
      <w:pPr>
        <w:pStyle w:val="14"/>
        <w:jc w:val="center"/>
        <w:rPr>
          <w:sz w:val="72"/>
          <w:szCs w:val="72"/>
        </w:rPr>
      </w:pPr>
    </w:p>
    <w:p>
      <w:pPr>
        <w:pStyle w:val="14"/>
        <w:jc w:val="center"/>
        <w:rPr>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ind w:firstLine="2880" w:firstLineChars="400"/>
        <w:jc w:val="both"/>
        <w:rPr>
          <w:rFonts w:hint="eastAsia" w:ascii="方正小标宋_GBK" w:hAnsi="方正小标宋_GBK" w:eastAsia="方正小标宋_GBK" w:cs="方正小标宋_GBK"/>
          <w:sz w:val="72"/>
          <w:szCs w:val="72"/>
        </w:rPr>
      </w:pPr>
    </w:p>
    <w:p>
      <w:pPr>
        <w:pStyle w:val="14"/>
        <w:ind w:firstLine="2880" w:firstLineChars="400"/>
        <w:jc w:val="both"/>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2"/>
          <w:szCs w:val="72"/>
        </w:rPr>
      </w:pPr>
    </w:p>
    <w:p>
      <w:pPr>
        <w:jc w:val="center"/>
        <w:rPr>
          <w:rFonts w:hint="eastAsia" w:ascii="方正小标宋_GBK" w:hAnsi="方正小标宋_GBK" w:eastAsia="方正小标宋_GBK" w:cs="方正小标宋_GBK"/>
          <w:color w:val="000000"/>
          <w:kern w:val="0"/>
          <w:sz w:val="72"/>
          <w:szCs w:val="72"/>
        </w:rPr>
      </w:pPr>
      <w:r>
        <w:rPr>
          <w:rFonts w:hint="eastAsia" w:ascii="方正小标宋_GBK" w:hAnsi="方正小标宋_GBK" w:eastAsia="方正小标宋_GBK" w:cs="方正小标宋_GBK"/>
          <w:color w:val="000000"/>
          <w:kern w:val="0"/>
          <w:sz w:val="72"/>
          <w:szCs w:val="72"/>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numPr>
          <w:ilvl w:val="0"/>
          <w:numId w:val="2"/>
        </w:numPr>
        <w:ind w:firstLine="640" w:firstLineChars="200"/>
        <w:jc w:val="left"/>
        <w:rPr>
          <w:rFonts w:ascii="仿宋" w:hAnsi="仿宋" w:eastAsia="仿宋" w:cs="黑体"/>
          <w:bCs/>
          <w:color w:val="000000"/>
          <w:kern w:val="0"/>
          <w:sz w:val="32"/>
          <w:szCs w:val="32"/>
        </w:rPr>
      </w:pPr>
      <w:r>
        <w:rPr>
          <w:rFonts w:hint="eastAsia" w:ascii="仿宋" w:hAnsi="仿宋" w:eastAsia="仿宋" w:cs="黑体"/>
          <w:bCs/>
          <w:color w:val="000000"/>
          <w:kern w:val="0"/>
          <w:sz w:val="32"/>
          <w:szCs w:val="32"/>
        </w:rPr>
        <w:t>基本支出：指为保障机构正常运转、完成日常工作任务而发生的各项支出，包括人员支出和公用支出。</w:t>
      </w:r>
    </w:p>
    <w:p>
      <w:pPr>
        <w:numPr>
          <w:ilvl w:val="0"/>
          <w:numId w:val="2"/>
        </w:numPr>
        <w:ind w:firstLine="640" w:firstLineChars="200"/>
        <w:jc w:val="left"/>
        <w:rPr>
          <w:rFonts w:ascii="仿宋" w:hAnsi="仿宋" w:eastAsia="仿宋" w:cs="黑体"/>
          <w:bCs/>
          <w:color w:val="000000"/>
          <w:kern w:val="0"/>
          <w:sz w:val="32"/>
          <w:szCs w:val="32"/>
        </w:rPr>
      </w:pPr>
      <w:r>
        <w:rPr>
          <w:rFonts w:hint="eastAsia" w:ascii="仿宋" w:hAnsi="仿宋" w:eastAsia="仿宋" w:cs="黑体"/>
          <w:bCs/>
          <w:color w:val="000000"/>
          <w:kern w:val="0"/>
          <w:sz w:val="32"/>
          <w:szCs w:val="32"/>
        </w:rPr>
        <w:t>项目支出：指在基本支出以外为完成相关行政任务和事业发展目标所发生的各项支出。</w:t>
      </w:r>
      <w:r>
        <w:rPr>
          <w:rFonts w:ascii="仿宋" w:hAnsi="仿宋" w:eastAsia="仿宋" w:cs="黑体"/>
          <w:bCs/>
          <w:color w:val="000000"/>
          <w:kern w:val="0"/>
          <w:sz w:val="32"/>
          <w:szCs w:val="32"/>
        </w:rPr>
        <w:t xml:space="preserve"> </w:t>
      </w:r>
    </w:p>
    <w:p>
      <w:pPr>
        <w:pStyle w:val="14"/>
        <w:ind w:firstLine="640" w:firstLineChars="200"/>
        <w:rPr>
          <w:rFonts w:ascii="仿宋" w:hAnsi="仿宋" w:eastAsia="仿宋"/>
          <w:bCs/>
          <w:sz w:val="32"/>
          <w:szCs w:val="32"/>
        </w:rPr>
      </w:pPr>
      <w:r>
        <w:rPr>
          <w:rFonts w:hint="eastAsia" w:ascii="仿宋" w:hAnsi="仿宋" w:eastAsia="仿宋"/>
          <w:bCs/>
          <w:sz w:val="32"/>
          <w:szCs w:val="32"/>
        </w:rPr>
        <w:t>三、“三公”经费</w:t>
      </w:r>
      <w:r>
        <w:rPr>
          <w:rFonts w:ascii="仿宋" w:hAnsi="仿宋" w:eastAsia="仿宋"/>
          <w:bCs/>
          <w:sz w:val="32"/>
          <w:szCs w:val="32"/>
        </w:rPr>
        <w:t>:</w:t>
      </w:r>
      <w:r>
        <w:rPr>
          <w:rFonts w:hint="eastAsia" w:ascii="仿宋" w:hAnsi="仿宋" w:eastAsia="仿宋"/>
          <w:bCs/>
          <w:sz w:val="32"/>
          <w:szCs w:val="32"/>
        </w:rPr>
        <w:t>纳入省财政预算管理的“三公“经费，是指用一般公共预算拨款安排的公务接待费、公务用车购置及运行维护费和因公出国</w:t>
      </w:r>
      <w:r>
        <w:rPr>
          <w:rFonts w:ascii="仿宋" w:hAnsi="仿宋" w:eastAsia="仿宋"/>
          <w:bCs/>
          <w:sz w:val="32"/>
          <w:szCs w:val="32"/>
        </w:rPr>
        <w:t>(</w:t>
      </w:r>
      <w:r>
        <w:rPr>
          <w:rFonts w:hint="eastAsia" w:ascii="仿宋" w:hAnsi="仿宋" w:eastAsia="仿宋"/>
          <w:bCs/>
          <w:sz w:val="32"/>
          <w:szCs w:val="32"/>
        </w:rPr>
        <w:t>境）费。其中，公务接待费反映单位按规定开支的各类公务接待支出</w:t>
      </w:r>
      <w:r>
        <w:rPr>
          <w:rFonts w:ascii="仿宋" w:hAnsi="仿宋" w:eastAsia="仿宋"/>
          <w:bCs/>
          <w:sz w:val="32"/>
          <w:szCs w:val="32"/>
        </w:rPr>
        <w:t>;</w:t>
      </w:r>
      <w:r>
        <w:rPr>
          <w:rFonts w:hint="eastAsia" w:ascii="仿宋" w:hAnsi="仿宋" w:eastAsia="仿宋"/>
          <w:bCs/>
          <w:sz w:val="32"/>
          <w:szCs w:val="32"/>
        </w:rPr>
        <w:t>公务用车购置及运行费反映单位公务用车车辆购置支出（含车辆购置税），以及燃料费、维修费、保险费等支出</w:t>
      </w:r>
      <w:r>
        <w:rPr>
          <w:rFonts w:ascii="仿宋" w:hAnsi="仿宋" w:eastAsia="仿宋"/>
          <w:bCs/>
          <w:sz w:val="32"/>
          <w:szCs w:val="32"/>
        </w:rPr>
        <w:t>;</w:t>
      </w:r>
      <w:r>
        <w:rPr>
          <w:rFonts w:hint="eastAsia" w:ascii="仿宋" w:hAnsi="仿宋" w:eastAsia="仿宋"/>
          <w:bCs/>
          <w:sz w:val="32"/>
          <w:szCs w:val="32"/>
        </w:rPr>
        <w:t>因公出国</w:t>
      </w:r>
      <w:r>
        <w:rPr>
          <w:rFonts w:ascii="仿宋" w:hAnsi="仿宋" w:eastAsia="仿宋"/>
          <w:bCs/>
          <w:sz w:val="32"/>
          <w:szCs w:val="32"/>
        </w:rPr>
        <w:t>(</w:t>
      </w:r>
      <w:r>
        <w:rPr>
          <w:rFonts w:hint="eastAsia" w:ascii="仿宋" w:hAnsi="仿宋" w:eastAsia="仿宋"/>
          <w:bCs/>
          <w:sz w:val="32"/>
          <w:szCs w:val="32"/>
        </w:rPr>
        <w:t>境）费反映单位公务出国（境</w:t>
      </w:r>
      <w:r>
        <w:rPr>
          <w:rFonts w:ascii="仿宋" w:hAnsi="仿宋" w:eastAsia="仿宋"/>
          <w:bCs/>
          <w:sz w:val="32"/>
          <w:szCs w:val="32"/>
        </w:rPr>
        <w:t>)</w:t>
      </w:r>
      <w:r>
        <w:rPr>
          <w:rFonts w:hint="eastAsia" w:ascii="仿宋" w:hAnsi="仿宋" w:eastAsia="仿宋"/>
          <w:bCs/>
          <w:sz w:val="32"/>
          <w:szCs w:val="32"/>
        </w:rPr>
        <w:t>的国际旅费、国外城市间交通费、食宿费等支出。</w:t>
      </w: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rPr>
          <w:sz w:val="72"/>
          <w:szCs w:val="72"/>
        </w:rPr>
      </w:pPr>
    </w:p>
    <w:p>
      <w:pPr>
        <w:pStyle w:val="14"/>
        <w:jc w:val="center"/>
        <w:rPr>
          <w:rFonts w:hint="eastAsia" w:ascii="方正小标宋_GBK" w:hAnsi="方正小标宋_GBK" w:eastAsia="方正小标宋_GBK" w:cs="方正小标宋_GBK"/>
          <w:sz w:val="72"/>
          <w:szCs w:val="72"/>
        </w:rPr>
      </w:pPr>
    </w:p>
    <w:p>
      <w:pPr>
        <w:pStyle w:val="14"/>
        <w:ind w:firstLine="2880" w:firstLineChars="400"/>
        <w:jc w:val="both"/>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2"/>
        <w:ind w:firstLine="0" w:firstLineChars="0"/>
      </w:pPr>
    </w:p>
    <w:p>
      <w:pPr>
        <w:pStyle w:val="2"/>
        <w:ind w:firstLine="0" w:firstLineChars="0"/>
      </w:pPr>
    </w:p>
    <w:p>
      <w:pPr>
        <w:pStyle w:val="2"/>
        <w:ind w:firstLine="0" w:firstLineChars="0"/>
      </w:pPr>
    </w:p>
    <w:p>
      <w:pPr>
        <w:widowControl/>
        <w:spacing w:line="600" w:lineRule="exact"/>
        <w:ind w:firstLine="645"/>
        <w:jc w:val="left"/>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附件：</w:t>
      </w:r>
    </w:p>
    <w:p>
      <w:pPr>
        <w:widowControl/>
        <w:spacing w:line="600" w:lineRule="exact"/>
        <w:ind w:firstLine="1600" w:firstLineChars="500"/>
        <w:jc w:val="left"/>
        <w:rPr>
          <w:rFonts w:eastAsia="仿宋_GB2312"/>
          <w:sz w:val="32"/>
          <w:szCs w:val="32"/>
        </w:rPr>
      </w:pPr>
      <w:r>
        <w:rPr>
          <w:rFonts w:hint="default" w:eastAsia="仿宋_GB2312" w:cs="Times New Roman" w:asciiTheme="minorAscii" w:hAnsiTheme="minorAscii"/>
          <w:color w:val="000000"/>
          <w:sz w:val="32"/>
          <w:szCs w:val="32"/>
          <w:lang w:val="en-US" w:eastAsia="zh-CN"/>
        </w:rPr>
        <w:t>1</w:t>
      </w:r>
      <w:r>
        <w:rPr>
          <w:rFonts w:eastAsia="仿宋_GB2312"/>
          <w:sz w:val="32"/>
          <w:szCs w:val="32"/>
        </w:rPr>
        <w:t>、</w:t>
      </w:r>
      <w:r>
        <w:rPr>
          <w:rFonts w:hint="eastAsia" w:ascii="Times New Roman" w:hAnsi="Times New Roman" w:eastAsia="仿宋_GB2312"/>
          <w:sz w:val="32"/>
          <w:szCs w:val="32"/>
          <w:lang w:val="en-US" w:eastAsia="zh-CN"/>
        </w:rPr>
        <w:t>2023年度部门整体支出绩效自评报告</w:t>
      </w:r>
    </w:p>
    <w:p>
      <w:pPr>
        <w:widowControl/>
        <w:spacing w:line="600" w:lineRule="exact"/>
        <w:ind w:firstLine="1600" w:firstLineChars="500"/>
        <w:jc w:val="both"/>
        <w:rPr>
          <w:rFonts w:eastAsia="仿宋_GB2312"/>
          <w:sz w:val="32"/>
          <w:szCs w:val="32"/>
        </w:rPr>
      </w:pPr>
      <w:r>
        <w:rPr>
          <w:rFonts w:hint="eastAsia" w:eastAsia="仿宋_GB2312"/>
          <w:sz w:val="32"/>
          <w:szCs w:val="32"/>
          <w:lang w:val="en-US" w:eastAsia="zh-CN"/>
        </w:rPr>
        <w:t>2</w:t>
      </w:r>
      <w:r>
        <w:rPr>
          <w:rFonts w:eastAsia="仿宋_GB2312"/>
          <w:sz w:val="32"/>
          <w:szCs w:val="32"/>
        </w:rPr>
        <w:t>、</w:t>
      </w:r>
      <w:r>
        <w:rPr>
          <w:rFonts w:hint="eastAsia" w:ascii="Times New Roman" w:hAnsi="Times New Roman" w:eastAsia="仿宋_GB2312"/>
          <w:sz w:val="32"/>
          <w:szCs w:val="32"/>
          <w:lang w:val="en-US" w:eastAsia="zh-CN"/>
        </w:rPr>
        <w:t>2023年度</w:t>
      </w:r>
      <w:r>
        <w:rPr>
          <w:rFonts w:eastAsia="仿宋_GB2312"/>
          <w:sz w:val="32"/>
          <w:szCs w:val="32"/>
        </w:rPr>
        <w:t>部门整体支出绩效评价基础数据表</w:t>
      </w:r>
    </w:p>
    <w:p>
      <w:pPr>
        <w:widowControl/>
        <w:spacing w:line="600" w:lineRule="exact"/>
        <w:ind w:firstLine="1600" w:firstLineChars="500"/>
        <w:jc w:val="both"/>
        <w:rPr>
          <w:rFonts w:eastAsia="仿宋_GB2312"/>
          <w:sz w:val="32"/>
          <w:szCs w:val="32"/>
        </w:rPr>
      </w:pPr>
      <w:r>
        <w:rPr>
          <w:rFonts w:hint="eastAsia" w:eastAsia="仿宋_GB2312"/>
          <w:sz w:val="32"/>
          <w:szCs w:val="32"/>
          <w:lang w:val="en-US" w:eastAsia="zh-CN"/>
        </w:rPr>
        <w:t>3</w:t>
      </w:r>
      <w:r>
        <w:rPr>
          <w:rFonts w:eastAsia="仿宋_GB2312"/>
          <w:sz w:val="32"/>
          <w:szCs w:val="32"/>
        </w:rPr>
        <w:t>、</w:t>
      </w:r>
      <w:r>
        <w:rPr>
          <w:rFonts w:hint="eastAsia" w:ascii="Times New Roman" w:hAnsi="Times New Roman" w:eastAsia="仿宋_GB2312"/>
          <w:sz w:val="32"/>
          <w:szCs w:val="32"/>
          <w:lang w:val="en-US" w:eastAsia="zh-CN"/>
        </w:rPr>
        <w:t>2023年度</w:t>
      </w:r>
      <w:r>
        <w:rPr>
          <w:rFonts w:hint="eastAsia" w:eastAsia="仿宋_GB2312"/>
          <w:sz w:val="32"/>
          <w:szCs w:val="32"/>
        </w:rPr>
        <w:t>部门整体支出绩效自评表</w:t>
      </w: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Pr>
        <w:pStyle w:val="2"/>
        <w:ind w:firstLine="0" w:firstLineChars="0"/>
      </w:pPr>
    </w:p>
    <w:p/>
    <w:p/>
    <w:p/>
    <w:p/>
    <w:p/>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ind w:firstLine="1320" w:firstLineChars="300"/>
        <w:jc w:val="both"/>
        <w:rPr>
          <w:rFonts w:hint="eastAsia" w:ascii="宋体" w:hAnsi="宋体" w:eastAsia="宋体" w:cs="宋体"/>
          <w:b/>
          <w:bCs/>
          <w:sz w:val="44"/>
          <w:szCs w:val="44"/>
        </w:rPr>
      </w:pPr>
      <w:bookmarkStart w:id="3" w:name="_GoBack"/>
      <w:bookmarkEnd w:id="3"/>
      <w:r>
        <w:rPr>
          <w:rFonts w:hint="eastAsia" w:ascii="宋体" w:hAnsi="宋体" w:eastAsia="宋体" w:cs="宋体"/>
          <w:b/>
          <w:bCs/>
          <w:sz w:val="44"/>
          <w:szCs w:val="44"/>
        </w:rPr>
        <w:t>2023年度湖南省农业农村信息中心</w:t>
      </w:r>
    </w:p>
    <w:p>
      <w:pPr>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rPr>
        <w:t>整体支出绩效自评报告</w:t>
      </w:r>
    </w:p>
    <w:p>
      <w:pPr>
        <w:rPr>
          <w:rFonts w:hint="eastAsia" w:ascii="黑体" w:hAnsi="黑体" w:eastAsia="黑体" w:cs="黑体"/>
          <w:sz w:val="32"/>
          <w:szCs w:val="32"/>
        </w:rPr>
      </w:pPr>
      <w:r>
        <w:rPr>
          <w:rFonts w:hint="eastAsia" w:ascii="黑体" w:hAnsi="黑体" w:eastAsia="黑体" w:cs="黑体"/>
          <w:sz w:val="32"/>
          <w:szCs w:val="32"/>
        </w:rPr>
        <w:t>一、单位基本情况</w:t>
      </w:r>
    </w:p>
    <w:p>
      <w:pPr>
        <w:rPr>
          <w:rFonts w:hint="eastAsia" w:ascii="黑体" w:hAnsi="黑体" w:eastAsia="黑体" w:cs="黑体"/>
          <w:sz w:val="32"/>
          <w:szCs w:val="32"/>
        </w:rPr>
      </w:pPr>
      <w:r>
        <w:rPr>
          <w:rFonts w:hint="eastAsia" w:ascii="黑体" w:hAnsi="黑体" w:eastAsia="黑体" w:cs="黑体"/>
          <w:sz w:val="32"/>
          <w:szCs w:val="32"/>
        </w:rPr>
        <w:t>（一）职能职责</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湖南省农业农村信息中心为省农业农村厅直属公益一类事业单位，主要承担以下职能职责：</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承办规范全省农业信息化工作,负责全省农业信息网络体系的规划、建设和管理,农业信息入户工程的试点和技术推广;</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承办湖南农业信息网的管理与维护,开展网上农业信息服务和电子商务服务;</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负责全省农业信息网络应用软件的开发和推广;</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负责全省农业信息网络维护和信息化技术培训;</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负责厅机关局域网的管理和维护等。</w:t>
      </w:r>
    </w:p>
    <w:p>
      <w:pPr>
        <w:rPr>
          <w:rFonts w:hint="eastAsia" w:ascii="黑体" w:hAnsi="黑体" w:eastAsia="黑体" w:cs="黑体"/>
          <w:sz w:val="32"/>
          <w:szCs w:val="32"/>
        </w:rPr>
      </w:pPr>
      <w:r>
        <w:rPr>
          <w:rFonts w:hint="eastAsia" w:ascii="黑体" w:hAnsi="黑体" w:eastAsia="黑体" w:cs="黑体"/>
          <w:sz w:val="32"/>
          <w:szCs w:val="32"/>
        </w:rPr>
        <w:t>（二）机构设置</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湖南省农业农村信息中心设综合科、信息科、网络科、数据资源科、应用科等5个科室。</w:t>
      </w:r>
    </w:p>
    <w:p>
      <w:pPr>
        <w:rPr>
          <w:rFonts w:hint="eastAsia" w:ascii="黑体" w:hAnsi="黑体" w:eastAsia="黑体" w:cs="黑体"/>
          <w:sz w:val="32"/>
          <w:szCs w:val="32"/>
        </w:rPr>
      </w:pPr>
      <w:r>
        <w:rPr>
          <w:rFonts w:hint="eastAsia" w:ascii="黑体" w:hAnsi="黑体" w:eastAsia="黑体" w:cs="黑体"/>
          <w:sz w:val="32"/>
          <w:szCs w:val="32"/>
        </w:rPr>
        <w:t>（三）人员情况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2023年末,湖南省农业农村信息中心编制人数12人，实有在职人员11人，退休人员4人。</w:t>
      </w:r>
    </w:p>
    <w:p>
      <w:pPr>
        <w:rPr>
          <w:rFonts w:hint="eastAsia" w:ascii="黑体" w:hAnsi="黑体" w:eastAsia="黑体" w:cs="黑体"/>
          <w:sz w:val="32"/>
          <w:szCs w:val="32"/>
        </w:rPr>
      </w:pPr>
      <w:r>
        <w:rPr>
          <w:rFonts w:hint="eastAsia" w:ascii="黑体" w:hAnsi="黑体" w:eastAsia="黑体" w:cs="黑体"/>
          <w:sz w:val="32"/>
          <w:szCs w:val="32"/>
        </w:rPr>
        <w:t>二、一般公共预算支出情况</w:t>
      </w:r>
    </w:p>
    <w:p>
      <w:pPr>
        <w:rPr>
          <w:rFonts w:hint="eastAsia" w:ascii="黑体" w:hAnsi="黑体" w:eastAsia="黑体" w:cs="黑体"/>
          <w:sz w:val="32"/>
          <w:szCs w:val="32"/>
        </w:rPr>
      </w:pPr>
      <w:r>
        <w:rPr>
          <w:rFonts w:hint="eastAsia" w:ascii="黑体" w:hAnsi="黑体" w:eastAsia="黑体" w:cs="黑体"/>
          <w:sz w:val="32"/>
          <w:szCs w:val="32"/>
        </w:rPr>
        <w:t>（一）基本支出情况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2023年基本支出全年收入为287.85万元，基本支出决算金额为281.67 万元(含人员经费273.36万元，公用经费8.31万元)，包括工资福利支出255.80万元，对个人和家庭的补助17.56万元，商品和服务支出8.31万元；支出进度为97.85%。</w:t>
      </w:r>
    </w:p>
    <w:p>
      <w:pPr>
        <w:rPr>
          <w:rFonts w:hint="eastAsia" w:ascii="黑体" w:hAnsi="黑体" w:eastAsia="黑体" w:cs="黑体"/>
          <w:sz w:val="32"/>
          <w:szCs w:val="32"/>
        </w:rPr>
      </w:pPr>
      <w:r>
        <w:rPr>
          <w:rFonts w:hint="eastAsia" w:ascii="黑体" w:hAnsi="黑体" w:eastAsia="黑体" w:cs="黑体"/>
          <w:sz w:val="32"/>
          <w:szCs w:val="32"/>
        </w:rPr>
        <w:t>（二）项目支出情况</w:t>
      </w:r>
    </w:p>
    <w:p>
      <w:pPr>
        <w:ind w:firstLine="640" w:firstLineChars="200"/>
        <w:rPr>
          <w:rFonts w:hint="eastAsia" w:ascii="仿宋" w:hAnsi="仿宋" w:eastAsia="仿宋" w:cs="仿宋"/>
          <w:sz w:val="32"/>
          <w:szCs w:val="32"/>
        </w:rPr>
      </w:pPr>
      <w:r>
        <w:rPr>
          <w:rFonts w:hint="eastAsia" w:ascii="仿宋" w:hAnsi="仿宋" w:eastAsia="仿宋" w:cs="仿宋"/>
          <w:b/>
          <w:bCs/>
          <w:sz w:val="32"/>
          <w:szCs w:val="32"/>
        </w:rPr>
        <w:t>1.现代农业发展专项资金落实及支出情况。</w:t>
      </w:r>
      <w:r>
        <w:rPr>
          <w:rFonts w:hint="eastAsia" w:ascii="仿宋" w:hAnsi="仿宋" w:eastAsia="仿宋" w:cs="仿宋"/>
          <w:sz w:val="32"/>
          <w:szCs w:val="32"/>
        </w:rPr>
        <w:t>2023年“现代农业发展”省级专项支出全年收入为191.22万元；其中，本年收入190万元，年初结转结余1.22万元。本年支出 190.25万元，包括维修（护）费72.42万元，租赁费5万元，咨询费4万元，网络设施设备其他商品和服务支出83万元等。年末结转结余0.97万元；支出进度为99.49%。</w:t>
      </w:r>
    </w:p>
    <w:p>
      <w:pPr>
        <w:ind w:firstLine="640" w:firstLineChars="200"/>
        <w:rPr>
          <w:rFonts w:hint="eastAsia" w:ascii="仿宋" w:hAnsi="仿宋" w:eastAsia="仿宋" w:cs="仿宋"/>
          <w:sz w:val="32"/>
          <w:szCs w:val="32"/>
        </w:rPr>
      </w:pPr>
      <w:r>
        <w:rPr>
          <w:rFonts w:hint="eastAsia" w:ascii="仿宋" w:hAnsi="仿宋" w:eastAsia="仿宋" w:cs="仿宋"/>
          <w:b/>
          <w:bCs/>
          <w:sz w:val="32"/>
          <w:szCs w:val="32"/>
        </w:rPr>
        <w:t>2.运行维护经费。</w:t>
      </w:r>
      <w:r>
        <w:rPr>
          <w:rFonts w:hint="eastAsia" w:ascii="仿宋" w:hAnsi="仿宋" w:eastAsia="仿宋" w:cs="仿宋"/>
          <w:sz w:val="32"/>
          <w:szCs w:val="32"/>
        </w:rPr>
        <w:t>2023年“12316运行维护”项目支出全年收入为178.42万元；其中，本年收入135万元，年初结转结余43.42万元。本年支出为174.83万元，包括劳务费51.2万元，维修维护费19.78万元，通信链路租赁费51.22万元，以及其他商品和服务支出等，支出进度为97.99%。</w:t>
      </w:r>
    </w:p>
    <w:p>
      <w:pPr>
        <w:ind w:firstLine="640" w:firstLineChars="200"/>
        <w:rPr>
          <w:rFonts w:hint="eastAsia" w:ascii="仿宋" w:hAnsi="仿宋" w:eastAsia="仿宋" w:cs="仿宋"/>
          <w:sz w:val="32"/>
          <w:szCs w:val="32"/>
        </w:rPr>
      </w:pPr>
      <w:r>
        <w:rPr>
          <w:rFonts w:hint="eastAsia" w:ascii="仿宋" w:hAnsi="仿宋" w:eastAsia="仿宋" w:cs="仿宋"/>
          <w:b/>
          <w:bCs/>
          <w:sz w:val="32"/>
          <w:szCs w:val="32"/>
        </w:rPr>
        <w:t>3.农业生产与保障服务（省级）专项资金落实与支出情况。</w:t>
      </w:r>
      <w:r>
        <w:rPr>
          <w:rFonts w:hint="eastAsia" w:ascii="仿宋" w:hAnsi="仿宋" w:eastAsia="仿宋" w:cs="仿宋"/>
          <w:sz w:val="32"/>
          <w:szCs w:val="32"/>
        </w:rPr>
        <w:t>2023年“农业生产与保障服务”省级专项支出全年收入为25万元，支出10.17万元，包括湘南供粤港澳蔬菜产业集群全产业链公共服务平台设计咨询服务费10万元，打印费0.17万元；支出进度为40.68%，专项资金预算执行有待进一步加强。</w:t>
      </w:r>
    </w:p>
    <w:p>
      <w:pPr>
        <w:jc w:val="left"/>
        <w:rPr>
          <w:rFonts w:hint="eastAsia" w:ascii="仿宋" w:hAnsi="仿宋" w:eastAsia="仿宋" w:cs="仿宋"/>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4.其他项目资金安排落实与支出情况</w:t>
      </w:r>
      <w:r>
        <w:rPr>
          <w:rFonts w:hint="eastAsia" w:ascii="黑体" w:hAnsi="黑体" w:eastAsia="黑体" w:cs="黑体"/>
          <w:sz w:val="32"/>
          <w:szCs w:val="32"/>
        </w:rPr>
        <w:t>。</w:t>
      </w:r>
      <w:r>
        <w:rPr>
          <w:rFonts w:hint="eastAsia" w:ascii="仿宋" w:hAnsi="仿宋" w:eastAsia="仿宋" w:cs="仿宋"/>
          <w:sz w:val="32"/>
          <w:szCs w:val="32"/>
        </w:rPr>
        <w:t>2023年其他项目支出全年收入为 1270 万元；其中，本年收入100万元（国家现代农业产业园及农业产业强镇专项100万元），年初结转结余1170万元（结转优势特色产业集群建设专项810万元，结转优势特色产业集群和产业融合专项360万元）。2023年支出69.81万元，主要用于湖南农业优势特色产业集群信息系统项目（一期）建设；支出进度为5.50%，项目资金预算执行有待进一步加强。</w:t>
      </w:r>
    </w:p>
    <w:p>
      <w:pPr>
        <w:rPr>
          <w:rFonts w:hint="eastAsia" w:ascii="黑体" w:hAnsi="黑体" w:eastAsia="黑体" w:cs="黑体"/>
          <w:sz w:val="32"/>
          <w:szCs w:val="32"/>
        </w:rPr>
      </w:pPr>
      <w:r>
        <w:rPr>
          <w:rFonts w:hint="eastAsia" w:ascii="黑体" w:hAnsi="黑体" w:eastAsia="黑体" w:cs="黑体"/>
          <w:sz w:val="32"/>
          <w:szCs w:val="32"/>
        </w:rPr>
        <w:t>（三）政府性基金预算支出情况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2023年无政府性基金预算，也无政府性基金支出。</w:t>
      </w:r>
    </w:p>
    <w:p>
      <w:pPr>
        <w:rPr>
          <w:rFonts w:hint="eastAsia" w:ascii="黑体" w:hAnsi="黑体" w:eastAsia="黑体" w:cs="黑体"/>
          <w:sz w:val="32"/>
          <w:szCs w:val="32"/>
        </w:rPr>
      </w:pPr>
      <w:r>
        <w:rPr>
          <w:rFonts w:hint="eastAsia" w:ascii="黑体" w:hAnsi="黑体" w:eastAsia="黑体" w:cs="黑体"/>
          <w:sz w:val="32"/>
          <w:szCs w:val="32"/>
        </w:rPr>
        <w:t>（四）国有资本经营预算支出情况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2023年无国有资本经营预算，也无国有资本经营支出。</w:t>
      </w:r>
    </w:p>
    <w:p>
      <w:pPr>
        <w:rPr>
          <w:rFonts w:hint="eastAsia" w:ascii="黑体" w:hAnsi="黑体" w:eastAsia="黑体" w:cs="黑体"/>
          <w:sz w:val="32"/>
          <w:szCs w:val="32"/>
        </w:rPr>
      </w:pPr>
      <w:r>
        <w:rPr>
          <w:rFonts w:hint="eastAsia" w:ascii="黑体" w:hAnsi="黑体" w:eastAsia="黑体" w:cs="黑体"/>
          <w:sz w:val="32"/>
          <w:szCs w:val="32"/>
        </w:rPr>
        <w:t>（五）社会保险基金预算支出情况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2023年无社会保险基金预算，也无社会保险基金支出。</w:t>
      </w:r>
    </w:p>
    <w:p>
      <w:pPr>
        <w:rPr>
          <w:rFonts w:hint="eastAsia" w:ascii="黑体" w:hAnsi="黑体" w:eastAsia="黑体" w:cs="黑体"/>
          <w:sz w:val="32"/>
          <w:szCs w:val="32"/>
        </w:rPr>
      </w:pPr>
      <w:r>
        <w:rPr>
          <w:rFonts w:hint="eastAsia" w:ascii="黑体" w:hAnsi="黑体" w:eastAsia="黑体" w:cs="黑体"/>
          <w:sz w:val="32"/>
          <w:szCs w:val="32"/>
        </w:rPr>
        <w:t>三、部门整体支出绩效情况</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根据湖南省农业农村厅文件（湘农办发〔2024〕8号）要求，现从运行成本、管理效率、履职效能、社会效应、可持续发展能力、服务对象满意度等六方面进行自评。</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b/>
          <w:bCs/>
          <w:sz w:val="32"/>
          <w:szCs w:val="32"/>
          <w:lang w:eastAsia="zh-CN"/>
        </w:rPr>
        <w:t>（一）严控运行成本。</w:t>
      </w:r>
      <w:r>
        <w:rPr>
          <w:rFonts w:hint="eastAsia" w:ascii="Times New Roman" w:hAnsi="Times New Roman" w:eastAsia="仿宋_GB2312"/>
          <w:sz w:val="32"/>
          <w:szCs w:val="32"/>
          <w:lang w:eastAsia="zh-CN"/>
        </w:rPr>
        <w:t>2023年，我单位</w:t>
      </w:r>
      <w:r>
        <w:rPr>
          <w:rFonts w:hint="eastAsia" w:ascii="Times New Roman" w:hAnsi="Times New Roman" w:eastAsia="仿宋_GB2312"/>
          <w:sz w:val="32"/>
          <w:szCs w:val="32"/>
          <w:lang w:val="en-US" w:eastAsia="zh-CN"/>
        </w:rPr>
        <w:t>进一步</w:t>
      </w:r>
      <w:r>
        <w:rPr>
          <w:rFonts w:hint="eastAsia" w:ascii="Times New Roman" w:hAnsi="Times New Roman" w:eastAsia="仿宋_GB2312"/>
          <w:sz w:val="32"/>
          <w:szCs w:val="32"/>
          <w:lang w:eastAsia="zh-CN"/>
        </w:rPr>
        <w:t>加强内部管理，厉行节约，严控运行成本，促进节本增效。“三公”经费支出0.54万元，较年初预算4万元节约3.46万元，节约比为86.50%；坚持</w:t>
      </w:r>
      <w:r>
        <w:rPr>
          <w:rFonts w:hint="eastAsia" w:ascii="Times New Roman" w:hAnsi="Times New Roman" w:eastAsia="仿宋_GB2312"/>
          <w:color w:val="auto"/>
          <w:sz w:val="32"/>
          <w:szCs w:val="32"/>
          <w:lang w:val="en-US" w:eastAsia="zh-CN"/>
        </w:rPr>
        <w:t>从</w:t>
      </w:r>
      <w:r>
        <w:rPr>
          <w:rFonts w:hint="eastAsia" w:ascii="Times New Roman" w:hAnsi="Times New Roman" w:eastAsia="仿宋_GB2312"/>
          <w:sz w:val="32"/>
          <w:szCs w:val="32"/>
          <w:lang w:eastAsia="zh-CN"/>
        </w:rPr>
        <w:t>实际出发，科学组织实施网络和政务系统运行维护，合理减低运行成本，不断提升服务质量水平。</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b/>
          <w:bCs/>
          <w:sz w:val="32"/>
          <w:szCs w:val="32"/>
          <w:lang w:eastAsia="zh-CN"/>
        </w:rPr>
        <w:t>（二）提高管理效率。</w:t>
      </w:r>
      <w:r>
        <w:rPr>
          <w:rFonts w:hint="eastAsia" w:ascii="Times New Roman" w:hAnsi="Times New Roman" w:eastAsia="仿宋_GB2312"/>
          <w:sz w:val="32"/>
          <w:szCs w:val="32"/>
          <w:lang w:eastAsia="zh-CN"/>
        </w:rPr>
        <w:t>健全各项工作制度，强化内部管理，坚持用制度管钱管物、管人管事。明确领导班子职责分工，压实科室和人员岗位责任，加强检查督促，确保各项工作落到实处、见到实效。坚持从实际出发，合理制定采购需求，按规定实施政府采购，严格项目</w:t>
      </w:r>
      <w:r>
        <w:rPr>
          <w:rFonts w:hint="eastAsia" w:ascii="Times New Roman" w:hAnsi="Times New Roman" w:eastAsia="仿宋_GB2312"/>
          <w:color w:val="auto"/>
          <w:sz w:val="32"/>
          <w:szCs w:val="32"/>
          <w:lang w:eastAsia="zh-CN"/>
        </w:rPr>
        <w:t>进度质量</w:t>
      </w:r>
      <w:r>
        <w:rPr>
          <w:rFonts w:hint="eastAsia" w:ascii="Times New Roman" w:hAnsi="Times New Roman" w:eastAsia="仿宋_GB2312"/>
          <w:color w:val="auto"/>
          <w:sz w:val="32"/>
          <w:szCs w:val="32"/>
          <w:lang w:val="en-US" w:eastAsia="zh-CN"/>
        </w:rPr>
        <w:t>管理</w:t>
      </w:r>
      <w:r>
        <w:rPr>
          <w:rFonts w:hint="eastAsia" w:ascii="Times New Roman" w:hAnsi="Times New Roman" w:eastAsia="仿宋_GB2312"/>
          <w:sz w:val="32"/>
          <w:szCs w:val="32"/>
          <w:lang w:eastAsia="zh-CN"/>
        </w:rPr>
        <w:t>，对运维服务项目实行考评制度，切实发挥财政资金效益。</w:t>
      </w:r>
    </w:p>
    <w:p>
      <w:pPr>
        <w:pStyle w:val="14"/>
        <w:spacing w:line="600" w:lineRule="exact"/>
        <w:ind w:firstLine="640" w:firstLineChars="200"/>
        <w:rPr>
          <w:rFonts w:hint="default" w:ascii="Times New Roman" w:hAnsi="Times New Roman" w:eastAsia="仿宋_GB2312"/>
          <w:color w:val="auto"/>
          <w:sz w:val="32"/>
          <w:szCs w:val="32"/>
          <w:lang w:val="en-US" w:eastAsia="zh-CN"/>
        </w:rPr>
      </w:pPr>
      <w:r>
        <w:rPr>
          <w:rFonts w:hint="eastAsia" w:ascii="Times New Roman" w:hAnsi="Times New Roman" w:eastAsia="仿宋_GB2312"/>
          <w:b/>
          <w:bCs/>
          <w:sz w:val="32"/>
          <w:szCs w:val="32"/>
          <w:lang w:eastAsia="zh-CN"/>
        </w:rPr>
        <w:t>（三）提升履职效能。</w:t>
      </w:r>
      <w:r>
        <w:rPr>
          <w:rFonts w:hint="eastAsia" w:ascii="Times New Roman" w:hAnsi="Times New Roman" w:eastAsia="仿宋_GB2312"/>
          <w:sz w:val="32"/>
          <w:szCs w:val="32"/>
          <w:lang w:eastAsia="zh-CN"/>
        </w:rPr>
        <w:t>切实履行部门职能职责，围绕中心、服务大局，扎实推进各项工作，取得明显成效。一是加强意识形态阵地建管，厅官网官微发布信息1.81万条，完成3.46万条历史存量数据排查，有力维护网络意识形态安全；在省政务局、省网信委检查测评中，四个季度厅官网官微合格率均为100%、IPV6支持度均居省直单位前列。二是抓好政务系统运维管理，OA系统覆盖厅市县480多个单位，保障各类视频会议211场次；</w:t>
      </w:r>
      <w:r>
        <w:rPr>
          <w:rFonts w:hint="eastAsia" w:ascii="Times New Roman" w:hAnsi="Times New Roman" w:eastAsia="仿宋_GB2312"/>
          <w:color w:val="auto"/>
          <w:sz w:val="32"/>
          <w:szCs w:val="32"/>
          <w:lang w:val="en-US" w:eastAsia="zh-CN"/>
        </w:rPr>
        <w:t>加强资源管理，</w:t>
      </w:r>
      <w:r>
        <w:rPr>
          <w:rFonts w:hint="eastAsia" w:ascii="Times New Roman" w:hAnsi="Times New Roman" w:eastAsia="仿宋_GB2312"/>
          <w:color w:val="auto"/>
          <w:sz w:val="32"/>
          <w:szCs w:val="32"/>
          <w:lang w:eastAsia="zh-CN"/>
        </w:rPr>
        <w:t>强化技术支持，为政务</w:t>
      </w:r>
      <w:r>
        <w:rPr>
          <w:rFonts w:hint="eastAsia" w:ascii="Times New Roman" w:hAnsi="Times New Roman" w:eastAsia="仿宋_GB2312"/>
          <w:color w:val="auto"/>
          <w:sz w:val="32"/>
          <w:szCs w:val="32"/>
          <w:lang w:val="en-US" w:eastAsia="zh-CN"/>
        </w:rPr>
        <w:t>信息</w:t>
      </w:r>
      <w:r>
        <w:rPr>
          <w:rFonts w:hint="eastAsia" w:ascii="Times New Roman" w:hAnsi="Times New Roman" w:eastAsia="仿宋_GB2312"/>
          <w:color w:val="auto"/>
          <w:sz w:val="32"/>
          <w:szCs w:val="32"/>
          <w:lang w:eastAsia="zh-CN"/>
        </w:rPr>
        <w:t>系统部署运行提供可靠保障。三是推进政务数据归集共享，建立11大数据库，共采集数据26.8亿条，完成与部省10</w:t>
      </w:r>
      <w:r>
        <w:rPr>
          <w:rFonts w:hint="eastAsia" w:ascii="Times New Roman" w:hAnsi="Times New Roman" w:eastAsia="仿宋_GB2312"/>
          <w:color w:val="auto"/>
          <w:sz w:val="32"/>
          <w:szCs w:val="32"/>
          <w:lang w:val="en-US" w:eastAsia="zh-CN"/>
        </w:rPr>
        <w:t>多</w:t>
      </w:r>
      <w:r>
        <w:rPr>
          <w:rFonts w:hint="eastAsia" w:ascii="Times New Roman" w:hAnsi="Times New Roman" w:eastAsia="仿宋_GB2312"/>
          <w:color w:val="auto"/>
          <w:sz w:val="32"/>
          <w:szCs w:val="32"/>
          <w:lang w:eastAsia="zh-CN"/>
        </w:rPr>
        <w:t>个政务系统对接，做好“湘易办”</w:t>
      </w:r>
      <w:r>
        <w:rPr>
          <w:rFonts w:hint="eastAsia" w:ascii="Times New Roman" w:hAnsi="Times New Roman" w:eastAsia="仿宋_GB2312"/>
          <w:color w:val="auto"/>
          <w:sz w:val="32"/>
          <w:szCs w:val="32"/>
          <w:lang w:val="en-US" w:eastAsia="zh-CN"/>
        </w:rPr>
        <w:t>旗舰店</w:t>
      </w:r>
      <w:r>
        <w:rPr>
          <w:rFonts w:hint="eastAsia" w:ascii="Times New Roman" w:hAnsi="Times New Roman" w:eastAsia="仿宋_GB2312"/>
          <w:color w:val="auto"/>
          <w:sz w:val="32"/>
          <w:szCs w:val="32"/>
          <w:lang w:eastAsia="zh-CN"/>
        </w:rPr>
        <w:t>等工作。四是强化网络系统运行保障，</w:t>
      </w:r>
      <w:r>
        <w:rPr>
          <w:rFonts w:hint="eastAsia" w:ascii="Times New Roman" w:hAnsi="Times New Roman" w:eastAsia="仿宋_GB2312"/>
          <w:color w:val="auto"/>
          <w:sz w:val="32"/>
          <w:szCs w:val="32"/>
          <w:lang w:val="en-US" w:eastAsia="zh-CN"/>
        </w:rPr>
        <w:t>抓好700多</w:t>
      </w:r>
      <w:r>
        <w:rPr>
          <w:rFonts w:hint="eastAsia" w:ascii="Times New Roman" w:hAnsi="Times New Roman" w:eastAsia="仿宋_GB2312"/>
          <w:color w:val="auto"/>
          <w:sz w:val="32"/>
          <w:szCs w:val="32"/>
          <w:lang w:eastAsia="zh-CN"/>
        </w:rPr>
        <w:t>台套网</w:t>
      </w:r>
      <w:r>
        <w:rPr>
          <w:rFonts w:hint="eastAsia" w:ascii="Times New Roman" w:hAnsi="Times New Roman" w:eastAsia="仿宋_GB2312"/>
          <w:sz w:val="32"/>
          <w:szCs w:val="32"/>
          <w:lang w:eastAsia="zh-CN"/>
        </w:rPr>
        <w:t>络设备、办公终端的日常维护，对40多个信息系统实施漏洞扫描和渗透测试，修补高危漏洞978个，封禁恶意境外IP740条，监测处置安全问题121次；</w:t>
      </w:r>
      <w:r>
        <w:rPr>
          <w:rFonts w:hint="eastAsia" w:ascii="Times New Roman" w:hAnsi="Times New Roman" w:eastAsia="仿宋_GB2312"/>
          <w:color w:val="auto"/>
          <w:sz w:val="32"/>
          <w:szCs w:val="32"/>
          <w:lang w:val="en-US" w:eastAsia="zh-CN"/>
        </w:rPr>
        <w:t>制定《湖南省农业农村厅</w:t>
      </w:r>
      <w:r>
        <w:rPr>
          <w:rFonts w:hint="eastAsia" w:ascii="Times New Roman" w:hAnsi="Times New Roman" w:eastAsia="仿宋_GB2312"/>
          <w:color w:val="auto"/>
          <w:sz w:val="32"/>
          <w:szCs w:val="32"/>
          <w:lang w:eastAsia="zh-CN"/>
        </w:rPr>
        <w:t>网络与信息安全管理办法（试行）》，</w:t>
      </w:r>
      <w:r>
        <w:rPr>
          <w:rFonts w:ascii="Times New Roman" w:hAnsi="仿宋_GB2312" w:eastAsia="仿宋_GB2312" w:cs="Times New Roman"/>
          <w:color w:val="auto"/>
          <w:sz w:val="32"/>
          <w:szCs w:val="32"/>
        </w:rPr>
        <w:t>建立落实安全巡检、渗透测试、风险评估等</w:t>
      </w:r>
      <w:r>
        <w:rPr>
          <w:rFonts w:hint="eastAsia" w:ascii="Times New Roman" w:hAnsi="Times New Roman" w:eastAsia="仿宋_GB2312"/>
          <w:color w:val="auto"/>
          <w:sz w:val="32"/>
          <w:szCs w:val="32"/>
          <w:lang w:val="en-US" w:eastAsia="zh-CN"/>
        </w:rPr>
        <w:t>系列</w:t>
      </w:r>
      <w:r>
        <w:rPr>
          <w:rFonts w:ascii="Times New Roman" w:hAnsi="仿宋_GB2312" w:eastAsia="仿宋_GB2312" w:cs="Times New Roman"/>
          <w:color w:val="auto"/>
          <w:sz w:val="32"/>
          <w:szCs w:val="32"/>
        </w:rPr>
        <w:t>制度</w:t>
      </w:r>
      <w:r>
        <w:rPr>
          <w:rFonts w:hint="eastAsia" w:ascii="Times New Roman" w:hAnsi="仿宋_GB2312" w:eastAsia="仿宋_GB2312" w:cs="Times New Roman"/>
          <w:color w:val="auto"/>
          <w:sz w:val="32"/>
          <w:szCs w:val="32"/>
          <w:lang w:eastAsia="zh-CN"/>
        </w:rPr>
        <w:t>，</w:t>
      </w:r>
      <w:r>
        <w:rPr>
          <w:rFonts w:hint="eastAsia" w:ascii="Times New Roman" w:hAnsi="Times New Roman" w:eastAsia="仿宋_GB2312"/>
          <w:color w:val="auto"/>
          <w:sz w:val="32"/>
          <w:szCs w:val="32"/>
          <w:lang w:eastAsia="zh-CN"/>
        </w:rPr>
        <w:t>打造厅密码基础平台</w:t>
      </w:r>
      <w:r>
        <w:rPr>
          <w:rFonts w:hint="eastAsia" w:ascii="Times New Roman" w:hAnsi="Times New Roman" w:eastAsia="仿宋_GB2312"/>
          <w:color w:val="auto"/>
          <w:sz w:val="32"/>
          <w:szCs w:val="32"/>
          <w:lang w:val="en-US" w:eastAsia="zh-CN"/>
        </w:rPr>
        <w:t>，推动密码技术应用；制定应急预案、开展应急演练，</w:t>
      </w:r>
      <w:r>
        <w:rPr>
          <w:rFonts w:hint="eastAsia" w:ascii="Times New Roman" w:hAnsi="Times New Roman" w:eastAsia="仿宋_GB2312"/>
          <w:color w:val="auto"/>
          <w:sz w:val="32"/>
          <w:szCs w:val="32"/>
          <w:lang w:eastAsia="zh-CN"/>
        </w:rPr>
        <w:t>加强值班值守和应急</w:t>
      </w:r>
      <w:r>
        <w:rPr>
          <w:rFonts w:hint="eastAsia" w:ascii="Times New Roman" w:hAnsi="Times New Roman" w:eastAsia="仿宋_GB2312"/>
          <w:sz w:val="32"/>
          <w:szCs w:val="32"/>
          <w:lang w:eastAsia="zh-CN"/>
        </w:rPr>
        <w:t>处置，未发生重大网络安全事件。五是打造“涉农舆情监测平台”，健全监测处置机制，加强分析研判，扩充监测数据库；编发《网情择要（周报）》47期，开展专题监测、编发《快报》24期，</w:t>
      </w:r>
      <w:r>
        <w:rPr>
          <w:rFonts w:hint="eastAsia" w:ascii="Times New Roman" w:hAnsi="Times New Roman" w:eastAsia="仿宋_GB2312"/>
          <w:color w:val="auto"/>
          <w:sz w:val="32"/>
          <w:szCs w:val="32"/>
          <w:lang w:val="en-US" w:eastAsia="zh-CN"/>
        </w:rPr>
        <w:t>为领导决策提供参考。</w:t>
      </w:r>
      <w:r>
        <w:rPr>
          <w:rFonts w:hint="eastAsia" w:ascii="Times New Roman" w:hAnsi="Times New Roman" w:eastAsia="仿宋_GB2312"/>
          <w:sz w:val="32"/>
          <w:szCs w:val="32"/>
          <w:lang w:eastAsia="zh-CN"/>
        </w:rPr>
        <w:t>六是推动</w:t>
      </w:r>
      <w:r>
        <w:rPr>
          <w:rFonts w:hint="eastAsia" w:ascii="Times New Roman" w:hAnsi="Times New Roman" w:eastAsia="仿宋_GB2312"/>
          <w:color w:val="auto"/>
          <w:sz w:val="32"/>
          <w:szCs w:val="32"/>
        </w:rPr>
        <w:t>湖南</w:t>
      </w:r>
      <w:r>
        <w:rPr>
          <w:rFonts w:hint="eastAsia" w:ascii="Times New Roman" w:hAnsi="Times New Roman" w:eastAsia="仿宋_GB2312"/>
          <w:color w:val="auto"/>
          <w:sz w:val="32"/>
          <w:szCs w:val="32"/>
          <w:lang w:val="en-US" w:eastAsia="zh-CN"/>
        </w:rPr>
        <w:t>农业</w:t>
      </w:r>
      <w:r>
        <w:rPr>
          <w:rFonts w:hint="eastAsia" w:ascii="Times New Roman" w:hAnsi="Times New Roman" w:eastAsia="仿宋_GB2312"/>
          <w:color w:val="auto"/>
          <w:sz w:val="32"/>
          <w:szCs w:val="32"/>
        </w:rPr>
        <w:t>优势特色产业集群系统项目（一期）</w:t>
      </w:r>
      <w:r>
        <w:rPr>
          <w:rFonts w:hint="eastAsia" w:ascii="Times New Roman" w:hAnsi="Times New Roman" w:eastAsia="仿宋_GB2312"/>
          <w:color w:val="auto"/>
          <w:sz w:val="32"/>
          <w:szCs w:val="32"/>
          <w:lang w:eastAsia="zh-CN"/>
        </w:rPr>
        <w:t>完成前</w:t>
      </w:r>
      <w:r>
        <w:rPr>
          <w:rFonts w:hint="eastAsia" w:ascii="Times New Roman" w:hAnsi="Times New Roman" w:eastAsia="仿宋_GB2312"/>
          <w:sz w:val="32"/>
          <w:szCs w:val="32"/>
          <w:lang w:eastAsia="zh-CN"/>
        </w:rPr>
        <w:t>置审查、可研批复、概算评审、财政评审和政府采购，大力推进项目实施投用。七是提升为农信息服务水平，</w:t>
      </w:r>
      <w:r>
        <w:rPr>
          <w:rFonts w:hint="eastAsia" w:ascii="Times New Roman" w:hAnsi="Times New Roman" w:eastAsia="仿宋_GB2312"/>
          <w:color w:val="auto"/>
          <w:sz w:val="32"/>
          <w:szCs w:val="32"/>
          <w:lang w:val="en-US" w:eastAsia="zh-CN"/>
        </w:rPr>
        <w:t>大力</w:t>
      </w:r>
      <w:r>
        <w:rPr>
          <w:rFonts w:hint="eastAsia" w:ascii="Times New Roman" w:hAnsi="Times New Roman" w:eastAsia="仿宋_GB2312"/>
          <w:color w:val="auto"/>
          <w:sz w:val="32"/>
          <w:szCs w:val="32"/>
          <w:lang w:eastAsia="zh-CN"/>
        </w:rPr>
        <w:t>推进政务信息公开，</w:t>
      </w:r>
      <w:r>
        <w:rPr>
          <w:rFonts w:hint="eastAsia" w:ascii="Times New Roman" w:hAnsi="Times New Roman" w:eastAsia="仿宋_GB2312"/>
          <w:color w:val="auto"/>
          <w:sz w:val="32"/>
          <w:szCs w:val="32"/>
          <w:lang w:val="en-US" w:eastAsia="zh-CN"/>
        </w:rPr>
        <w:t>办</w:t>
      </w:r>
      <w:r>
        <w:rPr>
          <w:rFonts w:hint="eastAsia" w:ascii="Times New Roman" w:hAnsi="Times New Roman" w:eastAsia="仿宋_GB2312"/>
          <w:color w:val="auto"/>
          <w:sz w:val="32"/>
          <w:szCs w:val="32"/>
          <w:lang w:eastAsia="zh-CN"/>
        </w:rPr>
        <w:t>理</w:t>
      </w:r>
      <w:r>
        <w:rPr>
          <w:rFonts w:hint="eastAsia" w:ascii="Times New Roman" w:hAnsi="Times New Roman" w:eastAsia="仿宋_GB2312"/>
          <w:color w:val="auto"/>
          <w:sz w:val="32"/>
          <w:szCs w:val="32"/>
          <w:lang w:val="en-US" w:eastAsia="zh-CN"/>
        </w:rPr>
        <w:t>厅官网群众</w:t>
      </w:r>
      <w:r>
        <w:rPr>
          <w:rFonts w:hint="eastAsia" w:ascii="Times New Roman" w:hAnsi="Times New Roman" w:eastAsia="仿宋_GB2312"/>
          <w:color w:val="auto"/>
          <w:sz w:val="32"/>
          <w:szCs w:val="32"/>
          <w:lang w:eastAsia="zh-CN"/>
        </w:rPr>
        <w:t>来信250余件，</w:t>
      </w:r>
      <w:r>
        <w:rPr>
          <w:rFonts w:hint="eastAsia" w:ascii="Times New Roman" w:hAnsi="Times New Roman" w:eastAsia="仿宋_GB2312"/>
          <w:color w:val="auto"/>
          <w:sz w:val="32"/>
          <w:szCs w:val="32"/>
          <w:lang w:val="en-US" w:eastAsia="zh-CN"/>
        </w:rPr>
        <w:t>承办</w:t>
      </w:r>
      <w:r>
        <w:rPr>
          <w:rFonts w:hint="eastAsia" w:ascii="Times New Roman" w:hAnsi="Times New Roman" w:eastAsia="仿宋_GB2312"/>
          <w:color w:val="auto"/>
          <w:sz w:val="32"/>
          <w:szCs w:val="32"/>
          <w:lang w:eastAsia="zh-CN"/>
        </w:rPr>
        <w:t>省级12345平台工单200余</w:t>
      </w:r>
      <w:r>
        <w:rPr>
          <w:rFonts w:hint="eastAsia" w:ascii="Times New Roman" w:hAnsi="Times New Roman" w:eastAsia="仿宋_GB2312"/>
          <w:color w:val="auto"/>
          <w:sz w:val="32"/>
          <w:szCs w:val="32"/>
          <w:lang w:val="en-US" w:eastAsia="zh-CN"/>
        </w:rPr>
        <w:t>项</w:t>
      </w:r>
      <w:r>
        <w:rPr>
          <w:rFonts w:hint="eastAsia" w:ascii="Times New Roman" w:hAnsi="Times New Roman" w:eastAsia="仿宋_GB2312"/>
          <w:color w:val="auto"/>
          <w:sz w:val="32"/>
          <w:szCs w:val="32"/>
          <w:lang w:eastAsia="zh-CN"/>
        </w:rPr>
        <w:t>，受理热线电话3500余次，建立</w:t>
      </w:r>
      <w:r>
        <w:rPr>
          <w:rFonts w:hint="eastAsia" w:ascii="Times New Roman" w:hAnsi="Times New Roman" w:eastAsia="仿宋_GB2312"/>
          <w:color w:val="auto"/>
          <w:sz w:val="32"/>
          <w:szCs w:val="32"/>
          <w:lang w:val="en-US" w:eastAsia="zh-CN"/>
        </w:rPr>
        <w:t>农业农村政策法规和农业科技</w:t>
      </w:r>
      <w:r>
        <w:rPr>
          <w:rFonts w:hint="eastAsia" w:ascii="Times New Roman" w:hAnsi="Times New Roman" w:eastAsia="仿宋_GB2312"/>
          <w:color w:val="auto"/>
          <w:sz w:val="32"/>
          <w:szCs w:val="32"/>
          <w:lang w:eastAsia="zh-CN"/>
        </w:rPr>
        <w:t>知</w:t>
      </w:r>
      <w:r>
        <w:rPr>
          <w:rFonts w:hint="eastAsia" w:ascii="Times New Roman" w:hAnsi="Times New Roman" w:eastAsia="仿宋_GB2312"/>
          <w:sz w:val="32"/>
          <w:szCs w:val="32"/>
          <w:lang w:eastAsia="zh-CN"/>
        </w:rPr>
        <w:t>识库条目1.37万条，发布</w:t>
      </w:r>
      <w:r>
        <w:rPr>
          <w:rFonts w:hint="eastAsia" w:ascii="Times New Roman" w:hAnsi="Times New Roman" w:eastAsia="仿宋_GB2312"/>
          <w:color w:val="auto"/>
          <w:sz w:val="32"/>
          <w:szCs w:val="32"/>
          <w:lang w:val="en-US" w:eastAsia="zh-CN"/>
        </w:rPr>
        <w:t>主要农产品</w:t>
      </w:r>
      <w:r>
        <w:rPr>
          <w:rFonts w:hint="eastAsia" w:ascii="Times New Roman" w:hAnsi="Times New Roman" w:eastAsia="仿宋_GB2312"/>
          <w:color w:val="auto"/>
          <w:sz w:val="32"/>
          <w:szCs w:val="32"/>
          <w:lang w:eastAsia="zh-CN"/>
        </w:rPr>
        <w:t>电商行情监测周报50期；</w:t>
      </w:r>
      <w:r>
        <w:rPr>
          <w:rFonts w:hint="eastAsia" w:ascii="Times New Roman" w:hAnsi="Times New Roman" w:eastAsia="仿宋_GB2312"/>
          <w:color w:val="auto"/>
          <w:sz w:val="32"/>
          <w:szCs w:val="32"/>
          <w:lang w:val="en-US" w:eastAsia="zh-CN"/>
        </w:rPr>
        <w:t>组织开展农村电商培训，开展</w:t>
      </w:r>
      <w:r>
        <w:rPr>
          <w:rFonts w:hint="eastAsia" w:ascii="Times New Roman" w:hAnsi="仿宋_GB2312" w:eastAsia="仿宋_GB2312" w:cs="Times New Roman"/>
          <w:color w:val="auto"/>
          <w:sz w:val="32"/>
          <w:szCs w:val="32"/>
        </w:rPr>
        <w:t>数字乡村发展水平评价</w:t>
      </w:r>
      <w:r>
        <w:rPr>
          <w:rFonts w:hint="eastAsia" w:ascii="Times New Roman" w:hAnsi="Times New Roman" w:eastAsia="仿宋_GB2312"/>
          <w:color w:val="auto"/>
          <w:sz w:val="32"/>
          <w:szCs w:val="32"/>
          <w:lang w:val="en-US" w:eastAsia="zh-CN"/>
        </w:rPr>
        <w:t>等。</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b/>
          <w:bCs/>
          <w:sz w:val="32"/>
          <w:szCs w:val="32"/>
          <w:lang w:eastAsia="zh-CN"/>
        </w:rPr>
        <w:t>（四）发挥社会效益。</w:t>
      </w:r>
      <w:r>
        <w:rPr>
          <w:rFonts w:hint="eastAsia" w:ascii="Times New Roman" w:hAnsi="Times New Roman" w:eastAsia="仿宋_GB2312"/>
          <w:sz w:val="32"/>
          <w:szCs w:val="32"/>
          <w:lang w:eastAsia="zh-CN"/>
        </w:rPr>
        <w:t>坚持面向“三农”、服务“三农”，不断提升工作服务水平，发挥良好社会效益。厅官网</w:t>
      </w:r>
      <w:r>
        <w:rPr>
          <w:rFonts w:hint="eastAsia" w:ascii="Times New Roman" w:hAnsi="Times New Roman" w:eastAsia="仿宋_GB2312"/>
          <w:color w:val="auto"/>
          <w:sz w:val="32"/>
          <w:szCs w:val="32"/>
          <w:lang w:eastAsia="zh-CN"/>
        </w:rPr>
        <w:t>官微</w:t>
      </w:r>
      <w:r>
        <w:rPr>
          <w:rFonts w:hint="eastAsia" w:ascii="Times New Roman" w:hAnsi="Times New Roman" w:eastAsia="仿宋_GB2312"/>
          <w:color w:val="auto"/>
          <w:sz w:val="32"/>
          <w:szCs w:val="32"/>
          <w:lang w:val="en-US" w:eastAsia="zh-CN"/>
        </w:rPr>
        <w:t>积极宣传贯彻党的“三农”工作方针和强农惠农政策，</w:t>
      </w:r>
      <w:r>
        <w:rPr>
          <w:rFonts w:hint="eastAsia" w:ascii="Times New Roman" w:hAnsi="Times New Roman" w:eastAsia="仿宋_GB2312"/>
          <w:color w:val="auto"/>
          <w:sz w:val="32"/>
          <w:szCs w:val="32"/>
          <w:lang w:eastAsia="zh-CN"/>
        </w:rPr>
        <w:t>推介科学实用技术和先进典型，共发布信息1.81万篇，浏览量分别达276.85万次、35.5万次，社会影响力不断提升。推进政务信息公开、政策解读，</w:t>
      </w:r>
      <w:r>
        <w:rPr>
          <w:rFonts w:hint="eastAsia" w:ascii="Times New Roman" w:hAnsi="Times New Roman" w:eastAsia="仿宋_GB2312"/>
          <w:color w:val="auto"/>
          <w:sz w:val="32"/>
          <w:szCs w:val="32"/>
          <w:lang w:val="en-US" w:eastAsia="zh-CN"/>
        </w:rPr>
        <w:t>办理厅官网群众来信250余件，承办省级12345平台工单200余项，受理热线电话3500余次，建立农业农村政策法规和农业科技知识库条目1.37万条，发布主要农产品</w:t>
      </w:r>
      <w:r>
        <w:rPr>
          <w:rFonts w:hint="eastAsia" w:ascii="Times New Roman" w:hAnsi="Times New Roman" w:eastAsia="仿宋_GB2312"/>
          <w:color w:val="auto"/>
          <w:sz w:val="32"/>
          <w:szCs w:val="32"/>
          <w:lang w:eastAsia="zh-CN"/>
        </w:rPr>
        <w:t>电商行情监测周报50期（总143期），受到群众好</w:t>
      </w:r>
      <w:r>
        <w:rPr>
          <w:rFonts w:hint="eastAsia" w:ascii="Times New Roman" w:hAnsi="Times New Roman" w:eastAsia="仿宋_GB2312"/>
          <w:sz w:val="32"/>
          <w:szCs w:val="32"/>
          <w:lang w:eastAsia="zh-CN"/>
        </w:rPr>
        <w:t>评。加强网络安全巡检维护，维护网络设施940余次，清理病毒1600余条；强化风险监测处置，对各类信息系统实施24次漏洞扫描和渗透测试，发现和修补高危漏洞978个，封禁恶意境外IP共740条，处置网络安全问题121次，有力保障厅网络和政务系统顺畅、安全运行。全省</w:t>
      </w:r>
      <w:r>
        <w:rPr>
          <w:rFonts w:hint="eastAsia" w:ascii="Times New Roman" w:hAnsi="Times New Roman" w:eastAsia="仿宋_GB2312"/>
          <w:color w:val="auto"/>
          <w:sz w:val="32"/>
          <w:szCs w:val="32"/>
          <w:lang w:val="en-US" w:eastAsia="zh-CN"/>
        </w:rPr>
        <w:t>农业农村</w:t>
      </w:r>
      <w:r>
        <w:rPr>
          <w:rFonts w:hint="eastAsia" w:ascii="Times New Roman" w:hAnsi="Times New Roman" w:eastAsia="仿宋_GB2312"/>
          <w:color w:val="auto"/>
          <w:sz w:val="32"/>
          <w:szCs w:val="32"/>
          <w:lang w:eastAsia="zh-CN"/>
        </w:rPr>
        <w:t>协同办公OA系统覆盖</w:t>
      </w:r>
      <w:r>
        <w:rPr>
          <w:rFonts w:hint="eastAsia" w:ascii="Times New Roman" w:hAnsi="Times New Roman" w:eastAsia="仿宋_GB2312"/>
          <w:color w:val="auto"/>
          <w:sz w:val="32"/>
          <w:szCs w:val="32"/>
          <w:lang w:val="en-US" w:eastAsia="zh-CN"/>
        </w:rPr>
        <w:t>厅</w:t>
      </w:r>
      <w:r>
        <w:rPr>
          <w:rFonts w:hint="eastAsia" w:ascii="Times New Roman" w:hAnsi="Times New Roman" w:eastAsia="仿宋_GB2312"/>
          <w:color w:val="auto"/>
          <w:sz w:val="32"/>
          <w:szCs w:val="32"/>
          <w:lang w:eastAsia="zh-CN"/>
        </w:rPr>
        <w:t>市县480多个单位，流转办理公文8.4万件次；</w:t>
      </w:r>
      <w:r>
        <w:rPr>
          <w:rFonts w:hint="eastAsia" w:ascii="Times New Roman" w:hAnsi="Times New Roman" w:eastAsia="仿宋_GB2312"/>
          <w:color w:val="auto"/>
          <w:sz w:val="32"/>
          <w:szCs w:val="32"/>
          <w:lang w:val="en-US" w:eastAsia="zh-CN"/>
        </w:rPr>
        <w:t>全省农业</w:t>
      </w:r>
      <w:r>
        <w:rPr>
          <w:rFonts w:hint="eastAsia" w:ascii="Times New Roman" w:hAnsi="Times New Roman" w:eastAsia="仿宋_GB2312"/>
          <w:color w:val="auto"/>
          <w:sz w:val="32"/>
          <w:szCs w:val="32"/>
          <w:lang w:eastAsia="zh-CN"/>
        </w:rPr>
        <w:t>视频会议点址增加到154个，保障各类视频会议211场</w:t>
      </w:r>
      <w:r>
        <w:rPr>
          <w:rFonts w:hint="eastAsia" w:ascii="Times New Roman" w:hAnsi="Times New Roman" w:eastAsia="仿宋_GB2312"/>
          <w:sz w:val="32"/>
          <w:szCs w:val="32"/>
          <w:lang w:eastAsia="zh-CN"/>
        </w:rPr>
        <w:t>次，有力减低全省农业农村系统运行成本、提升行政管理和服务效能。</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b/>
          <w:bCs/>
          <w:sz w:val="32"/>
          <w:szCs w:val="32"/>
          <w:lang w:eastAsia="zh-CN"/>
        </w:rPr>
        <w:t>（五）促进可持续发展。</w:t>
      </w:r>
      <w:r>
        <w:rPr>
          <w:rFonts w:hint="eastAsia" w:ascii="Times New Roman" w:hAnsi="Times New Roman" w:eastAsia="仿宋_GB2312"/>
          <w:color w:val="auto"/>
          <w:sz w:val="32"/>
          <w:szCs w:val="32"/>
          <w:lang w:val="en-US" w:eastAsia="zh-CN"/>
        </w:rPr>
        <w:t>厅官网官微积极宣传贯彻党的“三农”工作方针和强农惠农政策，推介科学实用技术和先进典型，共发布信息1.81万篇；建立农业农村政策法规和农业科技知识库条目1.37万条，发布主要农产品电商行情监测周报50期（总143期）；</w:t>
      </w:r>
      <w:r>
        <w:rPr>
          <w:rFonts w:hint="eastAsia" w:ascii="Times New Roman" w:hAnsi="Times New Roman" w:eastAsia="仿宋_GB2312"/>
          <w:color w:val="auto"/>
          <w:sz w:val="32"/>
          <w:szCs w:val="32"/>
          <w:lang w:eastAsia="zh-CN"/>
        </w:rPr>
        <w:t>组织采集接入</w:t>
      </w:r>
      <w:r>
        <w:rPr>
          <w:rFonts w:hint="eastAsia" w:ascii="Times New Roman" w:hAnsi="Times New Roman" w:eastAsia="仿宋_GB2312"/>
          <w:sz w:val="32"/>
          <w:szCs w:val="32"/>
          <w:lang w:eastAsia="zh-CN"/>
        </w:rPr>
        <w:t>农业农村政务数据4770万项26.8亿条，完成与部省10多个政务信息系统对接，做好“湘易办”旗舰店等工作</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sz w:val="32"/>
          <w:szCs w:val="32"/>
          <w:lang w:eastAsia="zh-CN"/>
        </w:rPr>
        <w:t>抓好全省农业视频会议系统、全省农业农村协同办公OA系统、及其他重要政务信息系统运行维护，推进湖南农业优势特色产业集群信息系统建设等，将有力促进我省数字农业农村发展，推动绿色节能技术和设施设备应用，推进产业转型、减耗增效和绿色、高质量发展，不断提升农业农村可持续发展能力。</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b/>
          <w:bCs/>
          <w:sz w:val="32"/>
          <w:szCs w:val="32"/>
          <w:lang w:eastAsia="zh-CN"/>
        </w:rPr>
        <w:t>（六）提高服务满意度。</w:t>
      </w:r>
      <w:r>
        <w:rPr>
          <w:rFonts w:hint="eastAsia" w:ascii="Times New Roman" w:hAnsi="Times New Roman" w:eastAsia="仿宋_GB2312"/>
          <w:sz w:val="32"/>
          <w:szCs w:val="32"/>
          <w:lang w:eastAsia="zh-CN"/>
        </w:rPr>
        <w:t>树牢服务理念、强化服务意识，切实抓好厅网络和政务系统日常运行维护，做好值班值守，及时处置网络问题，有力保障厅网络和政务系统顺畅、安全运行；创新方式方法，强化为农信息服务，推进政务信息公开，及时受理回复群众咨询、投诉事项，受到全省农业农村系统和广大群众好评，服务对象满意度不断提升。</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四、存在的问题及原因分析</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我单位项目支出预算执行率有待提高。项目支出全年预算数为1664.70万元，决算数为445.12万元，执行率为26.74%。主要原因为：湖南农业优势特色产业集群信息系统项目（一期）实施进度缓于预期。因</w:t>
      </w:r>
      <w:r>
        <w:rPr>
          <w:rFonts w:hint="eastAsia" w:ascii="Times New Roman" w:hAnsi="Times New Roman" w:eastAsia="仿宋_GB2312"/>
          <w:color w:val="auto"/>
          <w:sz w:val="32"/>
          <w:szCs w:val="32"/>
          <w:u w:val="none"/>
          <w:lang w:val="en-US" w:eastAsia="zh-CN"/>
        </w:rPr>
        <w:t>项目涉及专业和地区多、工作量大，</w:t>
      </w:r>
      <w:r>
        <w:rPr>
          <w:rFonts w:hint="eastAsia" w:ascii="Times New Roman" w:hAnsi="Times New Roman" w:eastAsia="仿宋_GB2312"/>
          <w:sz w:val="32"/>
          <w:szCs w:val="32"/>
          <w:lang w:eastAsia="zh-CN"/>
        </w:rPr>
        <w:t>开展项目需求调研、初步设计等耗时较长，项目尚在建设、未竣工验收，以致资金预算执行滞后。</w:t>
      </w:r>
    </w:p>
    <w:p>
      <w:pPr>
        <w:pStyle w:val="14"/>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下一步，我们将全力推进湖南农业优势特色产业集群信息系统项目（一期）实施建设，确保项目按期、按质竣工投用，切实提高项目资金预算执行率，发挥财政资金效益。同时，进一步完善本单位预算编制管理，定期分析调度预算执行情况，并作为下年度预算编制的重要依据；加强对跨年项目的实施管理，进一步提高我单位预算执行率。</w:t>
      </w:r>
    </w:p>
    <w:p/>
    <w:p/>
    <w:p/>
    <w:p/>
    <w:p/>
    <w:p/>
    <w:p/>
    <w:p/>
    <w:p/>
    <w:p/>
    <w:p>
      <w:pPr>
        <w:pStyle w:val="2"/>
        <w:ind w:firstLine="0" w:firstLineChars="0"/>
        <w:rPr>
          <w:rFonts w:hint="eastAsia" w:eastAsia="黑体"/>
          <w:lang w:eastAsia="zh-CN"/>
        </w:rPr>
      </w:pPr>
      <w:r>
        <w:t>附件</w:t>
      </w:r>
      <w:r>
        <w:rPr>
          <w:rFonts w:hint="eastAsia"/>
          <w:lang w:val="en-US" w:eastAsia="zh-CN"/>
        </w:rPr>
        <w:t>1</w:t>
      </w:r>
    </w:p>
    <w:p>
      <w:pPr>
        <w:widowControl/>
        <w:adjustRightInd/>
        <w:snapToGrid/>
        <w:spacing w:before="144" w:beforeLines="25" w:after="144" w:afterLines="25" w:line="500" w:lineRule="exact"/>
        <w:ind w:firstLine="0" w:firstLineChars="0"/>
        <w:jc w:val="center"/>
        <w:rPr>
          <w:rFonts w:eastAsia="方正小标宋简体"/>
          <w:color w:val="000000"/>
          <w:sz w:val="36"/>
          <w:szCs w:val="36"/>
        </w:rPr>
      </w:pPr>
      <w:r>
        <w:rPr>
          <w:rFonts w:eastAsia="方正小标宋简体"/>
          <w:color w:val="000000"/>
          <w:sz w:val="36"/>
          <w:szCs w:val="36"/>
        </w:rPr>
        <w:t>2023年度部门整体支出绩效评价基础数据表</w:t>
      </w:r>
    </w:p>
    <w:tbl>
      <w:tblPr>
        <w:tblStyle w:val="10"/>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2023年实际在职人数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12</w:t>
            </w:r>
            <w:r>
              <w:rPr>
                <w:sz w:val="20"/>
                <w:szCs w:val="20"/>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11</w:t>
            </w:r>
            <w:r>
              <w:rPr>
                <w:sz w:val="20"/>
                <w:szCs w:val="20"/>
              </w:rPr>
              <w:t>　</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91.67%</w:t>
            </w:r>
            <w:r>
              <w:rPr>
                <w:sz w:val="20"/>
                <w:szCs w:val="20"/>
              </w:rPr>
              <w:t>　</w:t>
            </w:r>
          </w:p>
        </w:tc>
      </w:tr>
      <w:tr>
        <w:tblPrEx>
          <w:tblLayout w:type="fixed"/>
          <w:tblCellMar>
            <w:top w:w="0" w:type="dxa"/>
            <w:left w:w="108" w:type="dxa"/>
            <w:bottom w:w="0" w:type="dxa"/>
            <w:right w:w="108" w:type="dxa"/>
          </w:tblCellMar>
        </w:tblPrEx>
        <w:trPr>
          <w:trHeight w:val="313"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2022年决算数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2023年预算数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2023年决算数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b/>
                <w:bCs/>
                <w:sz w:val="20"/>
                <w:szCs w:val="20"/>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0.90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4.00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0.54</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0.58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0.27</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0.58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0.27</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0.32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3.00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0.27</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b/>
                <w:bCs/>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1436.72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1664.70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445.12</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115.50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178.42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174.83</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400"/>
              <w:textAlignment w:val="center"/>
              <w:rPr>
                <w:rFonts w:hint="eastAsia"/>
                <w:sz w:val="20"/>
                <w:szCs w:val="20"/>
              </w:rPr>
            </w:pPr>
            <w:r>
              <w:rPr>
                <w:sz w:val="20"/>
                <w:szCs w:val="20"/>
              </w:rPr>
              <w:t>3、</w:t>
            </w:r>
            <w:r>
              <w:rPr>
                <w:rFonts w:hint="eastAsia"/>
                <w:sz w:val="20"/>
                <w:szCs w:val="20"/>
              </w:rPr>
              <w:t>现代农业发展专项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178.78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191.22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190.25</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rFonts w:hint="eastAsia"/>
                <w:sz w:val="20"/>
                <w:szCs w:val="20"/>
              </w:rPr>
            </w:pPr>
            <w:r>
              <w:rPr>
                <w:rFonts w:hint="eastAsia"/>
                <w:sz w:val="20"/>
                <w:szCs w:val="20"/>
              </w:rPr>
              <w:t xml:space="preserve">    4、早稻集中育秧督导指导</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3.94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0.06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0.06</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rFonts w:hint="eastAsia"/>
                <w:sz w:val="20"/>
                <w:szCs w:val="20"/>
              </w:rPr>
            </w:pPr>
            <w:r>
              <w:rPr>
                <w:rFonts w:hint="eastAsia"/>
                <w:sz w:val="20"/>
                <w:szCs w:val="20"/>
              </w:rPr>
              <w:t xml:space="preserve">    5、农业生产保障与服务（省级）</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25.00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rPr>
            </w:pPr>
            <w:r>
              <w:rPr>
                <w:rFonts w:hint="eastAsia"/>
                <w:sz w:val="20"/>
                <w:szCs w:val="20"/>
              </w:rPr>
              <w:t>10.17</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rFonts w:hint="eastAsia"/>
                <w:sz w:val="20"/>
                <w:szCs w:val="20"/>
              </w:rPr>
            </w:pPr>
            <w:r>
              <w:rPr>
                <w:rFonts w:hint="eastAsia"/>
                <w:sz w:val="20"/>
                <w:szCs w:val="20"/>
              </w:rPr>
              <w:t xml:space="preserve">    6、其他</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1138.50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1270.00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69.81</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rFonts w:hint="eastAsia"/>
                <w:sz w:val="20"/>
                <w:szCs w:val="20"/>
              </w:rPr>
            </w:pPr>
            <w:r>
              <w:rPr>
                <w:b/>
                <w:bCs/>
                <w:sz w:val="20"/>
                <w:szCs w:val="20"/>
              </w:rPr>
              <w:t>公用经费</w:t>
            </w:r>
            <w:r>
              <w:rPr>
                <w:rFonts w:hint="eastAsia"/>
                <w:b/>
                <w:bCs/>
                <w:sz w:val="20"/>
                <w:szCs w:val="20"/>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9.79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8.82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8.31</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2.00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1.00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1.20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717.44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63.08</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287.85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281.67</w:t>
            </w: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楼堂馆所控制情况</w:t>
            </w:r>
            <w:r>
              <w:rPr>
                <w:sz w:val="20"/>
                <w:szCs w:val="20"/>
              </w:rPr>
              <w:br w:type="textWrapping"/>
            </w:r>
            <w:r>
              <w:rPr>
                <w:sz w:val="20"/>
                <w:szCs w:val="20"/>
              </w:rPr>
              <w:t>（2023年完工项目）</w:t>
            </w:r>
          </w:p>
        </w:tc>
        <w:tc>
          <w:tcPr>
            <w:tcW w:w="118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批复规模</w:t>
            </w:r>
            <w:r>
              <w:rPr>
                <w:bCs/>
                <w:sz w:val="20"/>
                <w:szCs w:val="20"/>
              </w:rPr>
              <w:br w:type="textWrapping"/>
            </w:r>
            <w:r>
              <w:rPr>
                <w:bCs/>
                <w:sz w:val="20"/>
                <w:szCs w:val="20"/>
              </w:rPr>
              <w:t>（</w:t>
            </w:r>
            <w:r>
              <w:rPr>
                <w:rFonts w:eastAsia="宋体"/>
                <w:bCs/>
                <w:sz w:val="20"/>
                <w:szCs w:val="20"/>
              </w:rPr>
              <w:t>㎡</w:t>
            </w:r>
            <w:r>
              <w:rPr>
                <w:bCs/>
                <w:sz w:val="20"/>
                <w:szCs w:val="20"/>
              </w:rPr>
              <w:t>）</w:t>
            </w:r>
          </w:p>
        </w:tc>
        <w:tc>
          <w:tcPr>
            <w:tcW w:w="84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实际规模（</w:t>
            </w:r>
            <w:r>
              <w:rPr>
                <w:rFonts w:eastAsia="宋体"/>
                <w:bCs/>
                <w:sz w:val="20"/>
                <w:szCs w:val="20"/>
              </w:rPr>
              <w:t>㎡</w:t>
            </w:r>
            <w:r>
              <w:rPr>
                <w:bCs/>
                <w:sz w:val="20"/>
                <w:szCs w:val="20"/>
              </w:rPr>
              <w:t>）</w:t>
            </w:r>
          </w:p>
        </w:tc>
        <w:tc>
          <w:tcPr>
            <w:tcW w:w="112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投资概算控制率</w:t>
            </w:r>
          </w:p>
        </w:tc>
      </w:tr>
      <w:tr>
        <w:tblPrEx>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p>
        </w:tc>
        <w:tc>
          <w:tcPr>
            <w:tcW w:w="118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0</w:t>
            </w:r>
            <w:r>
              <w:rPr>
                <w:sz w:val="20"/>
                <w:szCs w:val="20"/>
              </w:rPr>
              <w:t>　</w:t>
            </w:r>
          </w:p>
        </w:tc>
        <w:tc>
          <w:tcPr>
            <w:tcW w:w="84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rFonts w:hint="eastAsia"/>
                <w:sz w:val="20"/>
                <w:szCs w:val="20"/>
              </w:rPr>
            </w:pPr>
            <w:r>
              <w:rPr>
                <w:sz w:val="20"/>
                <w:szCs w:val="20"/>
              </w:rPr>
              <w:t>　</w:t>
            </w:r>
            <w:r>
              <w:rPr>
                <w:rFonts w:hint="eastAsia"/>
                <w:sz w:val="20"/>
                <w:szCs w:val="20"/>
              </w:rPr>
              <w:t>0</w:t>
            </w:r>
          </w:p>
        </w:tc>
        <w:tc>
          <w:tcPr>
            <w:tcW w:w="112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rFonts w:hint="eastAsia"/>
                <w:sz w:val="20"/>
                <w:szCs w:val="20"/>
              </w:rPr>
            </w:pPr>
            <w:r>
              <w:rPr>
                <w:sz w:val="20"/>
                <w:szCs w:val="20"/>
              </w:rPr>
              <w:t>　</w:t>
            </w:r>
            <w:r>
              <w:rPr>
                <w:rFonts w:hint="eastAsia"/>
                <w:sz w:val="20"/>
                <w:szCs w:val="20"/>
              </w:rPr>
              <w:t>0</w:t>
            </w:r>
          </w:p>
        </w:tc>
        <w:tc>
          <w:tcPr>
            <w:tcW w:w="111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rFonts w:hint="eastAsia"/>
                <w:sz w:val="20"/>
                <w:szCs w:val="20"/>
              </w:rPr>
            </w:pPr>
            <w:r>
              <w:rPr>
                <w:sz w:val="20"/>
                <w:szCs w:val="20"/>
              </w:rPr>
              <w:t>　</w:t>
            </w:r>
            <w:r>
              <w:rPr>
                <w:rFonts w:hint="eastAsia"/>
                <w:sz w:val="20"/>
                <w:szCs w:val="20"/>
              </w:rPr>
              <w:t>0</w:t>
            </w:r>
          </w:p>
        </w:tc>
        <w:tc>
          <w:tcPr>
            <w:tcW w:w="108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rFonts w:hint="eastAsia"/>
                <w:sz w:val="20"/>
                <w:szCs w:val="20"/>
              </w:rPr>
            </w:pPr>
            <w:r>
              <w:rPr>
                <w:sz w:val="20"/>
                <w:szCs w:val="20"/>
              </w:rPr>
              <w:t>　</w:t>
            </w:r>
            <w:r>
              <w:rPr>
                <w:rFonts w:hint="eastAsia"/>
                <w:sz w:val="20"/>
                <w:szCs w:val="20"/>
              </w:rPr>
              <w:t>0</w:t>
            </w:r>
          </w:p>
        </w:tc>
        <w:tc>
          <w:tcPr>
            <w:tcW w:w="960"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rFonts w:hint="eastAsia"/>
                <w:sz w:val="20"/>
                <w:szCs w:val="20"/>
              </w:rPr>
            </w:pPr>
            <w:r>
              <w:rPr>
                <w:sz w:val="20"/>
                <w:szCs w:val="20"/>
              </w:rPr>
              <w:t>　</w:t>
            </w:r>
            <w:r>
              <w:rPr>
                <w:rFonts w:hint="eastAsia"/>
                <w:sz w:val="20"/>
                <w:szCs w:val="20"/>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rPr>
              <w:t>压缩公务接待、公务用车维护费支出</w:t>
            </w:r>
            <w:r>
              <w:rPr>
                <w:sz w:val="20"/>
                <w:szCs w:val="20"/>
              </w:rPr>
              <w:t>　</w:t>
            </w:r>
          </w:p>
        </w:tc>
      </w:tr>
    </w:tbl>
    <w:p>
      <w:pPr>
        <w:widowControl/>
        <w:adjustRightInd/>
        <w:snapToGrid/>
        <w:spacing w:line="400" w:lineRule="exact"/>
        <w:ind w:firstLine="0" w:firstLineChars="0"/>
        <w:jc w:val="left"/>
        <w:rPr>
          <w:rFonts w:hint="eastAsia"/>
          <w:sz w:val="22"/>
        </w:rPr>
      </w:pPr>
      <w:r>
        <w:rPr>
          <w:sz w:val="22"/>
        </w:rPr>
        <w:t>说明：“项目支出”需要填报基本支出以外的所有项目支出情况，“公用经费”填报基本支出中的一般商品和服务支出。</w:t>
      </w:r>
    </w:p>
    <w:p>
      <w:pPr>
        <w:widowControl/>
        <w:adjustRightInd/>
        <w:snapToGrid/>
        <w:ind w:firstLine="0" w:firstLineChars="0"/>
        <w:jc w:val="left"/>
        <w:rPr>
          <w:rFonts w:hint="eastAsia" w:eastAsia="黑体"/>
          <w:szCs w:val="32"/>
        </w:rPr>
      </w:pPr>
    </w:p>
    <w:p>
      <w:pPr>
        <w:widowControl/>
        <w:adjustRightInd/>
        <w:snapToGrid/>
        <w:ind w:firstLine="0" w:firstLineChars="0"/>
        <w:jc w:val="left"/>
        <w:rPr>
          <w:rFonts w:hint="eastAsia" w:eastAsia="黑体"/>
          <w:szCs w:val="32"/>
        </w:rPr>
      </w:pPr>
    </w:p>
    <w:p>
      <w:pPr>
        <w:widowControl/>
        <w:adjustRightInd/>
        <w:snapToGrid/>
        <w:ind w:firstLine="0" w:firstLineChars="0"/>
        <w:jc w:val="left"/>
        <w:rPr>
          <w:rFonts w:hint="eastAsia" w:eastAsia="黑体"/>
          <w:szCs w:val="32"/>
        </w:rPr>
      </w:pPr>
    </w:p>
    <w:p>
      <w:pPr>
        <w:widowControl/>
        <w:adjustRightInd/>
        <w:snapToGrid/>
        <w:ind w:firstLine="0" w:firstLineChars="0"/>
        <w:jc w:val="left"/>
        <w:rPr>
          <w:rFonts w:hint="eastAsia" w:eastAsia="黑体"/>
          <w:szCs w:val="32"/>
        </w:rPr>
      </w:pPr>
    </w:p>
    <w:p>
      <w:pPr>
        <w:widowControl/>
        <w:adjustRightInd/>
        <w:snapToGrid/>
        <w:ind w:firstLine="0" w:firstLineChars="0"/>
        <w:jc w:val="left"/>
        <w:rPr>
          <w:rFonts w:hint="eastAsia" w:eastAsia="黑体"/>
          <w:szCs w:val="32"/>
        </w:rPr>
      </w:pPr>
    </w:p>
    <w:p>
      <w:pPr>
        <w:widowControl/>
        <w:adjustRightInd/>
        <w:snapToGrid/>
        <w:ind w:firstLine="0" w:firstLineChars="0"/>
        <w:jc w:val="left"/>
        <w:rPr>
          <w:rFonts w:hint="eastAsia" w:eastAsia="黑体"/>
          <w:szCs w:val="32"/>
        </w:rPr>
      </w:pPr>
    </w:p>
    <w:p>
      <w:pPr>
        <w:widowControl/>
        <w:adjustRightInd/>
        <w:snapToGrid/>
        <w:ind w:firstLine="0" w:firstLineChars="0"/>
        <w:jc w:val="left"/>
        <w:rPr>
          <w:rFonts w:hint="eastAsia" w:eastAsia="黑体"/>
          <w:szCs w:val="32"/>
        </w:rPr>
      </w:pPr>
    </w:p>
    <w:p>
      <w:pPr>
        <w:widowControl/>
        <w:adjustRightInd/>
        <w:snapToGrid/>
        <w:ind w:firstLine="0" w:firstLineChars="0"/>
        <w:jc w:val="left"/>
        <w:rPr>
          <w:rFonts w:hint="eastAsia" w:eastAsia="黑体"/>
          <w:szCs w:val="32"/>
          <w:lang w:eastAsia="zh-CN"/>
        </w:rPr>
      </w:pPr>
      <w:r>
        <w:rPr>
          <w:rFonts w:eastAsia="黑体"/>
          <w:szCs w:val="32"/>
        </w:rPr>
        <w:t>附件</w:t>
      </w:r>
      <w:r>
        <w:rPr>
          <w:rFonts w:hint="eastAsia" w:eastAsia="黑体"/>
          <w:szCs w:val="32"/>
          <w:lang w:val="en-US" w:eastAsia="zh-CN"/>
        </w:rPr>
        <w:t>2</w:t>
      </w:r>
    </w:p>
    <w:p>
      <w:pPr>
        <w:widowControl/>
        <w:adjustRightInd/>
        <w:snapToGrid/>
        <w:spacing w:before="144" w:beforeLines="25" w:after="144" w:afterLines="25" w:line="500" w:lineRule="exact"/>
        <w:ind w:firstLine="0" w:firstLineChars="0"/>
        <w:jc w:val="center"/>
        <w:rPr>
          <w:rFonts w:eastAsia="方正小标宋简体"/>
          <w:color w:val="000000"/>
          <w:sz w:val="36"/>
          <w:szCs w:val="36"/>
        </w:rPr>
      </w:pPr>
      <w:r>
        <w:rPr>
          <w:rFonts w:eastAsia="方正小标宋简体"/>
          <w:color w:val="000000"/>
          <w:sz w:val="36"/>
          <w:szCs w:val="36"/>
        </w:rPr>
        <w:t>2023年度部门整体支出绩效自评表</w:t>
      </w:r>
    </w:p>
    <w:tbl>
      <w:tblPr>
        <w:tblStyle w:val="10"/>
        <w:tblW w:w="8517" w:type="dxa"/>
        <w:jc w:val="center"/>
        <w:tblInd w:w="0" w:type="dxa"/>
        <w:tblLayout w:type="fixed"/>
        <w:tblCellMar>
          <w:top w:w="0" w:type="dxa"/>
          <w:left w:w="108" w:type="dxa"/>
          <w:bottom w:w="0" w:type="dxa"/>
          <w:right w:w="108" w:type="dxa"/>
        </w:tblCellMar>
      </w:tblPr>
      <w:tblGrid>
        <w:gridCol w:w="870"/>
        <w:gridCol w:w="894"/>
        <w:gridCol w:w="647"/>
        <w:gridCol w:w="1428"/>
        <w:gridCol w:w="1184"/>
        <w:gridCol w:w="974"/>
        <w:gridCol w:w="475"/>
        <w:gridCol w:w="825"/>
        <w:gridCol w:w="1220"/>
      </w:tblGrid>
      <w:tr>
        <w:tblPrEx>
          <w:tblLayout w:type="fixed"/>
          <w:tblCellMar>
            <w:top w:w="0" w:type="dxa"/>
            <w:left w:w="108" w:type="dxa"/>
            <w:bottom w:w="0" w:type="dxa"/>
            <w:right w:w="108" w:type="dxa"/>
          </w:tblCellMar>
        </w:tblPrEx>
        <w:trPr>
          <w:jc w:val="center"/>
        </w:trPr>
        <w:tc>
          <w:tcPr>
            <w:tcW w:w="2411"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省级预算部门、单位名称</w:t>
            </w:r>
          </w:p>
        </w:tc>
        <w:tc>
          <w:tcPr>
            <w:tcW w:w="6106" w:type="dxa"/>
            <w:gridSpan w:val="6"/>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rFonts w:hint="eastAsia"/>
                <w:color w:val="000000"/>
                <w:sz w:val="20"/>
                <w:szCs w:val="20"/>
              </w:rPr>
              <w:t>湖南省农业农村信息中心</w:t>
            </w:r>
            <w:r>
              <w:rPr>
                <w:color w:val="000000"/>
                <w:sz w:val="20"/>
                <w:szCs w:val="20"/>
              </w:rPr>
              <w:t>　</w:t>
            </w:r>
          </w:p>
        </w:tc>
      </w:tr>
      <w:tr>
        <w:tblPrEx>
          <w:tblLayout w:type="fixed"/>
          <w:tblCellMar>
            <w:top w:w="0" w:type="dxa"/>
            <w:left w:w="108" w:type="dxa"/>
            <w:bottom w:w="0" w:type="dxa"/>
            <w:right w:w="108" w:type="dxa"/>
          </w:tblCellMar>
        </w:tblPrEx>
        <w:trPr>
          <w:jc w:val="center"/>
        </w:trPr>
        <w:tc>
          <w:tcPr>
            <w:tcW w:w="870" w:type="dxa"/>
            <w:vMerge w:val="restart"/>
            <w:tcBorders>
              <w:top w:val="nil"/>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年度预</w:t>
            </w:r>
          </w:p>
          <w:p>
            <w:pPr>
              <w:widowControl/>
              <w:adjustRightInd/>
              <w:snapToGrid/>
              <w:spacing w:line="240" w:lineRule="exact"/>
              <w:ind w:firstLine="0" w:firstLineChars="0"/>
              <w:jc w:val="center"/>
              <w:rPr>
                <w:color w:val="000000"/>
                <w:sz w:val="20"/>
                <w:szCs w:val="20"/>
              </w:rPr>
            </w:pPr>
            <w:r>
              <w:rPr>
                <w:color w:val="000000"/>
                <w:sz w:val="20"/>
                <w:szCs w:val="20"/>
              </w:rPr>
              <w:t>算申请</w:t>
            </w:r>
            <w:r>
              <w:rPr>
                <w:color w:val="000000"/>
                <w:sz w:val="20"/>
                <w:szCs w:val="20"/>
              </w:rPr>
              <w:br w:type="textWrapping"/>
            </w:r>
            <w:r>
              <w:rPr>
                <w:color w:val="000000"/>
                <w:sz w:val="20"/>
                <w:szCs w:val="20"/>
              </w:rPr>
              <w:t>（万元）</w:t>
            </w:r>
          </w:p>
        </w:tc>
        <w:tc>
          <w:tcPr>
            <w:tcW w:w="1541" w:type="dxa"/>
            <w:gridSpan w:val="2"/>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p>
        </w:tc>
        <w:tc>
          <w:tcPr>
            <w:tcW w:w="1428"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年初预算数</w:t>
            </w:r>
          </w:p>
        </w:tc>
        <w:tc>
          <w:tcPr>
            <w:tcW w:w="1184"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全年预算数</w:t>
            </w:r>
          </w:p>
        </w:tc>
        <w:tc>
          <w:tcPr>
            <w:tcW w:w="974"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全年</w:t>
            </w:r>
            <w:r>
              <w:rPr>
                <w:rFonts w:hint="eastAsia"/>
                <w:sz w:val="20"/>
                <w:szCs w:val="20"/>
              </w:rPr>
              <w:t xml:space="preserve">   </w:t>
            </w:r>
            <w:r>
              <w:rPr>
                <w:sz w:val="20"/>
                <w:szCs w:val="20"/>
              </w:rPr>
              <w:t>执行数</w:t>
            </w:r>
          </w:p>
        </w:tc>
        <w:tc>
          <w:tcPr>
            <w:tcW w:w="475"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分值</w:t>
            </w:r>
          </w:p>
        </w:tc>
        <w:tc>
          <w:tcPr>
            <w:tcW w:w="825"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执行率</w:t>
            </w:r>
          </w:p>
        </w:tc>
        <w:tc>
          <w:tcPr>
            <w:tcW w:w="1220"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自评得分</w:t>
            </w:r>
          </w:p>
        </w:tc>
      </w:tr>
      <w:tr>
        <w:tblPrEx>
          <w:tblLayout w:type="fixed"/>
          <w:tblCellMar>
            <w:top w:w="0" w:type="dxa"/>
            <w:left w:w="108" w:type="dxa"/>
            <w:bottom w:w="0" w:type="dxa"/>
            <w:right w:w="108" w:type="dxa"/>
          </w:tblCellMar>
        </w:tblPrEx>
        <w:trPr>
          <w:jc w:val="center"/>
        </w:trPr>
        <w:tc>
          <w:tcPr>
            <w:tcW w:w="870" w:type="dxa"/>
            <w:vMerge w:val="continue"/>
            <w:tcBorders>
              <w:top w:val="nil"/>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1541" w:type="dxa"/>
            <w:gridSpan w:val="2"/>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color w:val="000000"/>
                <w:sz w:val="20"/>
                <w:szCs w:val="20"/>
              </w:rPr>
              <w:t>年度资金总额</w:t>
            </w:r>
          </w:p>
        </w:tc>
        <w:tc>
          <w:tcPr>
            <w:tcW w:w="1428"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rFonts w:hint="eastAsia"/>
                <w:sz w:val="20"/>
                <w:szCs w:val="20"/>
              </w:rPr>
            </w:pPr>
            <w:r>
              <w:rPr>
                <w:rFonts w:hint="eastAsia"/>
                <w:sz w:val="20"/>
                <w:szCs w:val="20"/>
              </w:rPr>
              <w:t>1768.72</w:t>
            </w:r>
          </w:p>
        </w:tc>
        <w:tc>
          <w:tcPr>
            <w:tcW w:w="1184"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rFonts w:hint="eastAsia"/>
                <w:sz w:val="20"/>
                <w:szCs w:val="20"/>
              </w:rPr>
            </w:pPr>
            <w:r>
              <w:rPr>
                <w:rFonts w:hint="eastAsia"/>
                <w:sz w:val="20"/>
                <w:szCs w:val="20"/>
              </w:rPr>
              <w:t>1952.55</w:t>
            </w:r>
          </w:p>
        </w:tc>
        <w:tc>
          <w:tcPr>
            <w:tcW w:w="974"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rFonts w:hint="eastAsia"/>
                <w:sz w:val="20"/>
                <w:szCs w:val="20"/>
              </w:rPr>
            </w:pPr>
            <w:r>
              <w:rPr>
                <w:rFonts w:hint="eastAsia"/>
                <w:sz w:val="20"/>
                <w:szCs w:val="20"/>
              </w:rPr>
              <w:t>726.79</w:t>
            </w:r>
          </w:p>
        </w:tc>
        <w:tc>
          <w:tcPr>
            <w:tcW w:w="475"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b/>
                <w:bCs/>
                <w:sz w:val="20"/>
                <w:szCs w:val="20"/>
              </w:rPr>
              <w:t>10</w:t>
            </w:r>
          </w:p>
        </w:tc>
        <w:tc>
          <w:tcPr>
            <w:tcW w:w="825"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rFonts w:hint="eastAsia"/>
                <w:sz w:val="20"/>
                <w:szCs w:val="20"/>
              </w:rPr>
            </w:pPr>
            <w:r>
              <w:rPr>
                <w:rFonts w:hint="eastAsia"/>
                <w:sz w:val="20"/>
                <w:szCs w:val="20"/>
              </w:rPr>
              <w:t>37.22%</w:t>
            </w:r>
          </w:p>
        </w:tc>
        <w:tc>
          <w:tcPr>
            <w:tcW w:w="1220"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rFonts w:hint="eastAsia"/>
                <w:sz w:val="20"/>
                <w:szCs w:val="20"/>
              </w:rPr>
            </w:pPr>
            <w:r>
              <w:rPr>
                <w:rFonts w:hint="eastAsia"/>
                <w:sz w:val="20"/>
                <w:szCs w:val="20"/>
              </w:rPr>
              <w:t>6</w:t>
            </w: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4153"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按收入性质分：</w:t>
            </w:r>
          </w:p>
        </w:tc>
        <w:tc>
          <w:tcPr>
            <w:tcW w:w="3494"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按支出性质分：</w:t>
            </w: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4153"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20"/>
                <w:szCs w:val="20"/>
              </w:rPr>
            </w:pPr>
            <w:r>
              <w:rPr>
                <w:color w:val="000000"/>
                <w:sz w:val="20"/>
                <w:szCs w:val="20"/>
              </w:rPr>
              <w:t xml:space="preserve">  其中：  一般公共预算：</w:t>
            </w:r>
            <w:r>
              <w:rPr>
                <w:rFonts w:hint="eastAsia"/>
                <w:color w:val="000000"/>
                <w:sz w:val="20"/>
                <w:szCs w:val="20"/>
              </w:rPr>
              <w:t>1952.55</w:t>
            </w:r>
          </w:p>
        </w:tc>
        <w:tc>
          <w:tcPr>
            <w:tcW w:w="3494"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20"/>
                <w:szCs w:val="20"/>
              </w:rPr>
            </w:pPr>
            <w:r>
              <w:rPr>
                <w:color w:val="000000"/>
                <w:sz w:val="20"/>
                <w:szCs w:val="20"/>
              </w:rPr>
              <w:t>其中：基本支出：</w:t>
            </w:r>
            <w:r>
              <w:rPr>
                <w:rFonts w:hint="eastAsia"/>
                <w:color w:val="000000"/>
                <w:sz w:val="20"/>
                <w:szCs w:val="20"/>
              </w:rPr>
              <w:t>281.67</w:t>
            </w: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4153"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20"/>
                <w:szCs w:val="20"/>
              </w:rPr>
            </w:pPr>
            <w:r>
              <w:rPr>
                <w:color w:val="000000"/>
                <w:sz w:val="20"/>
                <w:szCs w:val="20"/>
              </w:rPr>
              <w:t>政府性基金拨款：</w:t>
            </w:r>
            <w:r>
              <w:rPr>
                <w:rFonts w:hint="eastAsia"/>
                <w:color w:val="000000"/>
                <w:sz w:val="20"/>
                <w:szCs w:val="20"/>
              </w:rPr>
              <w:t>0</w:t>
            </w:r>
          </w:p>
        </w:tc>
        <w:tc>
          <w:tcPr>
            <w:tcW w:w="3494"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20"/>
                <w:szCs w:val="20"/>
              </w:rPr>
            </w:pPr>
            <w:r>
              <w:rPr>
                <w:color w:val="000000"/>
                <w:sz w:val="20"/>
                <w:szCs w:val="20"/>
              </w:rPr>
              <w:t>项目支出：</w:t>
            </w:r>
            <w:r>
              <w:rPr>
                <w:rFonts w:hint="eastAsia"/>
                <w:color w:val="000000"/>
                <w:sz w:val="20"/>
                <w:szCs w:val="20"/>
              </w:rPr>
              <w:t>445.12</w:t>
            </w: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4153"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20"/>
                <w:szCs w:val="20"/>
              </w:rPr>
            </w:pPr>
            <w:r>
              <w:rPr>
                <w:color w:val="000000"/>
                <w:sz w:val="20"/>
                <w:szCs w:val="20"/>
              </w:rPr>
              <w:t>纳入专户管理的非税收入拨款：</w:t>
            </w:r>
            <w:r>
              <w:rPr>
                <w:rFonts w:hint="eastAsia"/>
                <w:color w:val="000000"/>
                <w:sz w:val="20"/>
                <w:szCs w:val="20"/>
              </w:rPr>
              <w:t>0</w:t>
            </w:r>
          </w:p>
        </w:tc>
        <w:tc>
          <w:tcPr>
            <w:tcW w:w="3494"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bottom w:val="single" w:color="000000"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4153"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20"/>
                <w:szCs w:val="20"/>
              </w:rPr>
            </w:pPr>
            <w:r>
              <w:rPr>
                <w:color w:val="000000"/>
                <w:sz w:val="20"/>
                <w:szCs w:val="20"/>
              </w:rPr>
              <w:t>其他资金：</w:t>
            </w:r>
            <w:r>
              <w:rPr>
                <w:rFonts w:hint="eastAsia"/>
                <w:color w:val="000000"/>
                <w:sz w:val="20"/>
                <w:szCs w:val="20"/>
              </w:rPr>
              <w:t>0</w:t>
            </w:r>
          </w:p>
        </w:tc>
        <w:tc>
          <w:tcPr>
            <w:tcW w:w="3494"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r>
      <w:tr>
        <w:tblPrEx>
          <w:tblLayout w:type="fixed"/>
          <w:tblCellMar>
            <w:top w:w="0" w:type="dxa"/>
            <w:left w:w="108" w:type="dxa"/>
            <w:bottom w:w="0" w:type="dxa"/>
            <w:right w:w="108" w:type="dxa"/>
          </w:tblCellMar>
        </w:tblPrEx>
        <w:trPr>
          <w:jc w:val="center"/>
        </w:trPr>
        <w:tc>
          <w:tcPr>
            <w:tcW w:w="870" w:type="dxa"/>
            <w:vMerge w:val="restart"/>
            <w:tcBorders>
              <w:top w:val="nil"/>
              <w:left w:val="single" w:color="auto" w:sz="4" w:space="0"/>
              <w:bottom w:val="single" w:color="000000"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年度总体目标</w:t>
            </w:r>
          </w:p>
        </w:tc>
        <w:tc>
          <w:tcPr>
            <w:tcW w:w="4153" w:type="dxa"/>
            <w:gridSpan w:val="4"/>
            <w:tcBorders>
              <w:top w:val="single" w:color="auto" w:sz="4" w:space="0"/>
              <w:left w:val="nil"/>
              <w:bottom w:val="single" w:color="auto" w:sz="4" w:space="0"/>
              <w:right w:val="single" w:color="000000"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预期目标</w:t>
            </w:r>
          </w:p>
        </w:tc>
        <w:tc>
          <w:tcPr>
            <w:tcW w:w="3494" w:type="dxa"/>
            <w:gridSpan w:val="4"/>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实际完成情况　</w:t>
            </w:r>
          </w:p>
        </w:tc>
      </w:tr>
      <w:tr>
        <w:tblPrEx>
          <w:tblLayout w:type="fixed"/>
          <w:tblCellMar>
            <w:top w:w="0" w:type="dxa"/>
            <w:left w:w="108" w:type="dxa"/>
            <w:bottom w:w="0" w:type="dxa"/>
            <w:right w:w="108" w:type="dxa"/>
          </w:tblCellMar>
        </w:tblPrEx>
        <w:trPr>
          <w:trHeight w:val="2895" w:hRule="atLeast"/>
          <w:jc w:val="center"/>
        </w:trPr>
        <w:tc>
          <w:tcPr>
            <w:tcW w:w="870" w:type="dxa"/>
            <w:vMerge w:val="continue"/>
            <w:tcBorders>
              <w:top w:val="nil"/>
              <w:left w:val="single" w:color="auto" w:sz="4" w:space="0"/>
              <w:bottom w:val="single" w:color="000000"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4153" w:type="dxa"/>
            <w:gridSpan w:val="4"/>
            <w:tcBorders>
              <w:top w:val="single" w:color="auto" w:sz="4" w:space="0"/>
              <w:left w:val="nil"/>
              <w:bottom w:val="single" w:color="auto" w:sz="4" w:space="0"/>
              <w:right w:val="single" w:color="000000" w:sz="4" w:space="0"/>
            </w:tcBorders>
            <w:noWrap w:val="0"/>
            <w:vAlign w:val="center"/>
          </w:tcPr>
          <w:p>
            <w:pPr>
              <w:widowControl/>
              <w:adjustRightInd/>
              <w:snapToGrid/>
              <w:spacing w:line="240" w:lineRule="exact"/>
              <w:ind w:firstLine="0" w:firstLineChars="0"/>
              <w:jc w:val="left"/>
              <w:rPr>
                <w:color w:val="000000"/>
                <w:sz w:val="20"/>
                <w:szCs w:val="20"/>
              </w:rPr>
            </w:pPr>
            <w:r>
              <w:rPr>
                <w:rFonts w:hint="eastAsia"/>
                <w:color w:val="000000"/>
                <w:sz w:val="20"/>
                <w:szCs w:val="20"/>
              </w:rPr>
              <w:t xml:space="preserve">加强厅网络系统基础运维、安全管理，实施厅网络硬件替旧更新，确保网络系统安全运行；强化省农业农村厅官网官微建管，积极宣传贯彻党的强农惠农政策；抓好12316“双号并行”，提供政策法规、农业科技、市场资讯服务，受理群众投诉举报和咨询，提高为农信息服务质量水平；推进农业农村政务信息系统建设，强化数据共享利用；建设湖南“五彩湘茶”、“湘九味”中药材、“洞庭湘米”、“早熟油菜”等优势特色产业集群信息系统，推动品牌升级，促进优势特色产业高质量发展。                                    </w:t>
            </w:r>
          </w:p>
        </w:tc>
        <w:tc>
          <w:tcPr>
            <w:tcW w:w="3494" w:type="dxa"/>
            <w:gridSpan w:val="4"/>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rFonts w:hint="eastAsia"/>
                <w:color w:val="000000"/>
                <w:sz w:val="20"/>
                <w:szCs w:val="20"/>
              </w:rPr>
              <w:t>保障厅网络系统、政务信息系统稳定顺畅运行，未发生重大故障和重大网络安全事件；抓好厅官网官微建管，深入宣传贯彻党的方针政策，有力维护网络意识形态安全；加强12316与省级12345热线平台并行管理，及时受理工单，建设农业农村知识库和信息服务专家团队；抓好涉农网络舆情监测处置；保障政务系统正常运行，推进系统对接和数据共享；完成湖南农业优势特色产业集群信息系统项目（一期）招标采购，推进项目实施投用。</w:t>
            </w:r>
          </w:p>
        </w:tc>
      </w:tr>
      <w:tr>
        <w:tblPrEx>
          <w:tblLayout w:type="fixed"/>
          <w:tblCellMar>
            <w:top w:w="0" w:type="dxa"/>
            <w:left w:w="108" w:type="dxa"/>
            <w:bottom w:w="0" w:type="dxa"/>
            <w:right w:w="108" w:type="dxa"/>
          </w:tblCellMar>
        </w:tblPrEx>
        <w:trPr>
          <w:jc w:val="center"/>
        </w:trPr>
        <w:tc>
          <w:tcPr>
            <w:tcW w:w="870" w:type="dxa"/>
            <w:vMerge w:val="restart"/>
            <w:tcBorders>
              <w:top w:val="nil"/>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绩</w:t>
            </w:r>
          </w:p>
          <w:p>
            <w:pPr>
              <w:widowControl/>
              <w:adjustRightInd/>
              <w:snapToGrid/>
              <w:spacing w:line="240" w:lineRule="exact"/>
              <w:ind w:firstLine="0" w:firstLineChars="0"/>
              <w:jc w:val="center"/>
              <w:rPr>
                <w:color w:val="000000"/>
                <w:sz w:val="20"/>
                <w:szCs w:val="20"/>
              </w:rPr>
            </w:pPr>
            <w:r>
              <w:rPr>
                <w:color w:val="000000"/>
                <w:sz w:val="20"/>
                <w:szCs w:val="20"/>
              </w:rPr>
              <w:t>效</w:t>
            </w:r>
          </w:p>
          <w:p>
            <w:pPr>
              <w:widowControl/>
              <w:adjustRightInd/>
              <w:snapToGrid/>
              <w:spacing w:line="240" w:lineRule="exact"/>
              <w:ind w:firstLine="0" w:firstLineChars="0"/>
              <w:jc w:val="center"/>
              <w:rPr>
                <w:color w:val="000000"/>
                <w:sz w:val="20"/>
                <w:szCs w:val="20"/>
              </w:rPr>
            </w:pPr>
            <w:r>
              <w:rPr>
                <w:color w:val="000000"/>
                <w:sz w:val="20"/>
                <w:szCs w:val="20"/>
              </w:rPr>
              <w:t>指</w:t>
            </w:r>
          </w:p>
          <w:p>
            <w:pPr>
              <w:widowControl/>
              <w:adjustRightInd/>
              <w:snapToGrid/>
              <w:spacing w:line="240" w:lineRule="exact"/>
              <w:ind w:firstLine="0" w:firstLineChars="0"/>
              <w:jc w:val="center"/>
              <w:rPr>
                <w:color w:val="000000"/>
                <w:sz w:val="20"/>
                <w:szCs w:val="20"/>
              </w:rPr>
            </w:pPr>
            <w:r>
              <w:rPr>
                <w:color w:val="000000"/>
                <w:sz w:val="20"/>
                <w:szCs w:val="20"/>
              </w:rPr>
              <w:t>标</w:t>
            </w:r>
          </w:p>
        </w:tc>
        <w:tc>
          <w:tcPr>
            <w:tcW w:w="89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b/>
                <w:bCs/>
                <w:color w:val="000000"/>
                <w:sz w:val="20"/>
                <w:szCs w:val="20"/>
              </w:rPr>
            </w:pPr>
            <w:r>
              <w:rPr>
                <w:b/>
                <w:bCs/>
                <w:color w:val="000000"/>
                <w:sz w:val="20"/>
                <w:szCs w:val="20"/>
              </w:rPr>
              <w:t>一级</w:t>
            </w:r>
            <w:r>
              <w:rPr>
                <w:rFonts w:hint="eastAsia"/>
                <w:b/>
                <w:bCs/>
                <w:color w:val="000000"/>
                <w:sz w:val="20"/>
                <w:szCs w:val="20"/>
              </w:rPr>
              <w:t xml:space="preserve">  </w:t>
            </w:r>
            <w:r>
              <w:rPr>
                <w:b/>
                <w:bCs/>
                <w:color w:val="000000"/>
                <w:sz w:val="20"/>
                <w:szCs w:val="20"/>
              </w:rPr>
              <w:t>指标</w:t>
            </w:r>
          </w:p>
        </w:tc>
        <w:tc>
          <w:tcPr>
            <w:tcW w:w="647"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b/>
                <w:bCs/>
                <w:color w:val="000000"/>
                <w:sz w:val="20"/>
                <w:szCs w:val="20"/>
              </w:rPr>
            </w:pPr>
            <w:r>
              <w:rPr>
                <w:b/>
                <w:bCs/>
                <w:color w:val="000000"/>
                <w:sz w:val="20"/>
                <w:szCs w:val="20"/>
              </w:rPr>
              <w:t>二级</w:t>
            </w:r>
            <w:r>
              <w:rPr>
                <w:rFonts w:hint="eastAsia"/>
                <w:b/>
                <w:bCs/>
                <w:color w:val="000000"/>
                <w:sz w:val="20"/>
                <w:szCs w:val="20"/>
              </w:rPr>
              <w:t xml:space="preserve">  </w:t>
            </w:r>
            <w:r>
              <w:rPr>
                <w:b/>
                <w:bCs/>
                <w:color w:val="000000"/>
                <w:sz w:val="20"/>
                <w:szCs w:val="20"/>
              </w:rPr>
              <w:t>指标</w:t>
            </w: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b/>
                <w:bCs/>
                <w:color w:val="000000"/>
                <w:sz w:val="20"/>
                <w:szCs w:val="20"/>
              </w:rPr>
            </w:pPr>
            <w:r>
              <w:rPr>
                <w:b/>
                <w:bCs/>
                <w:color w:val="000000"/>
                <w:sz w:val="20"/>
                <w:szCs w:val="20"/>
              </w:rPr>
              <w:t>三级指标</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b/>
                <w:bCs/>
                <w:color w:val="000000"/>
                <w:sz w:val="20"/>
                <w:szCs w:val="20"/>
              </w:rPr>
            </w:pPr>
            <w:r>
              <w:rPr>
                <w:b/>
                <w:bCs/>
                <w:color w:val="000000"/>
                <w:sz w:val="20"/>
                <w:szCs w:val="20"/>
              </w:rPr>
              <w:t>年度指标值</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b/>
                <w:bCs/>
                <w:color w:val="000000"/>
                <w:sz w:val="20"/>
                <w:szCs w:val="20"/>
              </w:rPr>
            </w:pPr>
            <w:r>
              <w:rPr>
                <w:b/>
                <w:bCs/>
                <w:color w:val="000000"/>
                <w:sz w:val="20"/>
                <w:szCs w:val="20"/>
              </w:rPr>
              <w:t>实际</w:t>
            </w:r>
            <w:r>
              <w:rPr>
                <w:rFonts w:hint="eastAsia"/>
                <w:b/>
                <w:bCs/>
                <w:color w:val="000000"/>
                <w:sz w:val="20"/>
                <w:szCs w:val="20"/>
              </w:rPr>
              <w:t xml:space="preserve">    </w:t>
            </w:r>
            <w:r>
              <w:rPr>
                <w:b/>
                <w:bCs/>
                <w:color w:val="000000"/>
                <w:sz w:val="20"/>
                <w:szCs w:val="20"/>
              </w:rPr>
              <w:t>完成值</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b/>
                <w:bCs/>
                <w:color w:val="000000"/>
                <w:sz w:val="20"/>
                <w:szCs w:val="20"/>
              </w:rPr>
            </w:pPr>
            <w:r>
              <w:rPr>
                <w:b/>
                <w:bCs/>
                <w:color w:val="000000"/>
                <w:sz w:val="20"/>
                <w:szCs w:val="20"/>
              </w:rPr>
              <w:t>分值</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b/>
                <w:bCs/>
                <w:color w:val="000000"/>
                <w:sz w:val="20"/>
                <w:szCs w:val="20"/>
              </w:rPr>
            </w:pPr>
            <w:r>
              <w:rPr>
                <w:b/>
                <w:bCs/>
                <w:color w:val="000000"/>
                <w:sz w:val="20"/>
                <w:szCs w:val="20"/>
              </w:rPr>
              <w:t>自评</w:t>
            </w:r>
          </w:p>
          <w:p>
            <w:pPr>
              <w:widowControl/>
              <w:adjustRightInd/>
              <w:snapToGrid/>
              <w:spacing w:line="240" w:lineRule="exact"/>
              <w:ind w:firstLine="0" w:firstLineChars="0"/>
              <w:jc w:val="center"/>
              <w:rPr>
                <w:b/>
                <w:bCs/>
                <w:color w:val="000000"/>
                <w:sz w:val="20"/>
                <w:szCs w:val="20"/>
              </w:rPr>
            </w:pPr>
            <w:r>
              <w:rPr>
                <w:b/>
                <w:bCs/>
                <w:color w:val="000000"/>
                <w:sz w:val="20"/>
                <w:szCs w:val="20"/>
              </w:rPr>
              <w:t>得分</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b/>
                <w:bCs/>
                <w:color w:val="000000"/>
                <w:sz w:val="20"/>
                <w:szCs w:val="20"/>
              </w:rPr>
            </w:pPr>
            <w:r>
              <w:rPr>
                <w:b/>
                <w:bCs/>
                <w:color w:val="000000"/>
                <w:sz w:val="20"/>
                <w:szCs w:val="20"/>
              </w:rPr>
              <w:t>偏差原因</w:t>
            </w:r>
            <w:r>
              <w:rPr>
                <w:rFonts w:hint="eastAsia"/>
                <w:b/>
                <w:bCs/>
                <w:color w:val="000000"/>
                <w:sz w:val="20"/>
                <w:szCs w:val="20"/>
              </w:rPr>
              <w:t xml:space="preserve"> </w:t>
            </w:r>
            <w:r>
              <w:rPr>
                <w:b/>
                <w:bCs/>
                <w:color w:val="000000"/>
                <w:sz w:val="20"/>
                <w:szCs w:val="20"/>
              </w:rPr>
              <w:t>分析及改进措施</w:t>
            </w: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restart"/>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产出</w:t>
            </w:r>
            <w:r>
              <w:rPr>
                <w:rFonts w:hint="eastAsia"/>
                <w:color w:val="000000"/>
                <w:sz w:val="20"/>
                <w:szCs w:val="20"/>
              </w:rPr>
              <w:t xml:space="preserve">  </w:t>
            </w:r>
            <w:r>
              <w:rPr>
                <w:color w:val="000000"/>
                <w:sz w:val="20"/>
                <w:szCs w:val="20"/>
              </w:rPr>
              <w:t>指标</w:t>
            </w:r>
          </w:p>
          <w:p>
            <w:pPr>
              <w:widowControl/>
              <w:adjustRightInd/>
              <w:snapToGrid/>
              <w:spacing w:line="240" w:lineRule="exact"/>
              <w:ind w:firstLine="0" w:firstLineChars="0"/>
              <w:jc w:val="center"/>
              <w:rPr>
                <w:color w:val="000000"/>
                <w:sz w:val="20"/>
                <w:szCs w:val="20"/>
              </w:rPr>
            </w:pPr>
          </w:p>
          <w:p>
            <w:pPr>
              <w:widowControl/>
              <w:adjustRightInd/>
              <w:snapToGrid/>
              <w:spacing w:line="240" w:lineRule="exact"/>
              <w:ind w:firstLine="0" w:firstLineChars="0"/>
              <w:jc w:val="center"/>
              <w:rPr>
                <w:color w:val="000000"/>
                <w:sz w:val="20"/>
                <w:szCs w:val="20"/>
              </w:rPr>
            </w:pPr>
            <w:r>
              <w:rPr>
                <w:color w:val="000000"/>
                <w:sz w:val="20"/>
                <w:szCs w:val="20"/>
              </w:rPr>
              <w:t>(50分)</w:t>
            </w:r>
          </w:p>
        </w:tc>
        <w:tc>
          <w:tcPr>
            <w:tcW w:w="647" w:type="dxa"/>
            <w:vMerge w:val="restart"/>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数量</w:t>
            </w:r>
            <w:r>
              <w:rPr>
                <w:rFonts w:hint="eastAsia"/>
                <w:color w:val="000000"/>
                <w:sz w:val="20"/>
                <w:szCs w:val="20"/>
              </w:rPr>
              <w:t xml:space="preserve">  </w:t>
            </w:r>
            <w:r>
              <w:rPr>
                <w:color w:val="000000"/>
                <w:sz w:val="20"/>
                <w:szCs w:val="20"/>
              </w:rPr>
              <w:t>指标</w:t>
            </w: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加强网络和信息系统运行维护与安全管理，全面开展漏洞扫描和安全巡检</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24次</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24次</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trHeight w:val="261" w:hRule="atLeast"/>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发布农业农村政务、政策法规、科技和市场资讯</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1.3万条</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1.81万条</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trHeight w:val="261" w:hRule="atLeast"/>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建立政策法规、农业科技知识库</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1万条</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1.37万条</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trHeight w:val="261" w:hRule="atLeast"/>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开展农产品电商行情监测，发布监测周报</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50期</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50期</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1</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1</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trHeight w:val="261" w:hRule="atLeast"/>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监测涉农网络舆情，编制《网情择要》周报快报</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52期</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71期</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trHeight w:val="261" w:hRule="atLeast"/>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承办视频会议或线上活动</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150场次</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211场次</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3</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3</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trHeight w:val="261" w:hRule="atLeast"/>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累计采集接入农业农村政务数据</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25亿条</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26.8亿条</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3</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3</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trHeight w:val="261" w:hRule="atLeast"/>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sz w:val="18"/>
                <w:szCs w:val="18"/>
              </w:rPr>
            </w:pPr>
            <w:r>
              <w:rPr>
                <w:rFonts w:hint="eastAsia"/>
                <w:sz w:val="18"/>
                <w:szCs w:val="18"/>
              </w:rPr>
              <w:t>更新网络硬件</w:t>
            </w:r>
            <w:r>
              <w:rPr>
                <w:rFonts w:hint="eastAsia"/>
                <w:sz w:val="18"/>
                <w:szCs w:val="18"/>
              </w:rPr>
              <w:br w:type="textWrapping"/>
            </w:r>
            <w:r>
              <w:rPr>
                <w:rFonts w:hint="eastAsia"/>
                <w:sz w:val="18"/>
                <w:szCs w:val="18"/>
              </w:rPr>
              <w:t>软件设备</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sz w:val="18"/>
                <w:szCs w:val="18"/>
              </w:rPr>
            </w:pPr>
            <w:r>
              <w:rPr>
                <w:rFonts w:hint="eastAsia"/>
                <w:sz w:val="18"/>
                <w:szCs w:val="18"/>
              </w:rPr>
              <w:t>5项</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sz w:val="18"/>
                <w:szCs w:val="18"/>
              </w:rPr>
            </w:pPr>
            <w:r>
              <w:rPr>
                <w:rFonts w:hint="eastAsia"/>
                <w:sz w:val="18"/>
                <w:szCs w:val="18"/>
              </w:rPr>
              <w:t>9项</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sz w:val="18"/>
                <w:szCs w:val="18"/>
              </w:rPr>
            </w:pPr>
            <w:r>
              <w:rPr>
                <w:rFonts w:hint="eastAsia"/>
                <w:sz w:val="18"/>
                <w:szCs w:val="18"/>
              </w:rPr>
              <w:t>1</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sz w:val="18"/>
                <w:szCs w:val="18"/>
              </w:rPr>
            </w:pPr>
            <w:r>
              <w:rPr>
                <w:rFonts w:hint="eastAsia"/>
                <w:sz w:val="18"/>
                <w:szCs w:val="18"/>
              </w:rPr>
              <w:t>1</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有效维护网络设施设备</w:t>
            </w:r>
          </w:p>
        </w:tc>
        <w:tc>
          <w:tcPr>
            <w:tcW w:w="118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800次</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940次</w:t>
            </w:r>
          </w:p>
        </w:tc>
        <w:tc>
          <w:tcPr>
            <w:tcW w:w="4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质量</w:t>
            </w:r>
            <w:r>
              <w:rPr>
                <w:rFonts w:hint="eastAsia"/>
                <w:color w:val="000000"/>
                <w:sz w:val="20"/>
                <w:szCs w:val="20"/>
              </w:rPr>
              <w:t xml:space="preserve">  </w:t>
            </w:r>
            <w:r>
              <w:rPr>
                <w:color w:val="000000"/>
                <w:sz w:val="20"/>
                <w:szCs w:val="20"/>
              </w:rPr>
              <w:t>指标</w:t>
            </w:r>
          </w:p>
        </w:tc>
        <w:tc>
          <w:tcPr>
            <w:tcW w:w="14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厅网络系统重大故障</w:t>
            </w:r>
          </w:p>
        </w:tc>
        <w:tc>
          <w:tcPr>
            <w:tcW w:w="118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0次</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0次</w:t>
            </w:r>
          </w:p>
        </w:tc>
        <w:tc>
          <w:tcPr>
            <w:tcW w:w="4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重大网络安全事件</w:t>
            </w:r>
          </w:p>
        </w:tc>
        <w:tc>
          <w:tcPr>
            <w:tcW w:w="1184"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0次</w:t>
            </w:r>
          </w:p>
        </w:tc>
        <w:tc>
          <w:tcPr>
            <w:tcW w:w="974"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0次</w:t>
            </w:r>
          </w:p>
        </w:tc>
        <w:tc>
          <w:tcPr>
            <w:tcW w:w="47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trHeight w:val="508" w:hRule="atLeast"/>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政务信息系统重大故障</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0次</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0次</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网络意识形态领域事件</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0次</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0次</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restart"/>
            <w:tcBorders>
              <w:top w:val="single" w:color="auto" w:sz="4" w:space="0"/>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时效</w:t>
            </w:r>
            <w:r>
              <w:rPr>
                <w:rFonts w:hint="eastAsia"/>
                <w:color w:val="000000"/>
                <w:sz w:val="20"/>
                <w:szCs w:val="20"/>
              </w:rPr>
              <w:t xml:space="preserve">  </w:t>
            </w:r>
            <w:r>
              <w:rPr>
                <w:color w:val="000000"/>
                <w:sz w:val="20"/>
                <w:szCs w:val="20"/>
              </w:rPr>
              <w:t>指标</w:t>
            </w:r>
          </w:p>
        </w:tc>
        <w:tc>
          <w:tcPr>
            <w:tcW w:w="142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rPr>
                <w:color w:val="000000"/>
                <w:sz w:val="18"/>
                <w:szCs w:val="18"/>
              </w:rPr>
            </w:pPr>
            <w:r>
              <w:rPr>
                <w:rFonts w:hint="eastAsia"/>
                <w:color w:val="000000"/>
                <w:sz w:val="18"/>
                <w:szCs w:val="18"/>
              </w:rPr>
              <w:t>厅官网官微栏目和内容维护</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3小时内</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2小时内</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142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rPr>
                <w:color w:val="000000"/>
                <w:sz w:val="18"/>
                <w:szCs w:val="18"/>
              </w:rPr>
            </w:pPr>
            <w:r>
              <w:rPr>
                <w:rFonts w:hint="eastAsia"/>
                <w:color w:val="000000"/>
                <w:sz w:val="18"/>
                <w:szCs w:val="18"/>
              </w:rPr>
              <w:t>处置网络问题</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及时替旧更新必要的网络设施；应急响应时间1-4小时</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及时响应和处置</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rPr>
                <w:rFonts w:hint="eastAsia"/>
                <w:color w:val="000000"/>
                <w:sz w:val="18"/>
                <w:szCs w:val="18"/>
              </w:rPr>
            </w:pPr>
            <w:r>
              <w:rPr>
                <w:rFonts w:hint="eastAsia"/>
                <w:color w:val="000000"/>
                <w:sz w:val="18"/>
                <w:szCs w:val="18"/>
              </w:rPr>
              <w:t>受理12345/</w:t>
            </w:r>
          </w:p>
          <w:p>
            <w:pPr>
              <w:widowControl/>
              <w:adjustRightInd/>
              <w:snapToGrid/>
              <w:spacing w:line="240" w:lineRule="exact"/>
              <w:ind w:firstLine="0" w:firstLineChars="0"/>
              <w:rPr>
                <w:color w:val="000000"/>
                <w:sz w:val="18"/>
                <w:szCs w:val="18"/>
              </w:rPr>
            </w:pPr>
            <w:r>
              <w:rPr>
                <w:rFonts w:hint="eastAsia"/>
                <w:color w:val="000000"/>
                <w:sz w:val="18"/>
                <w:szCs w:val="18"/>
              </w:rPr>
              <w:t>12316热线</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color w:val="000000"/>
                <w:sz w:val="18"/>
                <w:szCs w:val="18"/>
              </w:rPr>
              <w:t>咨询类，3小时内办理并回复；求助办理类，在5个工作日内办理并回复</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按规定及时受理并回复</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rPr>
                <w:rFonts w:hint="eastAsia"/>
                <w:color w:val="000000"/>
                <w:sz w:val="18"/>
                <w:szCs w:val="18"/>
              </w:rPr>
            </w:pPr>
            <w:r>
              <w:rPr>
                <w:rFonts w:hint="eastAsia"/>
                <w:color w:val="000000"/>
                <w:sz w:val="18"/>
                <w:szCs w:val="18"/>
              </w:rPr>
              <w:t>按时完成项目率</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重大项目在立项批复期限内完成</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在立项批复期限内完成</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nil"/>
              <w:bottom w:val="single" w:color="auto" w:sz="4" w:space="0"/>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rPr>
                <w:rFonts w:hint="eastAsia"/>
                <w:color w:val="000000"/>
                <w:sz w:val="18"/>
                <w:szCs w:val="18"/>
              </w:rPr>
            </w:pPr>
            <w:r>
              <w:rPr>
                <w:rFonts w:hint="eastAsia"/>
                <w:color w:val="000000"/>
                <w:sz w:val="18"/>
                <w:szCs w:val="18"/>
              </w:rPr>
              <w:t>通过项目验收率</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rPr>
                <w:rFonts w:hint="eastAsia"/>
                <w:color w:val="000000"/>
                <w:sz w:val="18"/>
                <w:szCs w:val="18"/>
              </w:rPr>
            </w:pPr>
            <w:r>
              <w:rPr>
                <w:rFonts w:hint="eastAsia"/>
                <w:color w:val="000000"/>
                <w:sz w:val="18"/>
                <w:szCs w:val="18"/>
              </w:rPr>
              <w:t>一般项目通过验收率100%</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100%</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2</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成本</w:t>
            </w:r>
            <w:r>
              <w:rPr>
                <w:rFonts w:hint="eastAsia"/>
                <w:color w:val="000000"/>
                <w:sz w:val="20"/>
                <w:szCs w:val="20"/>
              </w:rPr>
              <w:t xml:space="preserve">  </w:t>
            </w:r>
            <w:r>
              <w:rPr>
                <w:color w:val="000000"/>
                <w:sz w:val="20"/>
                <w:szCs w:val="20"/>
              </w:rPr>
              <w:t>指标</w:t>
            </w:r>
          </w:p>
        </w:tc>
        <w:tc>
          <w:tcPr>
            <w:tcW w:w="14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12316农业公益服务热线等运行维护经费</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178.42万元</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174.83万元</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3</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3</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top w:val="single" w:color="auto" w:sz="4" w:space="0"/>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42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厅网络和政务系统运行维护、通信链路租赁、网络设施设备等其他商品和服务支出</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191.22万元</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190.25万元</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4</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4</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left w:val="nil"/>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农业优势特色产业集群信息系统建设</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1295万元</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79.98万元</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3</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0.2</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该项目尚在建设、未竣工验收，将大力推进项目如期建成投用</w:t>
            </w:r>
          </w:p>
        </w:tc>
      </w:tr>
      <w:tr>
        <w:tblPrEx>
          <w:tblLayout w:type="fixed"/>
          <w:tblCellMar>
            <w:top w:w="0" w:type="dxa"/>
            <w:left w:w="108" w:type="dxa"/>
            <w:bottom w:w="0" w:type="dxa"/>
            <w:right w:w="108" w:type="dxa"/>
          </w:tblCellMar>
        </w:tblPrEx>
        <w:trPr>
          <w:trHeight w:val="1076" w:hRule="atLeast"/>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效益</w:t>
            </w:r>
          </w:p>
          <w:p>
            <w:pPr>
              <w:widowControl/>
              <w:adjustRightInd/>
              <w:snapToGrid/>
              <w:spacing w:line="240" w:lineRule="exact"/>
              <w:ind w:firstLine="0" w:firstLineChars="0"/>
              <w:jc w:val="center"/>
              <w:rPr>
                <w:color w:val="000000"/>
                <w:sz w:val="20"/>
                <w:szCs w:val="20"/>
              </w:rPr>
            </w:pPr>
            <w:r>
              <w:rPr>
                <w:color w:val="000000"/>
                <w:sz w:val="20"/>
                <w:szCs w:val="20"/>
              </w:rPr>
              <w:t>指标</w:t>
            </w:r>
          </w:p>
          <w:p>
            <w:pPr>
              <w:widowControl/>
              <w:adjustRightInd/>
              <w:snapToGrid/>
              <w:spacing w:line="240" w:lineRule="exact"/>
              <w:ind w:firstLine="0" w:firstLineChars="0"/>
              <w:jc w:val="center"/>
              <w:rPr>
                <w:color w:val="000000"/>
                <w:sz w:val="20"/>
                <w:szCs w:val="20"/>
              </w:rPr>
            </w:pPr>
          </w:p>
          <w:p>
            <w:pPr>
              <w:widowControl/>
              <w:adjustRightInd/>
              <w:snapToGrid/>
              <w:spacing w:line="240" w:lineRule="exact"/>
              <w:ind w:firstLine="0" w:firstLineChars="0"/>
              <w:jc w:val="center"/>
              <w:rPr>
                <w:color w:val="000000"/>
                <w:sz w:val="20"/>
                <w:szCs w:val="20"/>
              </w:rPr>
            </w:pPr>
            <w:r>
              <w:rPr>
                <w:color w:val="000000"/>
                <w:sz w:val="20"/>
                <w:szCs w:val="20"/>
              </w:rPr>
              <w:t>（30分）</w:t>
            </w:r>
          </w:p>
          <w:p>
            <w:pPr>
              <w:widowControl/>
              <w:adjustRightInd/>
              <w:snapToGrid/>
              <w:spacing w:line="240" w:lineRule="exact"/>
              <w:ind w:firstLine="0" w:firstLineChars="0"/>
              <w:jc w:val="center"/>
              <w:rPr>
                <w:color w:val="000000"/>
                <w:sz w:val="20"/>
                <w:szCs w:val="20"/>
              </w:rPr>
            </w:pPr>
          </w:p>
        </w:tc>
        <w:tc>
          <w:tcPr>
            <w:tcW w:w="64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经济效益指标</w:t>
            </w:r>
          </w:p>
        </w:tc>
        <w:tc>
          <w:tcPr>
            <w:tcW w:w="14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rFonts w:hint="eastAsia"/>
                <w:color w:val="000000"/>
                <w:sz w:val="18"/>
                <w:szCs w:val="18"/>
              </w:rPr>
              <w:t xml:space="preserve">减低全省农业农村系统会议成本和业务系统运行成本           </w:t>
            </w:r>
          </w:p>
        </w:tc>
        <w:tc>
          <w:tcPr>
            <w:tcW w:w="118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1300万元</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1600万元</w:t>
            </w:r>
          </w:p>
        </w:tc>
        <w:tc>
          <w:tcPr>
            <w:tcW w:w="4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减低农业农村产业行业管理成本</w:t>
            </w:r>
          </w:p>
        </w:tc>
        <w:tc>
          <w:tcPr>
            <w:tcW w:w="118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2000万元</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2400万元</w:t>
            </w:r>
          </w:p>
        </w:tc>
        <w:tc>
          <w:tcPr>
            <w:tcW w:w="4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142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增加各类农业生产经营主体收入</w:t>
            </w:r>
          </w:p>
        </w:tc>
        <w:tc>
          <w:tcPr>
            <w:tcW w:w="1184"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17000万元</w:t>
            </w:r>
          </w:p>
        </w:tc>
        <w:tc>
          <w:tcPr>
            <w:tcW w:w="974"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20000万元</w:t>
            </w:r>
          </w:p>
        </w:tc>
        <w:tc>
          <w:tcPr>
            <w:tcW w:w="47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社会效益指标</w:t>
            </w: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农业农村部门</w:t>
            </w:r>
          </w:p>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行政管理和服务效能</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提升</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明显提升</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3</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农业生产经营</w:t>
            </w:r>
          </w:p>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信息化水平</w:t>
            </w:r>
          </w:p>
        </w:tc>
        <w:tc>
          <w:tcPr>
            <w:tcW w:w="118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提升</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提升</w:t>
            </w:r>
          </w:p>
        </w:tc>
        <w:tc>
          <w:tcPr>
            <w:tcW w:w="4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农业产业质量和效益</w:t>
            </w:r>
          </w:p>
        </w:tc>
        <w:tc>
          <w:tcPr>
            <w:tcW w:w="118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提升</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提升</w:t>
            </w:r>
          </w:p>
        </w:tc>
        <w:tc>
          <w:tcPr>
            <w:tcW w:w="4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color w:val="000000"/>
                <w:sz w:val="18"/>
                <w:szCs w:val="18"/>
              </w:rPr>
              <w:t>　</w:t>
            </w: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restart"/>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生态效益指标</w:t>
            </w:r>
          </w:p>
        </w:tc>
        <w:tc>
          <w:tcPr>
            <w:tcW w:w="142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绿色节能设施</w:t>
            </w:r>
          </w:p>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设备比重</w:t>
            </w:r>
          </w:p>
        </w:tc>
        <w:tc>
          <w:tcPr>
            <w:tcW w:w="1184"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提升</w:t>
            </w:r>
          </w:p>
        </w:tc>
        <w:tc>
          <w:tcPr>
            <w:tcW w:w="974"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提升</w:t>
            </w:r>
          </w:p>
        </w:tc>
        <w:tc>
          <w:tcPr>
            <w:tcW w:w="47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color w:val="000000"/>
                <w:sz w:val="18"/>
                <w:szCs w:val="18"/>
              </w:rPr>
              <w:t>　</w:t>
            </w:r>
          </w:p>
        </w:tc>
      </w:tr>
      <w:tr>
        <w:tblPrEx>
          <w:tblLayout w:type="fixed"/>
          <w:tblCellMar>
            <w:top w:w="0" w:type="dxa"/>
            <w:left w:w="108" w:type="dxa"/>
            <w:bottom w:w="0" w:type="dxa"/>
            <w:right w:w="108" w:type="dxa"/>
          </w:tblCellMar>
        </w:tblPrEx>
        <w:trPr>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top w:val="single" w:color="auto" w:sz="4" w:space="0"/>
              <w:left w:val="nil"/>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农业农村可持续</w:t>
            </w:r>
          </w:p>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发展能力</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提升</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提升</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p>
        </w:tc>
      </w:tr>
      <w:tr>
        <w:tblPrEx>
          <w:tblLayout w:type="fixed"/>
          <w:tblCellMar>
            <w:top w:w="0" w:type="dxa"/>
            <w:left w:w="108" w:type="dxa"/>
            <w:bottom w:w="0" w:type="dxa"/>
            <w:right w:w="108" w:type="dxa"/>
          </w:tblCellMar>
        </w:tblPrEx>
        <w:trPr>
          <w:trHeight w:val="290" w:hRule="atLeast"/>
          <w:jc w:val="center"/>
        </w:trPr>
        <w:tc>
          <w:tcPr>
            <w:tcW w:w="870"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89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64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可持续影响指标</w:t>
            </w:r>
          </w:p>
        </w:tc>
        <w:tc>
          <w:tcPr>
            <w:tcW w:w="14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厅系统办公信息化水平</w:t>
            </w:r>
          </w:p>
        </w:tc>
        <w:tc>
          <w:tcPr>
            <w:tcW w:w="118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提高</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显著提高</w:t>
            </w:r>
          </w:p>
        </w:tc>
        <w:tc>
          <w:tcPr>
            <w:tcW w:w="4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p>
        </w:tc>
      </w:tr>
      <w:tr>
        <w:tblPrEx>
          <w:tblLayout w:type="fixed"/>
          <w:tblCellMar>
            <w:top w:w="0" w:type="dxa"/>
            <w:left w:w="108" w:type="dxa"/>
            <w:bottom w:w="0" w:type="dxa"/>
            <w:right w:w="108" w:type="dxa"/>
          </w:tblCellMar>
        </w:tblPrEx>
        <w:trPr>
          <w:trHeight w:val="270" w:hRule="atLeast"/>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428"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r>
              <w:rPr>
                <w:rFonts w:hint="eastAsia"/>
                <w:color w:val="000000"/>
                <w:sz w:val="18"/>
                <w:szCs w:val="18"/>
              </w:rPr>
              <w:t>农业农村产业行业信息化水平</w:t>
            </w:r>
          </w:p>
        </w:tc>
        <w:tc>
          <w:tcPr>
            <w:tcW w:w="1184"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提高</w:t>
            </w:r>
          </w:p>
        </w:tc>
        <w:tc>
          <w:tcPr>
            <w:tcW w:w="974"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提高</w:t>
            </w:r>
          </w:p>
        </w:tc>
        <w:tc>
          <w:tcPr>
            <w:tcW w:w="47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825"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3</w:t>
            </w:r>
          </w:p>
        </w:tc>
        <w:tc>
          <w:tcPr>
            <w:tcW w:w="1220" w:type="dxa"/>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18"/>
                <w:szCs w:val="18"/>
              </w:rPr>
            </w:pPr>
          </w:p>
        </w:tc>
      </w:tr>
      <w:tr>
        <w:tblPrEx>
          <w:tblLayout w:type="fixed"/>
          <w:tblCellMar>
            <w:top w:w="0" w:type="dxa"/>
            <w:left w:w="108" w:type="dxa"/>
            <w:bottom w:w="0" w:type="dxa"/>
            <w:right w:w="108" w:type="dxa"/>
          </w:tblCellMar>
        </w:tblPrEx>
        <w:trPr>
          <w:trHeight w:val="330" w:hRule="atLeast"/>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restart"/>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满意度</w:t>
            </w:r>
          </w:p>
          <w:p>
            <w:pPr>
              <w:widowControl/>
              <w:adjustRightInd/>
              <w:snapToGrid/>
              <w:spacing w:line="240" w:lineRule="exact"/>
              <w:ind w:firstLine="0" w:firstLineChars="0"/>
              <w:jc w:val="center"/>
              <w:rPr>
                <w:color w:val="000000"/>
                <w:sz w:val="20"/>
                <w:szCs w:val="20"/>
              </w:rPr>
            </w:pPr>
            <w:r>
              <w:rPr>
                <w:color w:val="000000"/>
                <w:sz w:val="20"/>
                <w:szCs w:val="20"/>
              </w:rPr>
              <w:t>指标</w:t>
            </w:r>
          </w:p>
          <w:p>
            <w:pPr>
              <w:widowControl/>
              <w:adjustRightInd/>
              <w:snapToGrid/>
              <w:spacing w:line="240" w:lineRule="exact"/>
              <w:ind w:firstLine="0" w:firstLineChars="0"/>
              <w:jc w:val="center"/>
              <w:rPr>
                <w:color w:val="000000"/>
                <w:sz w:val="20"/>
                <w:szCs w:val="20"/>
              </w:rPr>
            </w:pPr>
            <w:r>
              <w:rPr>
                <w:color w:val="000000"/>
                <w:sz w:val="20"/>
                <w:szCs w:val="20"/>
              </w:rPr>
              <w:t>（10分）</w:t>
            </w:r>
          </w:p>
        </w:tc>
        <w:tc>
          <w:tcPr>
            <w:tcW w:w="647" w:type="dxa"/>
            <w:vMerge w:val="restart"/>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服务对象满意度指标</w:t>
            </w: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农业农村受众</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≥90%</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≥93%</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5</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5</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color w:val="000000"/>
                <w:sz w:val="18"/>
                <w:szCs w:val="18"/>
              </w:rPr>
              <w:t>　</w:t>
            </w:r>
          </w:p>
        </w:tc>
      </w:tr>
      <w:tr>
        <w:tblPrEx>
          <w:tblLayout w:type="fixed"/>
          <w:tblCellMar>
            <w:top w:w="0" w:type="dxa"/>
            <w:left w:w="108" w:type="dxa"/>
            <w:bottom w:w="0" w:type="dxa"/>
            <w:right w:w="108" w:type="dxa"/>
          </w:tblCellMar>
        </w:tblPrEx>
        <w:trPr>
          <w:trHeight w:val="270" w:hRule="atLeast"/>
          <w:jc w:val="center"/>
        </w:trPr>
        <w:tc>
          <w:tcPr>
            <w:tcW w:w="870"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894" w:type="dxa"/>
            <w:vMerge w:val="continue"/>
            <w:tcBorders>
              <w:top w:val="single" w:color="auto" w:sz="4" w:space="0"/>
              <w:left w:val="nil"/>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7" w:type="dxa"/>
            <w:vMerge w:val="continue"/>
            <w:tcBorders>
              <w:top w:val="single" w:color="auto" w:sz="4" w:space="0"/>
              <w:left w:val="nil"/>
              <w:bottom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1428"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厅系统和市县农业农村部门用户</w:t>
            </w:r>
          </w:p>
        </w:tc>
        <w:tc>
          <w:tcPr>
            <w:tcW w:w="118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≥90%</w:t>
            </w:r>
          </w:p>
        </w:tc>
        <w:tc>
          <w:tcPr>
            <w:tcW w:w="974"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18"/>
                <w:szCs w:val="18"/>
              </w:rPr>
            </w:pPr>
            <w:r>
              <w:rPr>
                <w:rFonts w:hint="eastAsia"/>
                <w:color w:val="000000"/>
                <w:sz w:val="18"/>
                <w:szCs w:val="18"/>
              </w:rPr>
              <w:t>≥97%</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5</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color w:val="000000"/>
                <w:sz w:val="18"/>
                <w:szCs w:val="18"/>
              </w:rPr>
            </w:pPr>
            <w:r>
              <w:rPr>
                <w:rFonts w:hint="eastAsia"/>
                <w:color w:val="000000"/>
                <w:sz w:val="18"/>
                <w:szCs w:val="18"/>
              </w:rPr>
              <w:t>5</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18"/>
                <w:szCs w:val="18"/>
              </w:rPr>
            </w:pPr>
            <w:r>
              <w:rPr>
                <w:color w:val="000000"/>
                <w:sz w:val="18"/>
                <w:szCs w:val="18"/>
              </w:rPr>
              <w:t>　</w:t>
            </w:r>
          </w:p>
        </w:tc>
      </w:tr>
      <w:tr>
        <w:tblPrEx>
          <w:tblLayout w:type="fixed"/>
          <w:tblCellMar>
            <w:top w:w="0" w:type="dxa"/>
            <w:left w:w="108" w:type="dxa"/>
            <w:bottom w:w="0" w:type="dxa"/>
            <w:right w:w="108" w:type="dxa"/>
          </w:tblCellMar>
        </w:tblPrEx>
        <w:trPr>
          <w:trHeight w:val="270" w:hRule="atLeast"/>
          <w:jc w:val="center"/>
        </w:trPr>
        <w:tc>
          <w:tcPr>
            <w:tcW w:w="5997" w:type="dxa"/>
            <w:gridSpan w:val="6"/>
            <w:tcBorders>
              <w:top w:val="single" w:color="auto" w:sz="4" w:space="0"/>
              <w:left w:val="single" w:color="auto" w:sz="4" w:space="0"/>
              <w:bottom w:val="single" w:color="auto" w:sz="4" w:space="0"/>
              <w:right w:val="single" w:color="000000" w:sz="4" w:space="0"/>
            </w:tcBorders>
            <w:noWrap w:val="0"/>
            <w:vAlign w:val="center"/>
          </w:tcPr>
          <w:p>
            <w:pPr>
              <w:widowControl/>
              <w:adjustRightInd/>
              <w:snapToGrid/>
              <w:spacing w:line="240" w:lineRule="exact"/>
              <w:ind w:firstLine="0" w:firstLineChars="0"/>
              <w:jc w:val="center"/>
              <w:rPr>
                <w:b/>
                <w:bCs/>
                <w:color w:val="000000"/>
                <w:sz w:val="20"/>
                <w:szCs w:val="20"/>
              </w:rPr>
            </w:pPr>
            <w:r>
              <w:rPr>
                <w:b/>
                <w:bCs/>
                <w:color w:val="000000"/>
                <w:sz w:val="20"/>
                <w:szCs w:val="20"/>
              </w:rPr>
              <w:t>总</w:t>
            </w:r>
            <w:r>
              <w:rPr>
                <w:rFonts w:hint="eastAsia"/>
                <w:b/>
                <w:bCs/>
                <w:color w:val="000000"/>
                <w:sz w:val="20"/>
                <w:szCs w:val="20"/>
              </w:rPr>
              <w:t xml:space="preserve"> </w:t>
            </w:r>
            <w:r>
              <w:rPr>
                <w:b/>
                <w:bCs/>
                <w:color w:val="000000"/>
                <w:sz w:val="20"/>
                <w:szCs w:val="20"/>
              </w:rPr>
              <w:t>分</w:t>
            </w:r>
          </w:p>
        </w:tc>
        <w:tc>
          <w:tcPr>
            <w:tcW w:w="47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b/>
                <w:bCs/>
                <w:color w:val="000000"/>
                <w:sz w:val="20"/>
                <w:szCs w:val="20"/>
              </w:rPr>
            </w:pPr>
            <w:r>
              <w:rPr>
                <w:rFonts w:hint="eastAsia"/>
                <w:b/>
                <w:bCs/>
                <w:color w:val="000000"/>
                <w:sz w:val="18"/>
                <w:szCs w:val="18"/>
              </w:rPr>
              <w:t xml:space="preserve">100 </w:t>
            </w:r>
          </w:p>
        </w:tc>
        <w:tc>
          <w:tcPr>
            <w:tcW w:w="82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b/>
                <w:bCs/>
                <w:color w:val="000000"/>
                <w:sz w:val="20"/>
                <w:szCs w:val="20"/>
              </w:rPr>
            </w:pPr>
            <w:r>
              <w:rPr>
                <w:rFonts w:hint="eastAsia"/>
                <w:b/>
                <w:bCs/>
                <w:color w:val="000000"/>
                <w:sz w:val="18"/>
                <w:szCs w:val="18"/>
              </w:rPr>
              <w:t>　93.2</w:t>
            </w:r>
          </w:p>
        </w:tc>
        <w:tc>
          <w:tcPr>
            <w:tcW w:w="122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b/>
                <w:bCs/>
                <w:color w:val="000000"/>
                <w:sz w:val="20"/>
                <w:szCs w:val="20"/>
              </w:rPr>
            </w:pPr>
            <w:r>
              <w:rPr>
                <w:b/>
                <w:bCs/>
                <w:color w:val="000000"/>
                <w:sz w:val="20"/>
                <w:szCs w:val="20"/>
              </w:rPr>
              <w:t>　</w:t>
            </w:r>
          </w:p>
        </w:tc>
      </w:tr>
    </w:tbl>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4"/>
        <w:jc w:val="center"/>
        <w:rPr>
          <w:sz w:val="72"/>
          <w:szCs w:val="72"/>
        </w:rPr>
      </w:pPr>
    </w:p>
    <w:p>
      <w:pPr>
        <w:pStyle w:val="14"/>
        <w:jc w:val="center"/>
        <w:rPr>
          <w:sz w:val="72"/>
          <w:szCs w:val="72"/>
        </w:rPr>
      </w:pPr>
    </w:p>
    <w:p>
      <w:pPr>
        <w:jc w:val="left"/>
        <w:rPr>
          <w:rFonts w:cs="黑体" w:asciiTheme="minorEastAsia" w:hAnsiTheme="minorEastAsia"/>
          <w:color w:val="000000"/>
          <w:kern w:val="0"/>
          <w:sz w:val="32"/>
          <w:szCs w:val="32"/>
        </w:rPr>
      </w:pPr>
    </w:p>
    <w:sectPr>
      <w:pgSz w:w="11906" w:h="16838"/>
      <w:pgMar w:top="1440" w:right="1800" w:bottom="1440" w:left="180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EF6524-08C7-40F6-9C37-3EEF9CAE7D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5735700-8748-4F04-964F-E2DC38BC8B6E}"/>
  </w:font>
  <w:font w:name="楷体">
    <w:panose1 w:val="02010609060101010101"/>
    <w:charset w:val="86"/>
    <w:family w:val="auto"/>
    <w:pitch w:val="default"/>
    <w:sig w:usb0="800002BF" w:usb1="38CF7CFA" w:usb2="00000016" w:usb3="00000000" w:csb0="00040001" w:csb1="00000000"/>
    <w:embedRegular r:id="rId3" w:fontKey="{2F4F1AA9-50BB-49C0-AD33-FCE15B7F32D2}"/>
  </w:font>
  <w:font w:name="方正小标宋_GBK">
    <w:panose1 w:val="02000000000000000000"/>
    <w:charset w:val="86"/>
    <w:family w:val="script"/>
    <w:pitch w:val="default"/>
    <w:sig w:usb0="00000000" w:usb1="00000000" w:usb2="00000000" w:usb3="00000000" w:csb0="00000000" w:csb1="00000000"/>
    <w:embedRegular r:id="rId4" w:fontKey="{218F9185-1529-4118-AF01-0D0FE45EE70A}"/>
  </w:font>
  <w:font w:name="仿宋">
    <w:panose1 w:val="02010609060101010101"/>
    <w:charset w:val="86"/>
    <w:family w:val="auto"/>
    <w:pitch w:val="default"/>
    <w:sig w:usb0="800002BF" w:usb1="38CF7CFA" w:usb2="00000016" w:usb3="00000000" w:csb0="00040001" w:csb1="00000000"/>
    <w:embedRegular r:id="rId5" w:fontKey="{ADE5E6EA-42B3-47C5-8794-DF1D9F66BA91}"/>
  </w:font>
  <w:font w:name="仿宋_GB2312">
    <w:panose1 w:val="02010609030101010101"/>
    <w:charset w:val="86"/>
    <w:family w:val="modern"/>
    <w:pitch w:val="default"/>
    <w:sig w:usb0="00000000" w:usb1="00000000" w:usb2="00000000" w:usb3="00000000" w:csb0="00000000" w:csb1="00000000"/>
    <w:embedRegular r:id="rId6" w:fontKey="{CC8683B2-FD2D-4D1F-819F-B8C1EA14AA7B}"/>
  </w:font>
  <w:font w:name="华文中宋">
    <w:panose1 w:val="02010600040101010101"/>
    <w:charset w:val="86"/>
    <w:family w:val="auto"/>
    <w:pitch w:val="default"/>
    <w:sig w:usb0="00000287" w:usb1="080F0000" w:usb2="00000000" w:usb3="00000000" w:csb0="0004009F" w:csb1="DFD70000"/>
    <w:embedRegular r:id="rId7" w:fontKey="{0A193A81-684D-487C-B2FA-E0272052EAAD}"/>
  </w:font>
  <w:font w:name="方正小标宋简体">
    <w:panose1 w:val="02000000000000000000"/>
    <w:charset w:val="86"/>
    <w:family w:val="script"/>
    <w:pitch w:val="default"/>
    <w:sig w:usb0="00000000" w:usb1="00000000" w:usb2="00000000" w:usb3="00000000" w:csb0="00000000" w:csb1="00000000"/>
    <w:embedRegular r:id="rId8" w:fontKey="{4684A055-12DF-4A6B-A482-A8379DEC73E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DE2A6C"/>
    <w:multiLevelType w:val="singleLevel"/>
    <w:tmpl w:val="BCDE2A6C"/>
    <w:lvl w:ilvl="0" w:tentative="0">
      <w:start w:val="1"/>
      <w:numFmt w:val="chineseCounting"/>
      <w:suff w:val="nothing"/>
      <w:lvlText w:val="%1、"/>
      <w:lvlJc w:val="left"/>
      <w:rPr>
        <w:rFonts w:hint="eastAsia" w:cs="Times New Roman"/>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0YTc2ODc5ZGM2ZGE0NmYyZmJiMTRhOTkyZjZiMGI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A40121D"/>
    <w:rsid w:val="0D1424ED"/>
    <w:rsid w:val="119C51DA"/>
    <w:rsid w:val="14C869C6"/>
    <w:rsid w:val="1573107B"/>
    <w:rsid w:val="1D97DEFF"/>
    <w:rsid w:val="1D9A3006"/>
    <w:rsid w:val="1DFF72E5"/>
    <w:rsid w:val="1EFC6F07"/>
    <w:rsid w:val="20930F6D"/>
    <w:rsid w:val="21BF0DEB"/>
    <w:rsid w:val="22F10EAE"/>
    <w:rsid w:val="243204A8"/>
    <w:rsid w:val="27AE55C0"/>
    <w:rsid w:val="29E9359D"/>
    <w:rsid w:val="2FDF85B8"/>
    <w:rsid w:val="2FFFEE04"/>
    <w:rsid w:val="33C34F0A"/>
    <w:rsid w:val="33DD0953"/>
    <w:rsid w:val="34DF85B0"/>
    <w:rsid w:val="36111E4A"/>
    <w:rsid w:val="38BE0051"/>
    <w:rsid w:val="3B8F36BC"/>
    <w:rsid w:val="3C2101A3"/>
    <w:rsid w:val="3F2B709E"/>
    <w:rsid w:val="481B62F2"/>
    <w:rsid w:val="488F21EA"/>
    <w:rsid w:val="491FF225"/>
    <w:rsid w:val="4AB605B6"/>
    <w:rsid w:val="4FFD214C"/>
    <w:rsid w:val="52437E77"/>
    <w:rsid w:val="52DF2A97"/>
    <w:rsid w:val="53C71634"/>
    <w:rsid w:val="5777D4F5"/>
    <w:rsid w:val="59DD8326"/>
    <w:rsid w:val="5AC1550B"/>
    <w:rsid w:val="5DEF592A"/>
    <w:rsid w:val="5EB007B5"/>
    <w:rsid w:val="5FC6BB1E"/>
    <w:rsid w:val="5FF720F1"/>
    <w:rsid w:val="67FF5C0B"/>
    <w:rsid w:val="68CA4752"/>
    <w:rsid w:val="6EFC0924"/>
    <w:rsid w:val="6FB74722"/>
    <w:rsid w:val="6FEF8B7E"/>
    <w:rsid w:val="71A6591B"/>
    <w:rsid w:val="737D59BA"/>
    <w:rsid w:val="77C37683"/>
    <w:rsid w:val="780C7449"/>
    <w:rsid w:val="79765C7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outlineLvl w:val="1"/>
    </w:pPr>
    <w:rPr>
      <w:rFonts w:eastAsia="黑体"/>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unhideWhenUsed/>
    <w:qFormat/>
    <w:uiPriority w:val="99"/>
    <w:pPr>
      <w:widowControl/>
      <w:spacing w:after="120"/>
      <w:ind w:left="420" w:leftChars="200"/>
      <w:jc w:val="left"/>
    </w:pPr>
    <w:rPr>
      <w:rFonts w:ascii="宋体" w:hAnsi="宋体" w:eastAsia="宋体" w:cs="宋体"/>
      <w:kern w:val="0"/>
      <w:sz w:val="24"/>
    </w:rPr>
  </w:style>
  <w:style w:type="paragraph" w:styleId="4">
    <w:name w:val="Plain Text"/>
    <w:basedOn w:val="1"/>
    <w:qFormat/>
    <w:uiPriority w:val="0"/>
    <w:pPr>
      <w:adjustRightInd/>
      <w:snapToGrid/>
      <w:spacing w:line="240" w:lineRule="auto"/>
      <w:ind w:firstLine="0" w:firstLineChars="0"/>
    </w:pPr>
    <w:rPr>
      <w:rFonts w:ascii="宋体" w:hAnsi="Courier New" w:eastAsia="宋体" w:cs="Courier New"/>
      <w:sz w:val="21"/>
      <w:szCs w:val="21"/>
    </w:r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9"/>
    <w:semiHidden/>
    <w:qFormat/>
    <w:uiPriority w:val="0"/>
    <w:pPr>
      <w:snapToGrid w:val="0"/>
      <w:jc w:val="left"/>
    </w:pPr>
    <w:rPr>
      <w:sz w:val="18"/>
      <w:szCs w:val="18"/>
    </w:rPr>
  </w:style>
  <w:style w:type="paragraph" w:styleId="9">
    <w:name w:val="Body Text First Indent 2"/>
    <w:basedOn w:val="3"/>
    <w:unhideWhenUsed/>
    <w:qFormat/>
    <w:uiPriority w:val="99"/>
    <w:pPr>
      <w:ind w:firstLine="420" w:firstLineChars="200"/>
    </w:pPr>
  </w:style>
  <w:style w:type="character" w:customStyle="1" w:styleId="12">
    <w:name w:val="页眉 Char"/>
    <w:basedOn w:val="11"/>
    <w:link w:val="7"/>
    <w:qFormat/>
    <w:uiPriority w:val="99"/>
    <w:rPr>
      <w:sz w:val="18"/>
      <w:szCs w:val="18"/>
    </w:rPr>
  </w:style>
  <w:style w:type="character" w:customStyle="1" w:styleId="13">
    <w:name w:val="页脚 Char"/>
    <w:basedOn w:val="11"/>
    <w:link w:val="6"/>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5"/>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42</Pages>
  <Words>14806</Words>
  <Characters>17876</Characters>
  <Lines>63</Lines>
  <Paragraphs>18</Paragraphs>
  <TotalTime>1</TotalTime>
  <ScaleCrop>false</ScaleCrop>
  <LinksUpToDate>false</LinksUpToDate>
  <CharactersWithSpaces>18717</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2024-09-06T06:59:03Z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9B37F8D1BB604E37930F2F9F9286779A_13</vt:lpwstr>
  </property>
</Properties>
</file>