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sz w:val="56"/>
          <w:szCs w:val="56"/>
        </w:rPr>
      </w:pPr>
    </w:p>
    <w:p>
      <w:pPr>
        <w:pStyle w:val="14"/>
        <w:jc w:val="center"/>
        <w:rPr>
          <w:sz w:val="56"/>
          <w:szCs w:val="56"/>
        </w:rPr>
      </w:pPr>
    </w:p>
    <w:p>
      <w:pPr>
        <w:pStyle w:val="14"/>
        <w:jc w:val="center"/>
        <w:rPr>
          <w:sz w:val="84"/>
          <w:szCs w:val="84"/>
        </w:rPr>
      </w:pPr>
    </w:p>
    <w:p>
      <w:pPr>
        <w:pStyle w:val="14"/>
        <w:jc w:val="center"/>
        <w:rPr>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color w:val="auto"/>
          <w:sz w:val="84"/>
          <w:szCs w:val="84"/>
          <w:lang w:eastAsia="zh-CN"/>
        </w:rPr>
        <w:t>湖南省</w:t>
      </w:r>
      <w:r>
        <w:rPr>
          <w:rFonts w:hint="eastAsia" w:ascii="方正小标宋_GBK" w:hAnsi="方正小标宋_GBK" w:eastAsia="方正小标宋_GBK" w:cs="方正小标宋_GBK"/>
          <w:color w:val="auto"/>
          <w:sz w:val="84"/>
          <w:szCs w:val="84"/>
          <w:lang w:val="en-US" w:eastAsia="zh-CN"/>
        </w:rPr>
        <w:t>农业</w:t>
      </w:r>
      <w:r>
        <w:rPr>
          <w:rFonts w:hint="eastAsia" w:ascii="方正小标宋_GBK" w:hAnsi="方正小标宋_GBK" w:eastAsia="方正小标宋_GBK" w:cs="方正小标宋_GBK"/>
          <w:color w:val="auto"/>
          <w:sz w:val="84"/>
          <w:szCs w:val="84"/>
          <w:lang w:eastAsia="zh-CN"/>
        </w:rPr>
        <w:t>人才交流服务中心</w:t>
      </w:r>
      <w:r>
        <w:rPr>
          <w:rFonts w:hint="eastAsia" w:ascii="方正小标宋_GBK" w:hAnsi="方正小标宋_GBK" w:eastAsia="方正小标宋_GBK" w:cs="方正小标宋_GBK"/>
          <w:sz w:val="84"/>
          <w:szCs w:val="84"/>
        </w:rPr>
        <w:t>部门决算</w:t>
      </w:r>
    </w:p>
    <w:p>
      <w:pPr>
        <w:pStyle w:val="14"/>
        <w:jc w:val="center"/>
        <w:rPr>
          <w:rFonts w:hint="eastAsia" w:ascii="方正小标宋_GBK" w:hAnsi="方正小标宋_GBK" w:eastAsia="方正小标宋_GBK" w:cs="方正小标宋_GBK"/>
          <w:sz w:val="56"/>
          <w:szCs w:val="56"/>
        </w:rPr>
      </w:pPr>
    </w:p>
    <w:p>
      <w:pPr>
        <w:pStyle w:val="14"/>
        <w:jc w:val="center"/>
        <w:rPr>
          <w:sz w:val="56"/>
          <w:szCs w:val="56"/>
        </w:rPr>
      </w:pPr>
    </w:p>
    <w:p>
      <w:pPr>
        <w:pStyle w:val="14"/>
        <w:jc w:val="center"/>
        <w:rPr>
          <w:sz w:val="56"/>
          <w:szCs w:val="56"/>
        </w:rPr>
      </w:pPr>
    </w:p>
    <w:p>
      <w:pPr>
        <w:pStyle w:val="14"/>
        <w:jc w:val="center"/>
        <w:rPr>
          <w:sz w:val="56"/>
          <w:szCs w:val="56"/>
        </w:rPr>
      </w:pPr>
    </w:p>
    <w:p>
      <w:pPr>
        <w:pStyle w:val="14"/>
        <w:jc w:val="center"/>
        <w:rPr>
          <w:sz w:val="32"/>
          <w:szCs w:val="32"/>
        </w:rPr>
      </w:pPr>
    </w:p>
    <w:p>
      <w:pPr>
        <w:pStyle w:val="14"/>
        <w:jc w:val="center"/>
        <w:rPr>
          <w:sz w:val="32"/>
          <w:szCs w:val="32"/>
        </w:rPr>
      </w:pPr>
    </w:p>
    <w:p>
      <w:pPr>
        <w:pStyle w:val="14"/>
        <w:jc w:val="center"/>
        <w:rPr>
          <w:sz w:val="32"/>
          <w:szCs w:val="32"/>
        </w:rPr>
      </w:pPr>
    </w:p>
    <w:p>
      <w:pPr>
        <w:pStyle w:val="14"/>
        <w:spacing w:line="500" w:lineRule="exact"/>
        <w:jc w:val="center"/>
        <w:rPr>
          <w:b/>
          <w:sz w:val="36"/>
          <w:szCs w:val="28"/>
        </w:rPr>
      </w:pPr>
      <w:r>
        <w:rPr>
          <w:rFonts w:hint="eastAsia"/>
          <w:b/>
          <w:sz w:val="36"/>
          <w:szCs w:val="28"/>
        </w:rPr>
        <w:t>目录</w:t>
      </w:r>
    </w:p>
    <w:p>
      <w:pPr>
        <w:pStyle w:val="14"/>
        <w:spacing w:line="500" w:lineRule="exact"/>
        <w:rPr>
          <w:rFonts w:hint="eastAsia" w:ascii="黑体" w:hAnsi="黑体" w:eastAsia="黑体" w:cs="黑体"/>
          <w:b w:val="0"/>
          <w:bCs/>
          <w:color w:val="auto"/>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color w:val="auto"/>
          <w:sz w:val="28"/>
          <w:szCs w:val="28"/>
          <w:lang w:val="en-US" w:eastAsia="zh-CN"/>
        </w:rPr>
        <w:t xml:space="preserve"> </w:t>
      </w:r>
      <w:r>
        <w:rPr>
          <w:rFonts w:hint="eastAsia" w:hAnsi="黑体" w:cs="黑体"/>
          <w:b w:val="0"/>
          <w:bCs/>
          <w:color w:val="auto"/>
          <w:sz w:val="28"/>
          <w:szCs w:val="28"/>
          <w:lang w:eastAsia="zh-CN"/>
        </w:rPr>
        <w:t>湖南省</w:t>
      </w:r>
      <w:r>
        <w:rPr>
          <w:rFonts w:hint="eastAsia" w:hAnsi="黑体" w:cs="黑体"/>
          <w:b w:val="0"/>
          <w:bCs/>
          <w:color w:val="auto"/>
          <w:sz w:val="28"/>
          <w:szCs w:val="28"/>
          <w:lang w:val="en-US" w:eastAsia="zh-CN"/>
        </w:rPr>
        <w:t>农业</w:t>
      </w:r>
      <w:r>
        <w:rPr>
          <w:rFonts w:hint="eastAsia" w:hAnsi="黑体" w:cs="黑体"/>
          <w:b w:val="0"/>
          <w:bCs/>
          <w:color w:val="auto"/>
          <w:sz w:val="28"/>
          <w:szCs w:val="28"/>
          <w:lang w:eastAsia="zh-CN"/>
        </w:rPr>
        <w:t>人才交流服务中心</w:t>
      </w:r>
      <w:r>
        <w:rPr>
          <w:rFonts w:hint="eastAsia" w:ascii="黑体" w:hAnsi="黑体" w:eastAsia="黑体" w:cs="黑体"/>
          <w:b w:val="0"/>
          <w:bCs/>
          <w:color w:val="auto"/>
          <w:sz w:val="28"/>
          <w:szCs w:val="28"/>
        </w:rPr>
        <w:t>概况</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4"/>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4"/>
        <w:spacing w:line="500" w:lineRule="exact"/>
        <w:rPr>
          <w:rFonts w:hint="eastAsia" w:ascii="黑体" w:hAnsi="黑体" w:eastAsia="黑体" w:cs="黑体"/>
          <w:b w:val="0"/>
          <w:bCs/>
          <w:sz w:val="28"/>
          <w:szCs w:val="28"/>
        </w:rPr>
      </w:pPr>
    </w:p>
    <w:p>
      <w:pPr>
        <w:jc w:val="center"/>
        <w:rPr>
          <w:sz w:val="72"/>
          <w:szCs w:val="72"/>
        </w:rPr>
      </w:pPr>
    </w:p>
    <w:p>
      <w:pPr>
        <w:jc w:val="center"/>
        <w:rPr>
          <w:sz w:val="72"/>
          <w:szCs w:val="72"/>
        </w:rPr>
      </w:pPr>
    </w:p>
    <w:p>
      <w:pP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color w:val="auto"/>
          <w:sz w:val="84"/>
          <w:szCs w:val="84"/>
          <w:lang w:eastAsia="zh-CN"/>
        </w:rPr>
      </w:pPr>
      <w:r>
        <w:rPr>
          <w:rFonts w:hint="eastAsia" w:ascii="方正小标宋_GBK" w:hAnsi="方正小标宋_GBK" w:eastAsia="方正小标宋_GBK" w:cs="方正小标宋_GBK"/>
          <w:color w:val="auto"/>
          <w:sz w:val="84"/>
          <w:szCs w:val="84"/>
          <w:lang w:eastAsia="zh-CN"/>
        </w:rPr>
        <w:t>湖南省</w:t>
      </w:r>
      <w:r>
        <w:rPr>
          <w:rFonts w:hint="eastAsia" w:ascii="方正小标宋_GBK" w:hAnsi="方正小标宋_GBK" w:eastAsia="方正小标宋_GBK" w:cs="方正小标宋_GBK"/>
          <w:color w:val="auto"/>
          <w:sz w:val="84"/>
          <w:szCs w:val="84"/>
          <w:lang w:val="en-US" w:eastAsia="zh-CN"/>
        </w:rPr>
        <w:t>农业</w:t>
      </w:r>
      <w:r>
        <w:rPr>
          <w:rFonts w:hint="eastAsia" w:ascii="方正小标宋_GBK" w:hAnsi="方正小标宋_GBK" w:eastAsia="方正小标宋_GBK" w:cs="方正小标宋_GBK"/>
          <w:color w:val="auto"/>
          <w:sz w:val="84"/>
          <w:szCs w:val="84"/>
          <w:lang w:eastAsia="zh-CN"/>
        </w:rPr>
        <w:t>人才交流服务</w:t>
      </w: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color w:val="auto"/>
          <w:sz w:val="84"/>
          <w:szCs w:val="84"/>
          <w:lang w:eastAsia="zh-CN"/>
        </w:rPr>
        <w:t>中心</w:t>
      </w:r>
      <w:r>
        <w:rPr>
          <w:rFonts w:hint="eastAsia" w:ascii="方正小标宋_GBK" w:hAnsi="方正小标宋_GBK" w:eastAsia="方正小标宋_GBK" w:cs="方正小标宋_GBK"/>
          <w:sz w:val="84"/>
          <w:szCs w:val="84"/>
        </w:rPr>
        <w:t>概况</w:t>
      </w: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72"/>
          <w:szCs w:val="72"/>
        </w:rPr>
      </w:pPr>
    </w:p>
    <w:p>
      <w:pPr>
        <w:jc w:val="center"/>
        <w:rPr>
          <w:sz w:val="72"/>
          <w:szCs w:val="72"/>
        </w:rPr>
      </w:pPr>
    </w:p>
    <w:p>
      <w:pPr>
        <w:jc w:val="center"/>
        <w:rPr>
          <w:sz w:val="72"/>
          <w:szCs w:val="72"/>
        </w:rPr>
      </w:pPr>
    </w:p>
    <w:p>
      <w:pPr>
        <w:jc w:val="center"/>
        <w:rPr>
          <w:sz w:val="72"/>
          <w:szCs w:val="72"/>
        </w:rPr>
      </w:pPr>
    </w:p>
    <w:p>
      <w:pPr>
        <w:pStyle w:val="15"/>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both"/>
        <w:textAlignment w:val="auto"/>
        <w:rPr>
          <w:rFonts w:hint="eastAsia" w:eastAsia="仿宋_GB2312"/>
          <w:color w:val="auto"/>
          <w:sz w:val="32"/>
          <w:szCs w:val="32"/>
        </w:rPr>
      </w:pPr>
      <w:r>
        <w:rPr>
          <w:rFonts w:hint="eastAsia" w:eastAsia="仿宋_GB2312"/>
          <w:color w:val="auto"/>
          <w:sz w:val="32"/>
          <w:szCs w:val="32"/>
          <w:lang w:eastAsia="zh-CN"/>
        </w:rPr>
        <w:t>（</w:t>
      </w:r>
      <w:r>
        <w:rPr>
          <w:rFonts w:hint="eastAsia" w:eastAsia="仿宋_GB2312"/>
          <w:color w:val="auto"/>
          <w:sz w:val="32"/>
          <w:szCs w:val="32"/>
        </w:rPr>
        <w:t>一</w:t>
      </w:r>
      <w:r>
        <w:rPr>
          <w:rFonts w:hint="eastAsia" w:eastAsia="仿宋_GB2312"/>
          <w:color w:val="auto"/>
          <w:sz w:val="32"/>
          <w:szCs w:val="32"/>
          <w:lang w:eastAsia="zh-CN"/>
        </w:rPr>
        <w:t>）</w:t>
      </w:r>
      <w:r>
        <w:rPr>
          <w:rFonts w:hint="eastAsia" w:eastAsia="仿宋_GB2312"/>
          <w:color w:val="auto"/>
          <w:sz w:val="32"/>
          <w:szCs w:val="32"/>
        </w:rPr>
        <w:t>开展农业农村人才政策理论研究，为乡村人才振兴提供农业农村人才发展规划建议，积极参与研究编制“十四五”农业农村人才队伍建设发展规划；</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both"/>
        <w:textAlignment w:val="auto"/>
        <w:rPr>
          <w:rFonts w:hint="eastAsia" w:eastAsia="仿宋_GB2312"/>
          <w:color w:val="auto"/>
          <w:sz w:val="32"/>
          <w:szCs w:val="32"/>
        </w:rPr>
      </w:pPr>
      <w:r>
        <w:rPr>
          <w:rFonts w:hint="eastAsia" w:eastAsia="仿宋_GB2312"/>
          <w:color w:val="auto"/>
          <w:sz w:val="32"/>
          <w:szCs w:val="32"/>
          <w:lang w:eastAsia="zh-CN"/>
        </w:rPr>
        <w:t>（</w:t>
      </w:r>
      <w:r>
        <w:rPr>
          <w:rFonts w:hint="eastAsia" w:eastAsia="仿宋_GB2312"/>
          <w:color w:val="auto"/>
          <w:sz w:val="32"/>
          <w:szCs w:val="32"/>
        </w:rPr>
        <w:t>二</w:t>
      </w:r>
      <w:r>
        <w:rPr>
          <w:rFonts w:hint="eastAsia" w:eastAsia="仿宋_GB2312"/>
          <w:color w:val="auto"/>
          <w:sz w:val="32"/>
          <w:szCs w:val="32"/>
          <w:lang w:eastAsia="zh-CN"/>
        </w:rPr>
        <w:t>）</w:t>
      </w:r>
      <w:r>
        <w:rPr>
          <w:rFonts w:hint="eastAsia" w:eastAsia="仿宋_GB2312"/>
          <w:color w:val="auto"/>
          <w:sz w:val="32"/>
          <w:szCs w:val="32"/>
        </w:rPr>
        <w:t>负责农村实用人才队伍建设。</w:t>
      </w:r>
      <w:r>
        <w:rPr>
          <w:rFonts w:eastAsia="仿宋_GB2312"/>
          <w:color w:val="auto"/>
          <w:sz w:val="32"/>
          <w:szCs w:val="32"/>
        </w:rPr>
        <w:t>组织实施</w:t>
      </w:r>
      <w:r>
        <w:rPr>
          <w:rFonts w:hint="eastAsia" w:eastAsia="仿宋_GB2312"/>
          <w:color w:val="auto"/>
          <w:sz w:val="32"/>
          <w:szCs w:val="32"/>
        </w:rPr>
        <w:t>农村实用人才示范培训基地建设和农村实用人才培训调训工作；制定农村实用人才等级评价办法;开展优秀农村实用人才评选表彰活动；定期开展农村实用人才全口径统计并建档入库工作。</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both"/>
        <w:textAlignment w:val="auto"/>
        <w:rPr>
          <w:rFonts w:hint="eastAsia" w:eastAsia="仿宋_GB2312"/>
          <w:color w:val="auto"/>
          <w:sz w:val="32"/>
          <w:szCs w:val="32"/>
        </w:rPr>
      </w:pPr>
      <w:r>
        <w:rPr>
          <w:rFonts w:hint="eastAsia" w:eastAsia="仿宋_GB2312"/>
          <w:color w:val="auto"/>
          <w:sz w:val="32"/>
          <w:szCs w:val="32"/>
          <w:lang w:eastAsia="zh-CN"/>
        </w:rPr>
        <w:t>（</w:t>
      </w:r>
      <w:r>
        <w:rPr>
          <w:rFonts w:hint="eastAsia" w:eastAsia="仿宋_GB2312"/>
          <w:color w:val="auto"/>
          <w:sz w:val="32"/>
          <w:szCs w:val="32"/>
        </w:rPr>
        <w:t>三</w:t>
      </w:r>
      <w:r>
        <w:rPr>
          <w:rFonts w:hint="eastAsia" w:eastAsia="仿宋_GB2312"/>
          <w:color w:val="auto"/>
          <w:sz w:val="32"/>
          <w:szCs w:val="32"/>
          <w:lang w:eastAsia="zh-CN"/>
        </w:rPr>
        <w:t>）</w:t>
      </w:r>
      <w:r>
        <w:rPr>
          <w:rFonts w:hint="eastAsia" w:eastAsia="仿宋_GB2312"/>
          <w:color w:val="auto"/>
          <w:sz w:val="32"/>
          <w:szCs w:val="32"/>
        </w:rPr>
        <w:t>负责乡村优秀人才资助项目遴选工作。宣传贯彻落实《湖南省乡村人才振兴行动计划》（湘组发[2019]2号）文件精神，组织实施“湖南省十佳农民”、“湖南省十佳农技推广标兵”等遴选资助项目，组织实施“扎根基层优秀人才支持计划”和“农村实用人才创业兴业支持计划”，激发广大农业农村人才扎根基层创业创新；</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both"/>
        <w:textAlignment w:val="auto"/>
        <w:rPr>
          <w:rFonts w:hint="eastAsia" w:eastAsia="仿宋_GB2312"/>
          <w:color w:val="auto"/>
          <w:sz w:val="32"/>
          <w:szCs w:val="32"/>
        </w:rPr>
      </w:pPr>
      <w:r>
        <w:rPr>
          <w:rFonts w:hint="eastAsia" w:eastAsia="仿宋_GB2312"/>
          <w:color w:val="auto"/>
          <w:sz w:val="32"/>
          <w:szCs w:val="32"/>
          <w:lang w:eastAsia="zh-CN"/>
        </w:rPr>
        <w:t>（</w:t>
      </w:r>
      <w:r>
        <w:rPr>
          <w:rFonts w:hint="eastAsia" w:eastAsia="仿宋_GB2312"/>
          <w:color w:val="auto"/>
          <w:sz w:val="32"/>
          <w:szCs w:val="32"/>
        </w:rPr>
        <w:t>四</w:t>
      </w:r>
      <w:r>
        <w:rPr>
          <w:rFonts w:hint="eastAsia" w:eastAsia="仿宋_GB2312"/>
          <w:color w:val="auto"/>
          <w:sz w:val="32"/>
          <w:szCs w:val="32"/>
          <w:lang w:eastAsia="zh-CN"/>
        </w:rPr>
        <w:t>）</w:t>
      </w:r>
      <w:r>
        <w:rPr>
          <w:rFonts w:hint="eastAsia" w:eastAsia="仿宋_GB2312"/>
          <w:color w:val="auto"/>
          <w:sz w:val="32"/>
          <w:szCs w:val="32"/>
        </w:rPr>
        <w:t>负责组织农业技能大赛。搭建竞技平台，联合协调各方，举办全省农业行业职业技能大赛，以赛促训，为人才脱颖而出搭建平台。</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both"/>
        <w:textAlignment w:val="auto"/>
        <w:rPr>
          <w:rFonts w:hint="eastAsia" w:eastAsia="仿宋_GB2312"/>
          <w:color w:val="auto"/>
          <w:sz w:val="32"/>
          <w:szCs w:val="32"/>
        </w:rPr>
      </w:pPr>
      <w:r>
        <w:rPr>
          <w:rFonts w:hint="eastAsia" w:eastAsia="仿宋_GB2312"/>
          <w:color w:val="auto"/>
          <w:sz w:val="32"/>
          <w:szCs w:val="32"/>
          <w:lang w:eastAsia="zh-CN"/>
        </w:rPr>
        <w:t>（</w:t>
      </w:r>
      <w:r>
        <w:rPr>
          <w:rFonts w:hint="eastAsia" w:eastAsia="仿宋_GB2312"/>
          <w:color w:val="auto"/>
          <w:sz w:val="32"/>
          <w:szCs w:val="32"/>
        </w:rPr>
        <w:t>五</w:t>
      </w:r>
      <w:r>
        <w:rPr>
          <w:rFonts w:hint="eastAsia" w:eastAsia="仿宋_GB2312"/>
          <w:color w:val="auto"/>
          <w:sz w:val="32"/>
          <w:szCs w:val="32"/>
          <w:lang w:eastAsia="zh-CN"/>
        </w:rPr>
        <w:t>）</w:t>
      </w:r>
      <w:r>
        <w:rPr>
          <w:rFonts w:hint="eastAsia" w:eastAsia="仿宋_GB2312"/>
          <w:color w:val="auto"/>
          <w:sz w:val="32"/>
          <w:szCs w:val="32"/>
        </w:rPr>
        <w:t>承办农业专业技术人员队伍建设，主要是农业系列职称改革和评审工作；</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both"/>
        <w:textAlignment w:val="auto"/>
        <w:rPr>
          <w:rFonts w:hint="eastAsia" w:eastAsia="仿宋_GB2312"/>
          <w:color w:val="auto"/>
          <w:sz w:val="32"/>
          <w:szCs w:val="32"/>
        </w:rPr>
      </w:pPr>
      <w:r>
        <w:rPr>
          <w:rFonts w:hint="eastAsia" w:eastAsia="仿宋_GB2312"/>
          <w:color w:val="auto"/>
          <w:sz w:val="32"/>
          <w:szCs w:val="32"/>
          <w:lang w:eastAsia="zh-CN"/>
        </w:rPr>
        <w:t>（</w:t>
      </w:r>
      <w:r>
        <w:rPr>
          <w:rFonts w:hint="eastAsia" w:eastAsia="仿宋_GB2312"/>
          <w:color w:val="auto"/>
          <w:sz w:val="32"/>
          <w:szCs w:val="32"/>
        </w:rPr>
        <w:t>六</w:t>
      </w:r>
      <w:r>
        <w:rPr>
          <w:rFonts w:hint="eastAsia" w:eastAsia="仿宋_GB2312"/>
          <w:color w:val="auto"/>
          <w:sz w:val="32"/>
          <w:szCs w:val="32"/>
          <w:lang w:eastAsia="zh-CN"/>
        </w:rPr>
        <w:t>）</w:t>
      </w:r>
      <w:r>
        <w:rPr>
          <w:rFonts w:hint="eastAsia" w:eastAsia="仿宋_GB2312"/>
          <w:color w:val="auto"/>
          <w:sz w:val="32"/>
          <w:szCs w:val="32"/>
        </w:rPr>
        <w:t>承办农业行业特有工种职业技能鉴定监督管</w:t>
      </w:r>
      <w:r>
        <w:rPr>
          <w:rFonts w:hint="eastAsia" w:eastAsia="仿宋_GB2312"/>
          <w:color w:val="auto"/>
          <w:sz w:val="32"/>
          <w:szCs w:val="32"/>
          <w:lang w:eastAsia="zh-CN"/>
        </w:rPr>
        <w:t>理</w:t>
      </w:r>
      <w:r>
        <w:rPr>
          <w:rFonts w:hint="eastAsia" w:eastAsia="仿宋_GB2312"/>
          <w:color w:val="auto"/>
          <w:sz w:val="32"/>
          <w:szCs w:val="32"/>
        </w:rPr>
        <w:t>、农业行业工人技术等级考核（考试）工作；</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both"/>
        <w:textAlignment w:val="auto"/>
        <w:rPr>
          <w:rFonts w:hint="eastAsia" w:eastAsia="仿宋_GB2312"/>
          <w:color w:val="auto"/>
          <w:sz w:val="32"/>
          <w:szCs w:val="32"/>
        </w:rPr>
      </w:pPr>
      <w:r>
        <w:rPr>
          <w:rFonts w:hint="eastAsia" w:eastAsia="仿宋_GB2312"/>
          <w:color w:val="auto"/>
          <w:sz w:val="32"/>
          <w:szCs w:val="32"/>
          <w:lang w:eastAsia="zh-CN"/>
        </w:rPr>
        <w:t>（</w:t>
      </w:r>
      <w:r>
        <w:rPr>
          <w:rFonts w:hint="eastAsia" w:eastAsia="仿宋_GB2312"/>
          <w:color w:val="auto"/>
          <w:sz w:val="32"/>
          <w:szCs w:val="32"/>
        </w:rPr>
        <w:t>七</w:t>
      </w:r>
      <w:r>
        <w:rPr>
          <w:rFonts w:hint="eastAsia" w:eastAsia="仿宋_GB2312"/>
          <w:color w:val="auto"/>
          <w:sz w:val="32"/>
          <w:szCs w:val="32"/>
          <w:lang w:eastAsia="zh-CN"/>
        </w:rPr>
        <w:t>）</w:t>
      </w:r>
      <w:r>
        <w:rPr>
          <w:rFonts w:hint="eastAsia" w:eastAsia="仿宋_GB2312"/>
          <w:color w:val="auto"/>
          <w:sz w:val="32"/>
          <w:szCs w:val="32"/>
        </w:rPr>
        <w:t>承办专家服务、选拔、推荐、培养工作；</w:t>
      </w:r>
    </w:p>
    <w:p>
      <w:pPr>
        <w:widowControl/>
        <w:spacing w:line="600" w:lineRule="exact"/>
        <w:ind w:firstLine="640" w:firstLineChars="200"/>
        <w:rPr>
          <w:rFonts w:hint="eastAsia" w:eastAsia="仿宋_GB2312"/>
          <w:color w:val="auto"/>
          <w:sz w:val="32"/>
          <w:szCs w:val="32"/>
          <w:lang w:eastAsia="zh-CN"/>
        </w:rPr>
      </w:pPr>
      <w:r>
        <w:rPr>
          <w:rFonts w:hint="eastAsia" w:eastAsia="仿宋_GB2312"/>
          <w:color w:val="auto"/>
          <w:sz w:val="32"/>
          <w:szCs w:val="32"/>
          <w:lang w:eastAsia="zh-CN"/>
        </w:rPr>
        <w:t>（</w:t>
      </w:r>
      <w:r>
        <w:rPr>
          <w:rFonts w:hint="eastAsia" w:eastAsia="仿宋_GB2312"/>
          <w:color w:val="auto"/>
          <w:sz w:val="32"/>
          <w:szCs w:val="32"/>
        </w:rPr>
        <w:t>八</w:t>
      </w:r>
      <w:r>
        <w:rPr>
          <w:rFonts w:hint="eastAsia" w:eastAsia="仿宋_GB2312"/>
          <w:color w:val="auto"/>
          <w:sz w:val="32"/>
          <w:szCs w:val="32"/>
          <w:lang w:eastAsia="zh-CN"/>
        </w:rPr>
        <w:t>）</w:t>
      </w:r>
      <w:r>
        <w:rPr>
          <w:rFonts w:hint="eastAsia" w:eastAsia="仿宋_GB2312"/>
          <w:color w:val="auto"/>
          <w:sz w:val="32"/>
          <w:szCs w:val="32"/>
        </w:rPr>
        <w:t>协助做好报送全省农业农村系统国有单位人事劳动统计工作</w:t>
      </w:r>
      <w:r>
        <w:rPr>
          <w:rFonts w:hint="eastAsia" w:eastAsia="仿宋_GB2312"/>
          <w:color w:val="auto"/>
          <w:sz w:val="32"/>
          <w:szCs w:val="32"/>
          <w:lang w:eastAsia="zh-CN"/>
        </w:rPr>
        <w:t>。</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widowControl/>
        <w:spacing w:line="560" w:lineRule="exact"/>
        <w:ind w:firstLine="640" w:firstLineChars="200"/>
        <w:jc w:val="both"/>
        <w:rPr>
          <w:rFonts w:eastAsia="仿宋_GB2312"/>
          <w:color w:val="auto"/>
          <w:sz w:val="32"/>
          <w:szCs w:val="32"/>
        </w:rPr>
      </w:pPr>
      <w:r>
        <w:rPr>
          <w:rFonts w:hint="eastAsia" w:ascii="Times New Roman" w:hAnsi="Times New Roman" w:eastAsia="仿宋_GB2312" w:cs="仿宋_GB2312"/>
          <w:bCs/>
          <w:color w:val="auto"/>
          <w:kern w:val="0"/>
          <w:sz w:val="32"/>
          <w:szCs w:val="32"/>
        </w:rPr>
        <w:t>（一）内设机构设置。</w:t>
      </w:r>
      <w:r>
        <w:rPr>
          <w:rFonts w:hint="eastAsia" w:eastAsia="仿宋_GB2312"/>
          <w:color w:val="auto"/>
          <w:sz w:val="32"/>
          <w:szCs w:val="32"/>
          <w:lang w:eastAsia="zh-CN"/>
        </w:rPr>
        <w:t>湖南省农业人才交流服务中心</w:t>
      </w:r>
      <w:r>
        <w:rPr>
          <w:rFonts w:hint="eastAsia" w:ascii="Times New Roman" w:hAnsi="Times New Roman" w:eastAsia="仿宋_GB2312" w:cs="仿宋_GB2312"/>
          <w:bCs/>
          <w:color w:val="auto"/>
          <w:kern w:val="0"/>
          <w:sz w:val="32"/>
          <w:szCs w:val="32"/>
        </w:rPr>
        <w:t>内设机构包括：</w:t>
      </w:r>
      <w:r>
        <w:rPr>
          <w:rFonts w:hint="eastAsia" w:eastAsia="仿宋_GB2312"/>
          <w:color w:val="auto"/>
          <w:sz w:val="32"/>
          <w:szCs w:val="32"/>
        </w:rPr>
        <w:t>综合科、</w:t>
      </w:r>
      <w:r>
        <w:rPr>
          <w:rFonts w:hint="eastAsia" w:eastAsia="仿宋_GB2312"/>
          <w:color w:val="auto"/>
          <w:sz w:val="32"/>
          <w:szCs w:val="32"/>
          <w:lang w:eastAsia="zh-CN"/>
        </w:rPr>
        <w:t>人才培养评价科</w:t>
      </w:r>
      <w:r>
        <w:rPr>
          <w:rFonts w:hint="eastAsia" w:eastAsia="仿宋_GB2312"/>
          <w:color w:val="auto"/>
          <w:sz w:val="32"/>
          <w:szCs w:val="32"/>
          <w:lang w:val="en-US" w:eastAsia="zh-CN"/>
        </w:rPr>
        <w:t>2</w:t>
      </w:r>
      <w:r>
        <w:rPr>
          <w:rFonts w:hint="eastAsia" w:eastAsia="仿宋_GB2312"/>
          <w:color w:val="auto"/>
          <w:sz w:val="32"/>
          <w:szCs w:val="32"/>
        </w:rPr>
        <w:t>个科室机构。</w:t>
      </w:r>
    </w:p>
    <w:p>
      <w:pPr>
        <w:widowControl/>
        <w:spacing w:line="600" w:lineRule="exact"/>
        <w:ind w:firstLine="640" w:firstLineChars="200"/>
        <w:rPr>
          <w:rFonts w:hint="eastAsia" w:ascii="Times New Roman" w:hAnsi="Times New Roman" w:eastAsia="仿宋_GB2312" w:cs="仿宋_GB2312"/>
          <w:bCs/>
          <w:color w:val="auto"/>
          <w:kern w:val="0"/>
          <w:sz w:val="32"/>
          <w:szCs w:val="32"/>
          <w:lang w:eastAsia="zh-CN"/>
        </w:rPr>
      </w:pPr>
      <w:r>
        <w:rPr>
          <w:rFonts w:hint="eastAsia" w:ascii="Times New Roman" w:hAnsi="Times New Roman" w:eastAsia="仿宋_GB2312" w:cs="仿宋_GB2312"/>
          <w:bCs/>
          <w:color w:val="auto"/>
          <w:kern w:val="0"/>
          <w:sz w:val="32"/>
          <w:szCs w:val="32"/>
        </w:rPr>
        <w:t>（二）决算单位构成。</w:t>
      </w:r>
      <w:r>
        <w:rPr>
          <w:rFonts w:hint="eastAsia" w:eastAsia="仿宋_GB2312"/>
          <w:color w:val="auto"/>
          <w:sz w:val="32"/>
          <w:szCs w:val="32"/>
          <w:lang w:eastAsia="zh-CN"/>
        </w:rPr>
        <w:t>湖南省农业人才交流服务中心</w:t>
      </w:r>
      <w:r>
        <w:rPr>
          <w:rFonts w:hint="eastAsia" w:ascii="Times New Roman" w:hAnsi="Times New Roman" w:eastAsia="仿宋_GB2312" w:cs="仿宋_GB2312"/>
          <w:bCs/>
          <w:color w:val="auto"/>
          <w:kern w:val="0"/>
          <w:sz w:val="32"/>
          <w:szCs w:val="32"/>
        </w:rPr>
        <w:t>202</w:t>
      </w:r>
      <w:r>
        <w:rPr>
          <w:rFonts w:hint="eastAsia" w:ascii="Times New Roman" w:hAnsi="Times New Roman" w:eastAsia="仿宋_GB2312" w:cs="仿宋_GB2312"/>
          <w:bCs/>
          <w:color w:val="auto"/>
          <w:kern w:val="0"/>
          <w:sz w:val="32"/>
          <w:szCs w:val="32"/>
          <w:lang w:val="en-US" w:eastAsia="zh-CN"/>
        </w:rPr>
        <w:t>3</w:t>
      </w:r>
      <w:r>
        <w:rPr>
          <w:rFonts w:hint="eastAsia" w:ascii="Times New Roman" w:hAnsi="Times New Roman" w:eastAsia="仿宋_GB2312" w:cs="仿宋_GB2312"/>
          <w:bCs/>
          <w:color w:val="auto"/>
          <w:kern w:val="0"/>
          <w:sz w:val="32"/>
          <w:szCs w:val="32"/>
        </w:rPr>
        <w:t>年部门决算汇总公开单位构成包括：</w:t>
      </w:r>
      <w:r>
        <w:rPr>
          <w:rFonts w:hint="eastAsia" w:eastAsia="仿宋_GB2312"/>
          <w:color w:val="auto"/>
          <w:sz w:val="32"/>
          <w:szCs w:val="32"/>
          <w:lang w:eastAsia="zh-CN"/>
        </w:rPr>
        <w:t>湖南省农业人才交流服务中心</w:t>
      </w:r>
      <w:r>
        <w:rPr>
          <w:rFonts w:hint="eastAsia" w:ascii="Times New Roman" w:hAnsi="Times New Roman" w:eastAsia="仿宋_GB2312" w:cs="仿宋_GB2312"/>
          <w:bCs/>
          <w:color w:val="auto"/>
          <w:kern w:val="0"/>
          <w:sz w:val="32"/>
          <w:szCs w:val="32"/>
        </w:rPr>
        <w:t>本级</w:t>
      </w:r>
      <w:r>
        <w:rPr>
          <w:rFonts w:hint="eastAsia" w:ascii="Times New Roman" w:hAnsi="Times New Roman" w:eastAsia="仿宋_GB2312" w:cs="仿宋_GB2312"/>
          <w:bCs/>
          <w:color w:val="auto"/>
          <w:kern w:val="0"/>
          <w:sz w:val="32"/>
          <w:szCs w:val="32"/>
          <w:lang w:eastAsia="zh-CN"/>
        </w:rPr>
        <w:t>。</w:t>
      </w: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10"/>
        <w:tblW w:w="1463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964"/>
        <w:gridCol w:w="468"/>
        <w:gridCol w:w="1699"/>
        <w:gridCol w:w="4033"/>
        <w:gridCol w:w="1359"/>
        <w:gridCol w:w="21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4634" w:type="dxa"/>
            <w:gridSpan w:val="6"/>
            <w:tcBorders>
              <w:top w:val="nil"/>
              <w:left w:val="nil"/>
              <w:bottom w:val="nil"/>
              <w:right w:val="nil"/>
            </w:tcBorders>
            <w:shd w:val="clear" w:color="auto" w:fill="auto"/>
            <w:noWrap/>
            <w:tcMar>
              <w:top w:w="10" w:type="dxa"/>
              <w:left w:w="10" w:type="dxa"/>
              <w:right w:w="10" w:type="dxa"/>
            </w:tcMar>
            <w:vAlign w:val="center"/>
          </w:tcPr>
          <w:p>
            <w:pPr>
              <w:widowControl/>
              <w:jc w:val="center"/>
              <w:rPr>
                <w:rFonts w:hint="eastAsia" w:ascii="宋体" w:hAnsi="宋体" w:eastAsia="宋体" w:cs="宋体"/>
                <w:b/>
                <w:i w:val="0"/>
                <w:color w:val="000000"/>
                <w:sz w:val="24"/>
                <w:szCs w:val="24"/>
                <w:u w:val="none"/>
              </w:rPr>
            </w:pPr>
            <w:r>
              <w:rPr>
                <w:rFonts w:ascii="Times New Roman" w:hAnsi="Times New Roman" w:eastAsia="黑体" w:cs="Times New Roman"/>
                <w:bCs/>
                <w:kern w:val="0"/>
                <w:sz w:val="32"/>
                <w:szCs w:val="32"/>
              </w:rPr>
              <w:br w:type="page"/>
            </w:r>
            <w:r>
              <w:rPr>
                <w:rFonts w:hint="eastAsia" w:ascii="宋体" w:hAnsi="宋体" w:eastAsia="宋体" w:cs="宋体"/>
                <w:b/>
                <w:i w:val="0"/>
                <w:color w:val="000000"/>
                <w:kern w:val="0"/>
                <w:sz w:val="24"/>
                <w:szCs w:val="24"/>
                <w:u w:val="none"/>
                <w:lang w:val="en-US" w:eastAsia="zh-CN" w:bidi="ar"/>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49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6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699"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03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359"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111"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4964" w:type="dxa"/>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部门：湖南省农业人才交流服务中心</w:t>
            </w:r>
          </w:p>
        </w:tc>
        <w:tc>
          <w:tcPr>
            <w:tcW w:w="46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699"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03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359"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111"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713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收入</w:t>
            </w:r>
          </w:p>
        </w:tc>
        <w:tc>
          <w:tcPr>
            <w:tcW w:w="75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40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40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一、一般公共预算财政拨款收入</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149.17</w:t>
            </w:r>
          </w:p>
        </w:tc>
        <w:tc>
          <w:tcPr>
            <w:tcW w:w="40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二、政府性基金预算财政拨款收入</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0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三、国有资本经营预算财政拨款收入</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0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四、上级补助收入</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0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五、事业收入</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0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六、经营收入</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0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七、附属单位上缴收入</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0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八、其他收入</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0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129.43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0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0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0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149.17</w:t>
            </w:r>
          </w:p>
        </w:tc>
        <w:tc>
          <w:tcPr>
            <w:tcW w:w="40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135.47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使用非财政拨款结余和专用结余</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0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结余分配</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年初结转和结余</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21.86</w:t>
            </w:r>
          </w:p>
        </w:tc>
        <w:tc>
          <w:tcPr>
            <w:tcW w:w="40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年末结转和结余</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171.03</w:t>
            </w:r>
          </w:p>
        </w:tc>
        <w:tc>
          <w:tcPr>
            <w:tcW w:w="40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21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171.03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634" w:type="dxa"/>
            <w:gridSpan w:val="6"/>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注：1.本表反映部门本年度的总收支和年末结转结余情况。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634" w:type="dxa"/>
            <w:gridSpan w:val="6"/>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2.本套报表金额单位转换时可能存在尾数误差。</w:t>
            </w:r>
          </w:p>
        </w:tc>
      </w:tr>
    </w:tbl>
    <w:p>
      <w:pPr>
        <w:widowControl/>
        <w:jc w:val="left"/>
        <w:rPr>
          <w:rFonts w:ascii="Times New Roman" w:hAnsi="Times New Roman" w:eastAsia="黑体" w:cs="Times New Roman"/>
          <w:bCs/>
          <w:kern w:val="0"/>
          <w:sz w:val="32"/>
          <w:szCs w:val="32"/>
        </w:rPr>
      </w:pPr>
    </w:p>
    <w:p>
      <w:pPr>
        <w:widowControl/>
        <w:rPr>
          <w:rFonts w:ascii="Times New Roman" w:hAnsi="Times New Roman" w:eastAsia="方正小标宋_GBK" w:cs="Times New Roman"/>
          <w:color w:val="000000"/>
          <w:kern w:val="0"/>
          <w:sz w:val="36"/>
          <w:szCs w:val="36"/>
        </w:rPr>
      </w:pPr>
    </w:p>
    <w:p>
      <w:pPr>
        <w:widowControl/>
        <w:jc w:val="both"/>
        <w:rPr>
          <w:rFonts w:ascii="Times New Roman" w:hAnsi="Times New Roman" w:eastAsia="方正小标宋_GBK" w:cs="Times New Roman"/>
          <w:color w:val="000000"/>
          <w:kern w:val="0"/>
          <w:sz w:val="36"/>
          <w:szCs w:val="21"/>
        </w:rPr>
      </w:pPr>
    </w:p>
    <w:p>
      <w:pPr>
        <w:widowControl/>
        <w:jc w:val="center"/>
        <w:rPr>
          <w:rFonts w:ascii="Times New Roman" w:hAnsi="Times New Roman" w:eastAsia="方正小标宋_GBK" w:cs="Times New Roman"/>
          <w:kern w:val="0"/>
          <w:sz w:val="36"/>
          <w:szCs w:val="36"/>
        </w:rPr>
      </w:pPr>
      <w:bookmarkStart w:id="0" w:name="RANGE!A1:I22"/>
      <w:bookmarkEnd w:id="0"/>
      <w:bookmarkStart w:id="1" w:name="RANGE!A1:F16"/>
    </w:p>
    <w:p>
      <w:pPr>
        <w:widowControl/>
        <w:jc w:val="center"/>
        <w:rPr>
          <w:rFonts w:ascii="Times New Roman" w:hAnsi="Times New Roman" w:eastAsia="方正小标宋_GBK" w:cs="Times New Roman"/>
          <w:kern w:val="0"/>
          <w:sz w:val="36"/>
          <w:szCs w:val="36"/>
        </w:rPr>
        <w:sectPr>
          <w:pgSz w:w="16838" w:h="11906" w:orient="landscape"/>
          <w:pgMar w:top="720" w:right="720" w:bottom="720" w:left="720" w:header="851" w:footer="992" w:gutter="0"/>
          <w:cols w:space="425" w:num="1"/>
          <w:docGrid w:type="lines" w:linePitch="312" w:charSpace="0"/>
        </w:sectPr>
      </w:pPr>
    </w:p>
    <w:tbl>
      <w:tblPr>
        <w:tblStyle w:val="10"/>
        <w:tblW w:w="14309" w:type="dxa"/>
        <w:tblInd w:w="52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64"/>
        <w:gridCol w:w="264"/>
        <w:gridCol w:w="664"/>
        <w:gridCol w:w="3903"/>
        <w:gridCol w:w="1386"/>
        <w:gridCol w:w="1386"/>
        <w:gridCol w:w="1254"/>
        <w:gridCol w:w="1254"/>
        <w:gridCol w:w="1254"/>
        <w:gridCol w:w="1254"/>
        <w:gridCol w:w="14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4309" w:type="dxa"/>
            <w:gridSpan w:val="11"/>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6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390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38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386"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25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25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25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25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26"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6481" w:type="dxa"/>
            <w:gridSpan w:val="5"/>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部门：湖南省农业人才交流服务中心</w:t>
            </w:r>
          </w:p>
        </w:tc>
        <w:tc>
          <w:tcPr>
            <w:tcW w:w="1386"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25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25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25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25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26"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9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38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本年收入合计</w:t>
            </w:r>
          </w:p>
        </w:tc>
        <w:tc>
          <w:tcPr>
            <w:tcW w:w="138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财政拨款收入</w:t>
            </w:r>
          </w:p>
        </w:tc>
        <w:tc>
          <w:tcPr>
            <w:tcW w:w="125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上级补助收入</w:t>
            </w:r>
          </w:p>
        </w:tc>
        <w:tc>
          <w:tcPr>
            <w:tcW w:w="125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事业收入</w:t>
            </w:r>
          </w:p>
        </w:tc>
        <w:tc>
          <w:tcPr>
            <w:tcW w:w="125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经营收入</w:t>
            </w:r>
          </w:p>
        </w:tc>
        <w:tc>
          <w:tcPr>
            <w:tcW w:w="125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附属单位上缴收入</w:t>
            </w:r>
          </w:p>
        </w:tc>
        <w:tc>
          <w:tcPr>
            <w:tcW w:w="142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9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390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9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9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9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9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9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3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3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4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09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149.17</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149.17</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9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w:t>
            </w:r>
          </w:p>
        </w:tc>
        <w:tc>
          <w:tcPr>
            <w:tcW w:w="39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ind w:left="-2" w:leftChars="-200" w:right="-2121" w:rightChars="-1010" w:hanging="418" w:hangingChars="19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科学技术支出</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9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20607</w:t>
            </w:r>
          </w:p>
        </w:tc>
        <w:tc>
          <w:tcPr>
            <w:tcW w:w="39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科学技术普及</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9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2060702</w:t>
            </w:r>
          </w:p>
        </w:tc>
        <w:tc>
          <w:tcPr>
            <w:tcW w:w="39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科普活动</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9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9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5.04</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5.04</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9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39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5.04</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5.04</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9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39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5.04</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5.04</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9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9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143.13</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143.13</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9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9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143.13</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143.13</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9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39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12.61</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12.61</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9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39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130.52</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130.52</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309" w:type="dxa"/>
            <w:gridSpan w:val="11"/>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注：本表反映部门本年度取得的各项收入情况。</w:t>
            </w:r>
          </w:p>
        </w:tc>
      </w:tr>
    </w:tbl>
    <w:p>
      <w:pPr>
        <w:pStyle w:val="9"/>
        <w:sectPr>
          <w:pgSz w:w="16838" w:h="11906" w:orient="landscape"/>
          <w:pgMar w:top="720" w:right="720" w:bottom="720" w:left="720" w:header="851" w:footer="992" w:gutter="0"/>
          <w:cols w:space="425" w:num="1"/>
          <w:docGrid w:type="lines" w:linePitch="312" w:charSpace="0"/>
        </w:sectPr>
      </w:pPr>
    </w:p>
    <w:tbl>
      <w:tblPr>
        <w:tblStyle w:val="10"/>
        <w:tblW w:w="1464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53"/>
        <w:gridCol w:w="253"/>
        <w:gridCol w:w="714"/>
        <w:gridCol w:w="3755"/>
        <w:gridCol w:w="1577"/>
        <w:gridCol w:w="1577"/>
        <w:gridCol w:w="1577"/>
        <w:gridCol w:w="1527"/>
        <w:gridCol w:w="1485"/>
        <w:gridCol w:w="19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4648" w:type="dxa"/>
            <w:gridSpan w:val="10"/>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25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5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71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3755"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57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577"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577"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27"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85"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930"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6552" w:type="dxa"/>
            <w:gridSpan w:val="5"/>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部门：湖南省农业人才交流服务中心</w:t>
            </w:r>
          </w:p>
        </w:tc>
        <w:tc>
          <w:tcPr>
            <w:tcW w:w="1577"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577"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27"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85"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930"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7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57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本年支出合计</w:t>
            </w:r>
          </w:p>
        </w:tc>
        <w:tc>
          <w:tcPr>
            <w:tcW w:w="157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157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c>
          <w:tcPr>
            <w:tcW w:w="152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上缴上级支出</w:t>
            </w: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经营支出</w:t>
            </w:r>
          </w:p>
        </w:tc>
        <w:tc>
          <w:tcPr>
            <w:tcW w:w="193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375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75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75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7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5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5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7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135.47</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87.34</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48.13</w:t>
            </w:r>
          </w:p>
        </w:tc>
        <w:tc>
          <w:tcPr>
            <w:tcW w:w="15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9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w:t>
            </w:r>
          </w:p>
        </w:tc>
        <w:tc>
          <w:tcPr>
            <w:tcW w:w="37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科学技术支出</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5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20607</w:t>
            </w:r>
          </w:p>
        </w:tc>
        <w:tc>
          <w:tcPr>
            <w:tcW w:w="37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科学技术普及</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5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2060702</w:t>
            </w:r>
          </w:p>
        </w:tc>
        <w:tc>
          <w:tcPr>
            <w:tcW w:w="37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科普活动</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5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7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5.04</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5.04</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37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5.04</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5.04</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37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5.04</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5.04</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7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129.43</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82.30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47.13</w:t>
            </w:r>
          </w:p>
        </w:tc>
        <w:tc>
          <w:tcPr>
            <w:tcW w:w="15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7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129.43</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82.30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47.13</w:t>
            </w:r>
          </w:p>
        </w:tc>
        <w:tc>
          <w:tcPr>
            <w:tcW w:w="15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37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0.15</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0.15</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37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122.28</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82.15</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40.13</w:t>
            </w:r>
          </w:p>
        </w:tc>
        <w:tc>
          <w:tcPr>
            <w:tcW w:w="15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2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37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7.00</w:t>
            </w:r>
          </w:p>
        </w:tc>
        <w:tc>
          <w:tcPr>
            <w:tcW w:w="15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648" w:type="dxa"/>
            <w:gridSpan w:val="10"/>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注：本表反映部门本年度各项支出情况。</w:t>
            </w:r>
          </w:p>
        </w:tc>
      </w:tr>
    </w:tbl>
    <w:p>
      <w:pPr>
        <w:pStyle w:val="5"/>
      </w:pPr>
    </w:p>
    <w:bookmarkEnd w:id="1"/>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tbl>
      <w:tblPr>
        <w:tblStyle w:val="10"/>
        <w:tblW w:w="1541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112"/>
        <w:gridCol w:w="525"/>
        <w:gridCol w:w="1546"/>
        <w:gridCol w:w="3368"/>
        <w:gridCol w:w="525"/>
        <w:gridCol w:w="683"/>
        <w:gridCol w:w="1546"/>
        <w:gridCol w:w="1517"/>
        <w:gridCol w:w="25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5418" w:type="dxa"/>
            <w:gridSpan w:val="9"/>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财政拨款收入支出决算总表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311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525"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54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336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525"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683"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54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17"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2596"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5183" w:type="dxa"/>
            <w:gridSpan w:val="3"/>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部门：湖南省农业人才交流服务中心</w:t>
            </w:r>
          </w:p>
        </w:tc>
        <w:tc>
          <w:tcPr>
            <w:tcW w:w="336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525"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683"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54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17"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2596"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1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     入</w:t>
            </w:r>
          </w:p>
        </w:tc>
        <w:tc>
          <w:tcPr>
            <w:tcW w:w="10235"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311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2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54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336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2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54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一般公共预算财政拨款</w:t>
            </w:r>
          </w:p>
        </w:tc>
        <w:tc>
          <w:tcPr>
            <w:tcW w:w="151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政府性基金预算财政拨款</w:t>
            </w:r>
          </w:p>
        </w:tc>
        <w:tc>
          <w:tcPr>
            <w:tcW w:w="259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31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3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5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1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3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25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149.17</w:t>
            </w:r>
          </w:p>
        </w:tc>
        <w:tc>
          <w:tcPr>
            <w:tcW w:w="3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5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1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5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5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5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5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5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5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1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5.04</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5.04</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5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5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5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5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129.43</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129.43</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5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1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5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1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5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5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1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5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1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5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5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5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5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5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5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1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5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1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5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5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5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149.17</w:t>
            </w:r>
          </w:p>
        </w:tc>
        <w:tc>
          <w:tcPr>
            <w:tcW w:w="3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135.47</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135.47</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5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年初财政拨款结转和结余</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21.86</w:t>
            </w:r>
          </w:p>
        </w:tc>
        <w:tc>
          <w:tcPr>
            <w:tcW w:w="3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年末财政拨款结转和结余</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35.56</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35.56</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5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1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一般公共预算财政拨款</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21.86</w:t>
            </w:r>
          </w:p>
        </w:tc>
        <w:tc>
          <w:tcPr>
            <w:tcW w:w="3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5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政府性基金预算财政拨款</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5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国有资本经营预算财政拨款</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5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1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171.03</w:t>
            </w:r>
          </w:p>
        </w:tc>
        <w:tc>
          <w:tcPr>
            <w:tcW w:w="3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171.03</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171.03</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5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822" w:type="dxa"/>
            <w:gridSpan w:val="8"/>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注：本表反映部门本年度一般公共预算财政拨款、政府性基金预算财政拨款和国有资本经营预算财政拨款的总收支和年末结转结余情况。</w:t>
            </w:r>
          </w:p>
        </w:tc>
        <w:tc>
          <w:tcPr>
            <w:tcW w:w="2596" w:type="dxa"/>
            <w:tcBorders>
              <w:top w:val="nil"/>
              <w:left w:val="nil"/>
              <w:bottom w:val="nil"/>
              <w:right w:val="nil"/>
            </w:tcBorders>
            <w:shd w:val="clear" w:color="auto" w:fill="FFFFFF"/>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r>
    </w:tbl>
    <w:p>
      <w:pPr>
        <w:widowControl/>
        <w:jc w:val="left"/>
        <w:rPr>
          <w:rFonts w:ascii="Times New Roman" w:hAnsi="Times New Roman" w:eastAsia="仿宋_GB2312" w:cs="Times New Roman"/>
          <w:bCs/>
          <w:kern w:val="0"/>
          <w:szCs w:val="21"/>
        </w:rPr>
        <w:sectPr>
          <w:pgSz w:w="16838" w:h="11906" w:orient="landscape"/>
          <w:pgMar w:top="720" w:right="720" w:bottom="720" w:left="720" w:header="851" w:footer="992" w:gutter="0"/>
          <w:cols w:space="425" w:num="1"/>
          <w:docGrid w:type="lines" w:linePitch="312" w:charSpace="0"/>
        </w:sectPr>
      </w:pPr>
    </w:p>
    <w:tbl>
      <w:tblPr>
        <w:tblStyle w:val="10"/>
        <w:tblW w:w="12453" w:type="dxa"/>
        <w:tblInd w:w="106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64"/>
        <w:gridCol w:w="264"/>
        <w:gridCol w:w="1329"/>
        <w:gridCol w:w="4823"/>
        <w:gridCol w:w="1873"/>
        <w:gridCol w:w="1797"/>
        <w:gridCol w:w="21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60" w:hRule="atLeast"/>
        </w:trPr>
        <w:tc>
          <w:tcPr>
            <w:tcW w:w="12453" w:type="dxa"/>
            <w:gridSpan w:val="7"/>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60" w:hRule="atLeast"/>
        </w:trPr>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329"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82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87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797"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2103"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60" w:hRule="atLeast"/>
        </w:trPr>
        <w:tc>
          <w:tcPr>
            <w:tcW w:w="8553" w:type="dxa"/>
            <w:gridSpan w:val="5"/>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部门：湖南省农业人才交流服务中心</w:t>
            </w:r>
          </w:p>
        </w:tc>
        <w:tc>
          <w:tcPr>
            <w:tcW w:w="1797"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2103"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668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77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5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482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87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79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210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185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82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7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1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5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82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7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1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668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8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7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668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8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135.47</w:t>
            </w:r>
          </w:p>
        </w:tc>
        <w:tc>
          <w:tcPr>
            <w:tcW w:w="17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87.34</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48.13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5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w:t>
            </w:r>
          </w:p>
        </w:tc>
        <w:tc>
          <w:tcPr>
            <w:tcW w:w="48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科学技术支出</w:t>
            </w:r>
          </w:p>
        </w:tc>
        <w:tc>
          <w:tcPr>
            <w:tcW w:w="18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7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5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20607</w:t>
            </w:r>
          </w:p>
        </w:tc>
        <w:tc>
          <w:tcPr>
            <w:tcW w:w="48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科学技术普及</w:t>
            </w:r>
          </w:p>
        </w:tc>
        <w:tc>
          <w:tcPr>
            <w:tcW w:w="18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7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5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2060702</w:t>
            </w:r>
          </w:p>
        </w:tc>
        <w:tc>
          <w:tcPr>
            <w:tcW w:w="48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科普活动</w:t>
            </w:r>
          </w:p>
        </w:tc>
        <w:tc>
          <w:tcPr>
            <w:tcW w:w="18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7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5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48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8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5.04</w:t>
            </w:r>
          </w:p>
        </w:tc>
        <w:tc>
          <w:tcPr>
            <w:tcW w:w="17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5.04</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5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48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8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5.04</w:t>
            </w:r>
          </w:p>
        </w:tc>
        <w:tc>
          <w:tcPr>
            <w:tcW w:w="17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5.04</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5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48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8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5.04</w:t>
            </w:r>
          </w:p>
        </w:tc>
        <w:tc>
          <w:tcPr>
            <w:tcW w:w="17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5.04</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5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48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8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129.43</w:t>
            </w:r>
          </w:p>
        </w:tc>
        <w:tc>
          <w:tcPr>
            <w:tcW w:w="17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82.30</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5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48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8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129.43</w:t>
            </w:r>
          </w:p>
        </w:tc>
        <w:tc>
          <w:tcPr>
            <w:tcW w:w="17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82.30</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5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48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8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0.15</w:t>
            </w:r>
          </w:p>
        </w:tc>
        <w:tc>
          <w:tcPr>
            <w:tcW w:w="17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0.15</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5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48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18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122.28</w:t>
            </w:r>
          </w:p>
        </w:tc>
        <w:tc>
          <w:tcPr>
            <w:tcW w:w="17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82.15</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5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48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18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7.00</w:t>
            </w:r>
          </w:p>
        </w:tc>
        <w:tc>
          <w:tcPr>
            <w:tcW w:w="17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453"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注：本表反映部门本年度一般公共预算财政拨款支出情况。</w:t>
            </w:r>
          </w:p>
        </w:tc>
      </w:tr>
    </w:tbl>
    <w:p>
      <w:pPr>
        <w:pStyle w:val="9"/>
        <w:sectPr>
          <w:pgSz w:w="16838" w:h="11906" w:orient="landscape"/>
          <w:pgMar w:top="720" w:right="720" w:bottom="720" w:left="720" w:header="851" w:footer="992" w:gutter="0"/>
          <w:cols w:space="425" w:num="1"/>
          <w:docGrid w:type="lines" w:linePitch="312" w:charSpace="0"/>
        </w:sectPr>
      </w:pPr>
    </w:p>
    <w:p>
      <w:pPr>
        <w:pStyle w:val="5"/>
        <w:ind w:left="420" w:leftChars="0" w:hanging="420" w:hangingChars="175"/>
        <w:sectPr>
          <w:pgSz w:w="16838" w:h="11906" w:orient="landscape"/>
          <w:pgMar w:top="720" w:right="720" w:bottom="720" w:left="720" w:header="851" w:footer="992" w:gutter="0"/>
          <w:cols w:space="425" w:num="1"/>
          <w:docGrid w:type="lines" w:linePitch="312" w:charSpace="0"/>
        </w:sectPr>
      </w:pPr>
      <w:r>
        <w:drawing>
          <wp:inline distT="0" distB="0" distL="114300" distR="114300">
            <wp:extent cx="9773920" cy="63246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9773920" cy="6324600"/>
                    </a:xfrm>
                    <a:prstGeom prst="rect">
                      <a:avLst/>
                    </a:prstGeom>
                    <a:noFill/>
                    <a:ln>
                      <a:noFill/>
                    </a:ln>
                  </pic:spPr>
                </pic:pic>
              </a:graphicData>
            </a:graphic>
          </wp:inline>
        </w:drawing>
      </w:r>
    </w:p>
    <w:p>
      <w:pPr>
        <w:pStyle w:val="5"/>
      </w:pPr>
    </w:p>
    <w:tbl>
      <w:tblPr>
        <w:tblStyle w:val="10"/>
        <w:tblW w:w="153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03"/>
        <w:gridCol w:w="240"/>
        <w:gridCol w:w="1402"/>
        <w:gridCol w:w="2119"/>
        <w:gridCol w:w="2119"/>
        <w:gridCol w:w="2119"/>
        <w:gridCol w:w="2119"/>
        <w:gridCol w:w="2119"/>
        <w:gridCol w:w="21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90" w:hRule="atLeast"/>
        </w:trPr>
        <w:tc>
          <w:tcPr>
            <w:tcW w:w="15360" w:type="dxa"/>
            <w:gridSpan w:val="9"/>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5" w:hRule="atLeast"/>
        </w:trPr>
        <w:tc>
          <w:tcPr>
            <w:tcW w:w="1003"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40"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140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0" w:hRule="atLeast"/>
        </w:trPr>
        <w:tc>
          <w:tcPr>
            <w:tcW w:w="4764" w:type="dxa"/>
            <w:gridSpan w:val="4"/>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2"/>
                <w:szCs w:val="22"/>
                <w:u w:val="none"/>
                <w:lang w:val="en-US" w:eastAsia="zh-CN" w:bidi="ar"/>
              </w:rPr>
              <w:t>部门：湖南省农业人才交流服务中心</w:t>
            </w: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Style w:val="17"/>
                <w:lang w:val="en-US" w:eastAsia="zh-CN" w:bidi="ar"/>
              </w:rPr>
              <w:t xml:space="preserve">   </w:t>
            </w:r>
            <w:r>
              <w:rPr>
                <w:rStyle w:val="18"/>
                <w:lang w:val="en-US" w:eastAsia="zh-CN" w:bidi="ar"/>
              </w:rPr>
              <w:t>目</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年初结转和结余</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本年收入</w:t>
            </w:r>
          </w:p>
        </w:tc>
        <w:tc>
          <w:tcPr>
            <w:tcW w:w="63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9" w:hRule="atLeast"/>
        </w:trPr>
        <w:tc>
          <w:tcPr>
            <w:tcW w:w="12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小计</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25" w:hRule="atLeast"/>
        </w:trPr>
        <w:tc>
          <w:tcPr>
            <w:tcW w:w="15360" w:type="dxa"/>
            <w:gridSpan w:val="9"/>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注：本表反映部门本年度政府性基金预算财政拨款收入、支出及结转和结余情况。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说明：我单位没有政府性基金收入，也没有使用政府性基金安排的支出，故本表无数据。</w:t>
            </w:r>
          </w:p>
        </w:tc>
      </w:tr>
    </w:tbl>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tbl>
      <w:tblPr>
        <w:tblStyle w:val="10"/>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6"/>
        <w:gridCol w:w="701"/>
        <w:gridCol w:w="2292"/>
        <w:gridCol w:w="3315"/>
        <w:gridCol w:w="3315"/>
        <w:gridCol w:w="4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29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2"/>
                <w:szCs w:val="22"/>
                <w:u w:val="none"/>
                <w:lang w:val="en-US" w:eastAsia="zh-CN" w:bidi="ar"/>
              </w:rPr>
              <w:t>部门：湖南省农业人才交流服务中心</w:t>
            </w: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Fonts w:hint="eastAsia" w:ascii="宋体" w:hAnsi="宋体" w:eastAsia="宋体" w:cs="宋体"/>
                <w:i w:val="0"/>
                <w:color w:val="000000"/>
                <w:kern w:val="0"/>
                <w:sz w:val="22"/>
                <w:szCs w:val="22"/>
                <w:u w:val="none"/>
                <w:lang w:val="en-US" w:eastAsia="zh-CN" w:bidi="ar"/>
              </w:rPr>
              <w:t xml:space="preserve">   </w:t>
            </w:r>
            <w:r>
              <w:rPr>
                <w:rStyle w:val="19"/>
                <w:lang w:val="en-US" w:eastAsia="zh-CN" w:bidi="ar"/>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注：本表反映部门本年度国有资本经营预算财政拨款支出情况。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说明：我单位没有使用国有资本经营预算安排的支出，故本表无数据。</w:t>
            </w:r>
          </w:p>
        </w:tc>
      </w:tr>
    </w:tbl>
    <w:p>
      <w:pPr>
        <w:widowControl/>
        <w:jc w:val="center"/>
        <w:rPr>
          <w:rFonts w:hint="eastAsia" w:ascii="Times New Roman" w:hAnsi="Times New Roman" w:eastAsia="方正小标宋_GBK" w:cs="Times New Roman"/>
          <w:color w:val="000000"/>
          <w:kern w:val="0"/>
          <w:sz w:val="36"/>
          <w:szCs w:val="36"/>
        </w:rPr>
      </w:pPr>
    </w:p>
    <w:tbl>
      <w:tblPr>
        <w:tblStyle w:val="10"/>
        <w:tblW w:w="151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0" w:hRule="atLeast"/>
        </w:trPr>
        <w:tc>
          <w:tcPr>
            <w:tcW w:w="3782" w:type="dxa"/>
            <w:gridSpan w:val="3"/>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2"/>
                <w:szCs w:val="22"/>
                <w:u w:val="none"/>
                <w:lang w:val="en-US" w:eastAsia="zh-CN" w:bidi="ar"/>
              </w:rPr>
              <w:t>部门：湖南省农业人才交流服务中心</w:t>
            </w: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jc w:val="both"/>
        <w:rPr>
          <w:sz w:val="72"/>
          <w:szCs w:val="72"/>
        </w:rPr>
        <w:sectPr>
          <w:pgSz w:w="16838" w:h="11906" w:orient="landscape"/>
          <w:pgMar w:top="720" w:right="720" w:bottom="720" w:left="720" w:header="851" w:footer="992" w:gutter="0"/>
          <w:cols w:space="425" w:num="1"/>
          <w:docGrid w:type="lines" w:linePitch="312" w:charSpace="0"/>
        </w:sectPr>
      </w:pPr>
      <w:r>
        <w:rPr>
          <w:rFonts w:ascii="黑体" w:hAnsi="黑体" w:eastAsia="黑体"/>
          <w:szCs w:val="21"/>
        </w:rPr>
        <w:br w:type="page"/>
      </w:r>
    </w:p>
    <w:p>
      <w:pPr>
        <w:pStyle w:val="14"/>
        <w:rPr>
          <w:sz w:val="72"/>
          <w:szCs w:val="72"/>
        </w:rPr>
      </w:pPr>
    </w:p>
    <w:p>
      <w:pPr>
        <w:pStyle w:val="14"/>
        <w:rPr>
          <w:sz w:val="72"/>
          <w:szCs w:val="72"/>
        </w:rPr>
      </w:pPr>
    </w:p>
    <w:p>
      <w:pPr>
        <w:pStyle w:val="14"/>
        <w:rPr>
          <w:sz w:val="72"/>
          <w:szCs w:val="72"/>
        </w:rPr>
      </w:pPr>
    </w:p>
    <w:p>
      <w:pPr>
        <w:pStyle w:val="14"/>
        <w:rPr>
          <w:sz w:val="72"/>
          <w:szCs w:val="72"/>
        </w:rPr>
      </w:pPr>
    </w:p>
    <w:p>
      <w:pPr>
        <w:pStyle w:val="14"/>
        <w:jc w:val="center"/>
        <w:rPr>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4"/>
        <w:jc w:val="center"/>
        <w:rPr>
          <w:rFonts w:hint="eastAsia" w:ascii="方正小标宋_GBK" w:hAnsi="方正小标宋_GBK" w:eastAsia="方正小标宋_GBK" w:cs="方正小标宋_GBK"/>
          <w:sz w:val="70"/>
          <w:szCs w:val="70"/>
        </w:rPr>
      </w:pPr>
    </w:p>
    <w:p>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pPr>
        <w:widowControl/>
        <w:jc w:val="left"/>
        <w:rPr>
          <w:rFonts w:asciiTheme="minorEastAsia" w:hAnsiTheme="minorEastAsia" w:eastAsiaTheme="minorEastAsia"/>
          <w:sz w:val="32"/>
          <w:szCs w:val="32"/>
        </w:rPr>
      </w:pPr>
      <w:r>
        <w:rPr>
          <w:rFonts w:hint="eastAsia" w:ascii="方正小标宋_GBK" w:hAnsi="方正小标宋_GBK" w:eastAsia="方正小标宋_GBK" w:cs="方正小标宋_GBK"/>
          <w:sz w:val="70"/>
          <w:szCs w:val="70"/>
        </w:rPr>
        <w:br w:type="page"/>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年度收、支总计</w:t>
      </w:r>
      <w:r>
        <w:rPr>
          <w:rFonts w:hint="eastAsia" w:ascii="Times New Roman" w:hAnsi="Times New Roman" w:eastAsia="仿宋_GB2312"/>
          <w:sz w:val="32"/>
          <w:szCs w:val="32"/>
          <w:lang w:val="en-US" w:eastAsia="zh-CN"/>
        </w:rPr>
        <w:t>171.03</w:t>
      </w:r>
      <w:r>
        <w:rPr>
          <w:rFonts w:hint="eastAsia" w:ascii="Times New Roman" w:hAnsi="Times New Roman" w:eastAsia="仿宋_GB2312"/>
          <w:sz w:val="32"/>
          <w:szCs w:val="32"/>
        </w:rPr>
        <w:t>万元。与上年相比，减少</w:t>
      </w:r>
      <w:r>
        <w:rPr>
          <w:rFonts w:hint="eastAsia" w:ascii="Times New Roman" w:hAnsi="Times New Roman" w:eastAsia="仿宋_GB2312"/>
          <w:sz w:val="32"/>
          <w:szCs w:val="32"/>
          <w:lang w:val="en-US" w:eastAsia="zh-CN"/>
        </w:rPr>
        <w:t>505.49</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74.72</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减少</w:t>
      </w:r>
      <w:r>
        <w:rPr>
          <w:rFonts w:hint="eastAsia" w:ascii="Times New Roman" w:hAnsi="Times New Roman" w:eastAsia="仿宋_GB2312"/>
          <w:color w:val="auto"/>
          <w:sz w:val="32"/>
          <w:szCs w:val="32"/>
          <w:lang w:val="en-US" w:eastAsia="zh-CN"/>
        </w:rPr>
        <w:t>了农业农村部乡村产业振兴带头人培育“头雁”项目资金。</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年度收入合计</w:t>
      </w:r>
      <w:r>
        <w:rPr>
          <w:rFonts w:hint="eastAsia" w:ascii="Times New Roman" w:hAnsi="Times New Roman" w:eastAsia="仿宋_GB2312"/>
          <w:sz w:val="32"/>
          <w:szCs w:val="32"/>
          <w:lang w:val="en-US" w:eastAsia="zh-CN"/>
        </w:rPr>
        <w:t>149.17</w:t>
      </w:r>
      <w:r>
        <w:rPr>
          <w:rFonts w:hint="eastAsia" w:ascii="Times New Roman" w:hAnsi="Times New Roman" w:eastAsia="仿宋_GB2312"/>
          <w:sz w:val="32"/>
          <w:szCs w:val="32"/>
        </w:rPr>
        <w:t>万元，其中：财政拨款收入</w:t>
      </w:r>
      <w:r>
        <w:rPr>
          <w:rFonts w:hint="eastAsia" w:ascii="Times New Roman" w:hAnsi="Times New Roman" w:eastAsia="仿宋_GB2312"/>
          <w:sz w:val="32"/>
          <w:szCs w:val="32"/>
          <w:lang w:val="en-US" w:eastAsia="zh-CN"/>
        </w:rPr>
        <w:t>149.17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color w:val="auto"/>
          <w:sz w:val="32"/>
          <w:szCs w:val="32"/>
        </w:rPr>
        <w:t>上级补助收入</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%；事业收入</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%；经营收入</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%；附属单位上缴收入</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%；其他收入</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年度支出合计</w:t>
      </w:r>
      <w:r>
        <w:rPr>
          <w:rFonts w:hint="eastAsia" w:ascii="Times New Roman" w:hAnsi="Times New Roman" w:eastAsia="仿宋_GB2312"/>
          <w:sz w:val="32"/>
          <w:szCs w:val="32"/>
          <w:lang w:val="en-US" w:eastAsia="zh-CN"/>
        </w:rPr>
        <w:t>135.47</w:t>
      </w:r>
      <w:r>
        <w:rPr>
          <w:rFonts w:hint="eastAsia" w:ascii="Times New Roman" w:hAnsi="Times New Roman" w:eastAsia="仿宋_GB2312"/>
          <w:sz w:val="32"/>
          <w:szCs w:val="32"/>
        </w:rPr>
        <w:t>万元，其中：基本支出</w:t>
      </w:r>
      <w:r>
        <w:rPr>
          <w:rFonts w:hint="eastAsia" w:ascii="Times New Roman" w:hAnsi="Times New Roman" w:eastAsia="仿宋_GB2312"/>
          <w:sz w:val="32"/>
          <w:szCs w:val="32"/>
          <w:lang w:val="en-US" w:eastAsia="zh-CN"/>
        </w:rPr>
        <w:t>87.34</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64.47</w:t>
      </w:r>
      <w:r>
        <w:rPr>
          <w:rFonts w:hint="eastAsia" w:ascii="Times New Roman" w:hAnsi="Times New Roman" w:eastAsia="仿宋_GB2312"/>
          <w:sz w:val="32"/>
          <w:szCs w:val="32"/>
        </w:rPr>
        <w:t>%；项目支出</w:t>
      </w:r>
      <w:r>
        <w:rPr>
          <w:rFonts w:hint="eastAsia" w:ascii="Times New Roman" w:hAnsi="Times New Roman" w:eastAsia="仿宋_GB2312"/>
          <w:sz w:val="32"/>
          <w:szCs w:val="32"/>
          <w:lang w:val="en-US" w:eastAsia="zh-CN"/>
        </w:rPr>
        <w:t>48.13</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35.53</w:t>
      </w:r>
      <w:r>
        <w:rPr>
          <w:rFonts w:hint="eastAsia" w:ascii="Times New Roman" w:hAnsi="Times New Roman" w:eastAsia="仿宋_GB2312"/>
          <w:sz w:val="32"/>
          <w:szCs w:val="32"/>
        </w:rPr>
        <w:t>%；</w:t>
      </w:r>
      <w:r>
        <w:rPr>
          <w:rFonts w:hint="eastAsia" w:ascii="Times New Roman" w:hAnsi="Times New Roman" w:eastAsia="仿宋_GB2312"/>
          <w:color w:val="auto"/>
          <w:sz w:val="32"/>
          <w:szCs w:val="32"/>
        </w:rPr>
        <w:t>上缴上级支出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%；经营支出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%；对附属单位补助支出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sz w:val="32"/>
          <w:szCs w:val="32"/>
        </w:rPr>
        <w:t xml:space="preserve">    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年度财政拨款收、支总计</w:t>
      </w:r>
      <w:r>
        <w:rPr>
          <w:rFonts w:hint="eastAsia" w:ascii="Times New Roman" w:hAnsi="Times New Roman" w:eastAsia="仿宋_GB2312"/>
          <w:sz w:val="32"/>
          <w:szCs w:val="32"/>
          <w:lang w:val="en-US" w:eastAsia="zh-CN"/>
        </w:rPr>
        <w:t>171.03</w:t>
      </w:r>
      <w:r>
        <w:rPr>
          <w:rFonts w:hint="eastAsia" w:ascii="Times New Roman" w:hAnsi="Times New Roman" w:eastAsia="仿宋_GB2312"/>
          <w:sz w:val="32"/>
          <w:szCs w:val="32"/>
        </w:rPr>
        <w:t>万元，与上年相比，减少</w:t>
      </w:r>
      <w:r>
        <w:rPr>
          <w:rFonts w:hint="eastAsia" w:ascii="Times New Roman" w:hAnsi="Times New Roman" w:eastAsia="仿宋_GB2312"/>
          <w:sz w:val="32"/>
          <w:szCs w:val="32"/>
          <w:lang w:val="en-US" w:eastAsia="zh-CN"/>
        </w:rPr>
        <w:t>505.49</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74.72</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减少</w:t>
      </w:r>
      <w:r>
        <w:rPr>
          <w:rFonts w:hint="eastAsia" w:ascii="Times New Roman" w:hAnsi="Times New Roman" w:eastAsia="仿宋_GB2312"/>
          <w:color w:val="auto"/>
          <w:sz w:val="32"/>
          <w:szCs w:val="32"/>
          <w:lang w:val="en-US" w:eastAsia="zh-CN"/>
        </w:rPr>
        <w:t>了农业农村部乡村产业振兴带头人培育“头雁”项目资金。</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（一）一般公共预算财政拨款支出决算总体情况</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135.47</w:t>
      </w:r>
      <w:r>
        <w:rPr>
          <w:rFonts w:hint="eastAsia" w:ascii="Times New Roman" w:hAnsi="Times New Roman" w:eastAsia="仿宋_GB2312"/>
          <w:sz w:val="32"/>
          <w:szCs w:val="32"/>
        </w:rPr>
        <w:t>万元，占本年支出合计的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%，与上年相比，财政拨款支出增减少</w:t>
      </w:r>
      <w:r>
        <w:rPr>
          <w:rFonts w:hint="eastAsia" w:ascii="Times New Roman" w:hAnsi="Times New Roman" w:eastAsia="仿宋_GB2312"/>
          <w:sz w:val="32"/>
          <w:szCs w:val="32"/>
          <w:lang w:val="en-US" w:eastAsia="zh-CN"/>
        </w:rPr>
        <w:t>508.35</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78.96</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减少</w:t>
      </w:r>
      <w:r>
        <w:rPr>
          <w:rFonts w:hint="eastAsia" w:ascii="Times New Roman" w:hAnsi="Times New Roman" w:eastAsia="仿宋_GB2312"/>
          <w:color w:val="auto"/>
          <w:sz w:val="32"/>
          <w:szCs w:val="32"/>
          <w:lang w:val="en-US" w:eastAsia="zh-CN"/>
        </w:rPr>
        <w:t>了农业农村部乡村产业振兴带头人培育“头雁”项目支出。</w:t>
      </w:r>
    </w:p>
    <w:p>
      <w:pPr>
        <w:pStyle w:val="14"/>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（二）一般公共预算财政拨款支出决算结构情况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135.47</w:t>
      </w:r>
      <w:r>
        <w:rPr>
          <w:rFonts w:hint="eastAsia" w:ascii="Times New Roman" w:hAnsi="Times New Roman" w:eastAsia="仿宋_GB2312"/>
          <w:sz w:val="32"/>
          <w:szCs w:val="32"/>
        </w:rPr>
        <w:t>万元，主要用于以下方面：科学技术（类）支出</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0.74</w:t>
      </w:r>
      <w:r>
        <w:rPr>
          <w:rFonts w:hint="eastAsia" w:ascii="Times New Roman" w:hAnsi="Times New Roman" w:eastAsia="仿宋_GB2312"/>
          <w:sz w:val="32"/>
          <w:szCs w:val="32"/>
        </w:rPr>
        <w:t>%；</w:t>
      </w:r>
      <w:r>
        <w:rPr>
          <w:rFonts w:hint="eastAsia" w:ascii="Times New Roman" w:hAnsi="Times New Roman" w:eastAsia="仿宋_GB2312"/>
          <w:color w:val="auto"/>
          <w:sz w:val="32"/>
          <w:szCs w:val="32"/>
        </w:rPr>
        <w:t>社会保障和就业（类）支出</w:t>
      </w:r>
      <w:r>
        <w:rPr>
          <w:rFonts w:hint="eastAsia" w:ascii="Times New Roman" w:hAnsi="Times New Roman" w:eastAsia="仿宋_GB2312"/>
          <w:color w:val="auto"/>
          <w:sz w:val="32"/>
          <w:szCs w:val="32"/>
          <w:lang w:val="en-US" w:eastAsia="zh-CN"/>
        </w:rPr>
        <w:t>5.04</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3.72</w:t>
      </w:r>
      <w:r>
        <w:rPr>
          <w:rFonts w:hint="eastAsia" w:ascii="Times New Roman" w:hAnsi="Times New Roman" w:eastAsia="仿宋_GB2312"/>
          <w:color w:val="auto"/>
          <w:sz w:val="32"/>
          <w:szCs w:val="32"/>
        </w:rPr>
        <w:t>%；农林水（类）支出</w:t>
      </w:r>
      <w:r>
        <w:rPr>
          <w:rFonts w:hint="eastAsia" w:ascii="Times New Roman" w:hAnsi="Times New Roman" w:eastAsia="仿宋_GB2312"/>
          <w:color w:val="auto"/>
          <w:sz w:val="32"/>
          <w:szCs w:val="32"/>
          <w:lang w:val="en-US" w:eastAsia="zh-CN"/>
        </w:rPr>
        <w:t>129.43</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95.54%。</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（三）一般公共预算财政拨款支出决算具体情况</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年度财政拨款支出年初预算数为</w:t>
      </w:r>
      <w:r>
        <w:rPr>
          <w:rFonts w:hint="eastAsia" w:ascii="Times New Roman" w:hAnsi="Times New Roman" w:eastAsia="仿宋_GB2312"/>
          <w:sz w:val="32"/>
          <w:szCs w:val="32"/>
          <w:lang w:val="en-US" w:eastAsia="zh-CN"/>
        </w:rPr>
        <w:t>146.99</w:t>
      </w:r>
      <w:r>
        <w:rPr>
          <w:rFonts w:hint="eastAsia" w:ascii="Times New Roman" w:hAnsi="Times New Roman" w:eastAsia="仿宋_GB2312"/>
          <w:sz w:val="32"/>
          <w:szCs w:val="32"/>
        </w:rPr>
        <w:t>万元，支出决算数为</w:t>
      </w:r>
      <w:r>
        <w:rPr>
          <w:rFonts w:hint="eastAsia" w:ascii="Times New Roman" w:hAnsi="Times New Roman" w:eastAsia="仿宋_GB2312"/>
          <w:sz w:val="32"/>
          <w:szCs w:val="32"/>
          <w:lang w:val="en-US" w:eastAsia="zh-CN"/>
        </w:rPr>
        <w:t>135.47</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92.16</w:t>
      </w:r>
      <w:r>
        <w:rPr>
          <w:rFonts w:hint="eastAsia" w:ascii="Times New Roman" w:hAnsi="Times New Roman" w:eastAsia="仿宋_GB2312"/>
          <w:sz w:val="32"/>
          <w:szCs w:val="32"/>
        </w:rPr>
        <w:t>%，其中：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1、科学技术（类）科学技术普及（款）科普活动（项）。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万元，决算数大于年初预算数的主要原因是：</w:t>
      </w:r>
      <w:r>
        <w:rPr>
          <w:rFonts w:hint="eastAsia" w:ascii="Times New Roman" w:hAnsi="Times New Roman" w:eastAsia="仿宋_GB2312"/>
          <w:color w:val="auto"/>
          <w:sz w:val="32"/>
          <w:szCs w:val="32"/>
          <w:lang w:val="en-US" w:eastAsia="zh-CN"/>
        </w:rPr>
        <w:t>年中追加国家基层科普行动计划专项资金。</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社会保障和就业（类）行政事业单位养老支出（款）机关事业单位基本养老保险缴费支出（项）。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5.04</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5.04</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、农林水（类）农业农村（款）行政运行（项）。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0.15</w:t>
      </w:r>
      <w:r>
        <w:rPr>
          <w:rFonts w:hint="eastAsia" w:ascii="Times New Roman" w:hAnsi="Times New Roman" w:eastAsia="仿宋_GB2312"/>
          <w:color w:val="auto"/>
          <w:sz w:val="32"/>
          <w:szCs w:val="32"/>
        </w:rPr>
        <w:t>万元，决算数大于年初预算数的主要原因是：</w:t>
      </w:r>
      <w:r>
        <w:rPr>
          <w:rFonts w:hint="eastAsia" w:ascii="Times New Roman" w:hAnsi="Times New Roman" w:eastAsia="仿宋_GB2312"/>
          <w:color w:val="auto"/>
          <w:sz w:val="32"/>
          <w:szCs w:val="32"/>
          <w:lang w:val="en-US" w:eastAsia="zh-CN"/>
        </w:rPr>
        <w:t>年底追加人员经费。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rPr>
        <w:t>、农林水（类）农业农村（款）事业运行（项）。</w:t>
      </w:r>
    </w:p>
    <w:p>
      <w:pPr>
        <w:pStyle w:val="14"/>
        <w:ind w:firstLine="640" w:firstLineChars="200"/>
        <w:jc w:val="both"/>
        <w:rPr>
          <w:rFonts w:hint="eastAsia" w:ascii="仿宋" w:hAnsi="仿宋" w:eastAsia="仿宋" w:cs="仿宋"/>
          <w:color w:val="auto"/>
          <w:sz w:val="32"/>
          <w:szCs w:val="32"/>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134.95</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122.28</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88.57</w:t>
      </w:r>
      <w:r>
        <w:rPr>
          <w:rFonts w:hint="eastAsia" w:ascii="Times New Roman" w:hAnsi="Times New Roman" w:eastAsia="仿宋_GB2312"/>
          <w:color w:val="auto"/>
          <w:sz w:val="32"/>
          <w:szCs w:val="32"/>
        </w:rPr>
        <w:t>%，决算数小于年初预算数的主要原因是：</w:t>
      </w:r>
      <w:r>
        <w:rPr>
          <w:rFonts w:hint="eastAsia" w:ascii="仿宋" w:hAnsi="仿宋" w:eastAsia="仿宋" w:cs="仿宋"/>
          <w:color w:val="auto"/>
          <w:sz w:val="32"/>
          <w:szCs w:val="32"/>
          <w:lang w:val="en-US" w:eastAsia="zh-CN"/>
        </w:rPr>
        <w:t>各项经费压减，年末有结余。</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5</w:t>
      </w:r>
      <w:r>
        <w:rPr>
          <w:rFonts w:hint="eastAsia" w:ascii="Times New Roman" w:hAnsi="Times New Roman" w:eastAsia="仿宋_GB2312"/>
          <w:color w:val="auto"/>
          <w:sz w:val="32"/>
          <w:szCs w:val="32"/>
        </w:rPr>
        <w:t>、农林水（类）农业农村（款）其他农业农村支出（项）。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7.00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7.00</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年度财政拨款基本支出87.34万元，其中：</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lang w:val="en-US" w:eastAsia="zh-CN"/>
        </w:rPr>
        <w:t>76.79</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87.34</w:t>
      </w:r>
      <w:r>
        <w:rPr>
          <w:rFonts w:hint="eastAsia" w:ascii="Times New Roman" w:hAnsi="Times New Roman" w:eastAsia="仿宋_GB2312"/>
          <w:sz w:val="32"/>
          <w:szCs w:val="32"/>
        </w:rPr>
        <w:t>%,</w:t>
      </w:r>
      <w:r>
        <w:rPr>
          <w:rFonts w:hint="eastAsia" w:ascii="Times New Roman" w:hAnsi="Times New Roman" w:eastAsia="仿宋_GB2312"/>
          <w:color w:val="auto"/>
          <w:sz w:val="32"/>
          <w:szCs w:val="32"/>
        </w:rPr>
        <w:t>要包括基本工资、津贴补贴、伙食补助费</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lang w:val="en-US" w:eastAsia="zh-CN"/>
        </w:rPr>
        <w:t>绩效工资、机关事业单位基本养老保险缴费、职工基本医疗保险缴费、公务员医疗补助缴费、住房公积金等</w:t>
      </w:r>
      <w:r>
        <w:rPr>
          <w:rFonts w:hint="eastAsia" w:ascii="Times New Roman" w:hAnsi="Times New Roman" w:eastAsia="仿宋_GB2312"/>
          <w:color w:val="auto"/>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b/>
          <w:sz w:val="32"/>
          <w:szCs w:val="32"/>
        </w:rPr>
      </w:pPr>
      <w:r>
        <w:rPr>
          <w:rFonts w:hint="eastAsia" w:ascii="Times New Roman" w:hAnsi="Times New Roman" w:eastAsia="仿宋_GB2312"/>
          <w:b/>
          <w:bCs/>
          <w:color w:val="auto"/>
          <w:sz w:val="32"/>
          <w:szCs w:val="32"/>
        </w:rPr>
        <w:t>公用经费</w:t>
      </w:r>
      <w:r>
        <w:rPr>
          <w:rFonts w:hint="eastAsia" w:ascii="Times New Roman" w:hAnsi="Times New Roman" w:eastAsia="仿宋_GB2312"/>
          <w:color w:val="auto"/>
          <w:sz w:val="32"/>
          <w:szCs w:val="32"/>
          <w:lang w:val="en-US" w:eastAsia="zh-CN"/>
        </w:rPr>
        <w:t>10.55</w:t>
      </w:r>
      <w:r>
        <w:rPr>
          <w:rFonts w:hint="eastAsia" w:ascii="Times New Roman" w:hAnsi="Times New Roman" w:eastAsia="仿宋_GB2312"/>
          <w:color w:val="auto"/>
          <w:sz w:val="32"/>
          <w:szCs w:val="32"/>
        </w:rPr>
        <w:t>万元，占基本支出的</w:t>
      </w:r>
      <w:r>
        <w:rPr>
          <w:rFonts w:hint="eastAsia" w:ascii="Times New Roman" w:hAnsi="Times New Roman" w:eastAsia="仿宋_GB2312"/>
          <w:color w:val="auto"/>
          <w:sz w:val="32"/>
          <w:szCs w:val="32"/>
          <w:lang w:val="en-US" w:eastAsia="zh-CN"/>
        </w:rPr>
        <w:t>12.08</w:t>
      </w:r>
      <w:r>
        <w:rPr>
          <w:rFonts w:hint="eastAsia" w:ascii="Times New Roman" w:hAnsi="Times New Roman" w:eastAsia="仿宋_GB2312"/>
          <w:color w:val="auto"/>
          <w:sz w:val="32"/>
          <w:szCs w:val="32"/>
        </w:rPr>
        <w:t>%，主要包括办公费、印刷费、</w:t>
      </w:r>
      <w:r>
        <w:rPr>
          <w:rFonts w:hint="eastAsia" w:ascii="Times New Roman" w:hAnsi="Times New Roman" w:eastAsia="仿宋_GB2312"/>
          <w:color w:val="auto"/>
          <w:sz w:val="32"/>
          <w:szCs w:val="32"/>
          <w:lang w:val="en-US" w:eastAsia="zh-CN"/>
        </w:rPr>
        <w:t>邮电费、差旅费、维修（护）费、会议费、工会经费、其他交通费用等</w:t>
      </w:r>
      <w:r>
        <w:rPr>
          <w:rFonts w:hint="eastAsia" w:ascii="Times New Roman" w:hAnsi="Times New Roman" w:eastAsia="仿宋_GB2312"/>
          <w:color w:val="auto"/>
          <w:sz w:val="32"/>
          <w:szCs w:val="32"/>
        </w:rPr>
        <w:t>。</w:t>
      </w:r>
    </w:p>
    <w:p>
      <w:pPr>
        <w:pStyle w:val="14"/>
        <w:keepNext w:val="0"/>
        <w:keepLines w:val="0"/>
        <w:pageBreakBefore w:val="0"/>
        <w:widowControl w:val="0"/>
        <w:numPr>
          <w:ilvl w:val="0"/>
          <w:numId w:val="2"/>
        </w:numPr>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财政拨款三公经费支出决算情况说明</w:t>
      </w:r>
    </w:p>
    <w:p>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0.50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%，决算数小于预算数的主要原因是</w:t>
      </w:r>
      <w:r>
        <w:rPr>
          <w:rFonts w:hint="eastAsia" w:ascii="Times New Roman" w:hAnsi="Times New Roman" w:eastAsia="仿宋_GB2312"/>
          <w:color w:val="auto"/>
          <w:sz w:val="32"/>
          <w:szCs w:val="32"/>
          <w:lang w:val="en-US" w:eastAsia="zh-CN"/>
        </w:rPr>
        <w:t>单位厉行节约，未安排公务接待活动</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val="en-US" w:eastAsia="zh-CN"/>
        </w:rPr>
        <w:t>无增减</w:t>
      </w:r>
      <w:r>
        <w:rPr>
          <w:rFonts w:hint="eastAsia" w:ascii="Times New Roman" w:hAnsi="Times New Roman" w:eastAsia="仿宋_GB2312"/>
          <w:sz w:val="32"/>
          <w:szCs w:val="32"/>
        </w:rPr>
        <w:t>。其中：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因公出国（境）费支出预算为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万元，与上年</w:t>
      </w:r>
      <w:r>
        <w:rPr>
          <w:rFonts w:hint="eastAsia" w:ascii="Times New Roman" w:hAnsi="Times New Roman" w:eastAsia="仿宋_GB2312"/>
          <w:color w:val="auto"/>
          <w:sz w:val="32"/>
          <w:szCs w:val="32"/>
          <w:lang w:val="en-US" w:eastAsia="zh-CN"/>
        </w:rPr>
        <w:t>持平</w:t>
      </w:r>
      <w:r>
        <w:rPr>
          <w:rFonts w:hint="eastAsia" w:ascii="Times New Roman" w:hAnsi="Times New Roman" w:eastAsia="仿宋_GB2312"/>
          <w:color w:val="auto"/>
          <w:sz w:val="32"/>
          <w:szCs w:val="32"/>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公务接待费支出预算为</w:t>
      </w:r>
      <w:r>
        <w:rPr>
          <w:rFonts w:hint="eastAsia" w:ascii="Times New Roman" w:hAnsi="Times New Roman" w:eastAsia="仿宋_GB2312"/>
          <w:color w:val="auto"/>
          <w:sz w:val="32"/>
          <w:szCs w:val="32"/>
          <w:lang w:val="en-US" w:eastAsia="zh-CN"/>
        </w:rPr>
        <w:t>0.50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万元，完成预算的</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%，决算数小于预算数的主要原因是</w:t>
      </w:r>
      <w:r>
        <w:rPr>
          <w:rFonts w:hint="eastAsia" w:ascii="Times New Roman" w:hAnsi="Times New Roman" w:eastAsia="仿宋_GB2312"/>
          <w:color w:val="auto"/>
          <w:sz w:val="32"/>
          <w:szCs w:val="32"/>
          <w:lang w:val="en-US" w:eastAsia="zh-CN"/>
        </w:rPr>
        <w:t>单位厉行节约，未安排公务接待活动</w:t>
      </w:r>
      <w:r>
        <w:rPr>
          <w:rFonts w:hint="eastAsia" w:ascii="Times New Roman" w:hAnsi="Times New Roman" w:eastAsia="仿宋_GB2312"/>
          <w:color w:val="auto"/>
          <w:sz w:val="32"/>
          <w:szCs w:val="32"/>
        </w:rPr>
        <w:t>，与上年相比</w:t>
      </w:r>
      <w:r>
        <w:rPr>
          <w:rFonts w:hint="eastAsia" w:ascii="Times New Roman" w:hAnsi="Times New Roman" w:eastAsia="仿宋_GB2312"/>
          <w:color w:val="auto"/>
          <w:sz w:val="32"/>
          <w:szCs w:val="32"/>
          <w:lang w:val="en-US" w:eastAsia="zh-CN"/>
        </w:rPr>
        <w:t>无增减</w:t>
      </w:r>
      <w:r>
        <w:rPr>
          <w:rFonts w:hint="eastAsia" w:ascii="Times New Roman" w:hAnsi="Times New Roman" w:eastAsia="仿宋_GB2312"/>
          <w:color w:val="auto"/>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公务用车购置费支出预算为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万元，与上年</w:t>
      </w:r>
      <w:r>
        <w:rPr>
          <w:rFonts w:hint="eastAsia" w:ascii="Times New Roman" w:hAnsi="Times New Roman" w:eastAsia="仿宋_GB2312"/>
          <w:color w:val="auto"/>
          <w:sz w:val="32"/>
          <w:szCs w:val="32"/>
          <w:lang w:val="en-US" w:eastAsia="zh-CN"/>
        </w:rPr>
        <w:t>持平</w:t>
      </w:r>
      <w:r>
        <w:rPr>
          <w:rFonts w:hint="eastAsia" w:ascii="Times New Roman" w:hAnsi="Times New Roman" w:eastAsia="仿宋_GB2312"/>
          <w:color w:val="auto"/>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公务用车运行维护费支出预算为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万元，与上年</w:t>
      </w:r>
      <w:r>
        <w:rPr>
          <w:rFonts w:hint="eastAsia" w:ascii="Times New Roman" w:hAnsi="Times New Roman" w:eastAsia="仿宋_GB2312"/>
          <w:color w:val="auto"/>
          <w:sz w:val="32"/>
          <w:szCs w:val="32"/>
          <w:lang w:val="en-US" w:eastAsia="zh-CN"/>
        </w:rPr>
        <w:t>持平</w:t>
      </w:r>
      <w:r>
        <w:rPr>
          <w:rFonts w:hint="eastAsia" w:ascii="Times New Roman" w:hAnsi="Times New Roman" w:eastAsia="仿宋_GB2312"/>
          <w:color w:val="auto"/>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年度“三公”经费财政拨款支出决算中，</w:t>
      </w:r>
      <w:r>
        <w:rPr>
          <w:rFonts w:hint="eastAsia" w:ascii="Times New Roman" w:hAnsi="Times New Roman" w:eastAsia="仿宋_GB2312"/>
          <w:color w:val="auto"/>
          <w:sz w:val="32"/>
          <w:szCs w:val="32"/>
        </w:rPr>
        <w:t>公务接待费支出决算</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万元，因公出国（境）费支出决算</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万元,公务用车购置费及运行维护费支出决算</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eastAsia="zh-CN"/>
        </w:rPr>
        <w:t>。</w:t>
      </w:r>
      <w:r>
        <w:rPr>
          <w:rFonts w:hint="eastAsia" w:ascii="Times New Roman" w:hAnsi="Times New Roman" w:eastAsia="仿宋_GB2312"/>
          <w:sz w:val="32"/>
          <w:szCs w:val="32"/>
        </w:rPr>
        <w:t>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仿宋_GB2312" w:cs="楷体"/>
          <w:b/>
          <w:bCs/>
          <w:i/>
          <w:color w:val="auto"/>
          <w:sz w:val="32"/>
          <w:szCs w:val="32"/>
          <w:lang w:eastAsia="zh-CN"/>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highlight w:val="none"/>
        </w:rPr>
        <w:t>，全年安排因公出国（境）团组0个，累计0人次</w:t>
      </w:r>
      <w:r>
        <w:rPr>
          <w:rFonts w:hint="eastAsia" w:ascii="Times New Roman" w:hAnsi="Times New Roman" w:eastAsia="仿宋_GB2312"/>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2、公务接待费支出决算为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万元，全年共接待来访团组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人次。</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3、公务用车购置费及运行维护费支出决算为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万元，其中：公务用车购置费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万元，更新公务用车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公务用车运行维护费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万元，截止202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年12月31日，我单位开支财政拨款的公务用车保有量为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4"/>
        <w:keepNext w:val="0"/>
        <w:keepLines w:val="0"/>
        <w:pageBreakBefore w:val="0"/>
        <w:widowControl w:val="0"/>
        <w:kinsoku/>
        <w:wordWrap/>
        <w:overflowPunct/>
        <w:topLinePunct w:val="0"/>
        <w:bidi w:val="0"/>
        <w:snapToGrid/>
        <w:spacing w:line="600" w:lineRule="exact"/>
        <w:textAlignment w:val="auto"/>
        <w:rPr>
          <w:rFonts w:hint="eastAsia" w:ascii="楷体" w:hAnsi="楷体" w:eastAsia="楷体" w:cs="楷体"/>
          <w:b w:val="0"/>
          <w:bCs w:val="0"/>
          <w:i w:val="0"/>
          <w:iCs/>
          <w:color w:val="auto"/>
          <w:kern w:val="0"/>
          <w:sz w:val="32"/>
          <w:szCs w:val="32"/>
          <w:lang w:val="en-US" w:eastAsia="zh-CN" w:bidi="ar-SA"/>
        </w:rPr>
      </w:pPr>
      <w:r>
        <w:rPr>
          <w:rFonts w:hint="eastAsia" w:ascii="Times New Roman" w:hAnsi="Times New Roman" w:eastAsia="仿宋_GB2312"/>
          <w:sz w:val="32"/>
          <w:szCs w:val="32"/>
        </w:rPr>
        <w:t xml:space="preserve">   </w:t>
      </w:r>
      <w:r>
        <w:rPr>
          <w:rFonts w:hint="eastAsia" w:ascii="Times New Roman" w:hAnsi="Times New Roman" w:eastAsia="仿宋_GB2312"/>
          <w:color w:val="auto"/>
          <w:sz w:val="32"/>
          <w:szCs w:val="32"/>
        </w:rPr>
        <w:t xml:space="preserve">  </w:t>
      </w:r>
      <w:r>
        <w:rPr>
          <w:rFonts w:hint="eastAsia" w:ascii="Times New Roman" w:hAnsi="Times New Roman" w:eastAsia="仿宋_GB2312"/>
          <w:color w:val="auto"/>
          <w:sz w:val="32"/>
          <w:szCs w:val="32"/>
          <w:lang w:val="en-US" w:eastAsia="zh-CN"/>
        </w:rPr>
        <w:t>本单位无政府性基金收支</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rPr>
        <w:t>九、关于机关运行经费支出说明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本部门202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年度</w:t>
      </w:r>
      <w:r>
        <w:rPr>
          <w:rFonts w:hint="eastAsia" w:ascii="Times New Roman" w:hAnsi="Times New Roman" w:eastAsia="仿宋_GB2312"/>
          <w:color w:val="auto"/>
          <w:sz w:val="32"/>
          <w:szCs w:val="32"/>
          <w:lang w:val="en-US" w:eastAsia="zh-CN"/>
        </w:rPr>
        <w:t>无</w:t>
      </w:r>
      <w:r>
        <w:rPr>
          <w:rFonts w:hint="eastAsia" w:ascii="Times New Roman" w:hAnsi="Times New Roman" w:eastAsia="仿宋_GB2312"/>
          <w:color w:val="auto"/>
          <w:sz w:val="32"/>
          <w:szCs w:val="32"/>
        </w:rPr>
        <w:t>机关运行经费支出。</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年本部门开支会议费</w:t>
      </w:r>
      <w:r>
        <w:rPr>
          <w:rFonts w:hint="eastAsia" w:ascii="Times New Roman" w:hAnsi="Times New Roman" w:eastAsia="仿宋_GB2312"/>
          <w:color w:val="auto"/>
          <w:sz w:val="32"/>
          <w:szCs w:val="32"/>
          <w:lang w:val="en-US" w:eastAsia="zh-CN"/>
        </w:rPr>
        <w:t>12.27</w:t>
      </w:r>
      <w:r>
        <w:rPr>
          <w:rFonts w:hint="eastAsia" w:ascii="Times New Roman" w:hAnsi="Times New Roman" w:eastAsia="仿宋_GB2312"/>
          <w:color w:val="auto"/>
          <w:sz w:val="32"/>
          <w:szCs w:val="32"/>
        </w:rPr>
        <w:t>万元，用于召开202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年全省农业系列高级职称评审工作会议</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年全省农业系列高级职称评审</w:t>
      </w:r>
      <w:r>
        <w:rPr>
          <w:rFonts w:hint="eastAsia" w:ascii="Times New Roman" w:hAnsi="Times New Roman" w:eastAsia="仿宋_GB2312"/>
          <w:color w:val="auto"/>
          <w:sz w:val="32"/>
          <w:szCs w:val="32"/>
          <w:lang w:eastAsia="zh-CN"/>
        </w:rPr>
        <w:t>面试</w:t>
      </w:r>
      <w:r>
        <w:rPr>
          <w:rFonts w:hint="eastAsia" w:ascii="Times New Roman" w:hAnsi="Times New Roman" w:eastAsia="仿宋_GB2312"/>
          <w:color w:val="auto"/>
          <w:sz w:val="32"/>
          <w:szCs w:val="32"/>
        </w:rPr>
        <w:t>工作会议</w:t>
      </w:r>
      <w:r>
        <w:rPr>
          <w:rFonts w:hint="eastAsia" w:ascii="Times New Roman" w:hAnsi="Times New Roman" w:eastAsia="仿宋_GB2312"/>
          <w:color w:val="auto"/>
          <w:sz w:val="32"/>
          <w:szCs w:val="32"/>
          <w:lang w:eastAsia="zh-CN"/>
        </w:rPr>
        <w:t>、202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lang w:eastAsia="zh-CN"/>
        </w:rPr>
        <w:t>年“湖南省十佳农技推广标兵”和“湖南省十佳农民”初选</w:t>
      </w:r>
      <w:r>
        <w:rPr>
          <w:rFonts w:hint="eastAsia" w:ascii="Times New Roman" w:hAnsi="Times New Roman" w:eastAsia="仿宋_GB2312"/>
          <w:color w:val="auto"/>
          <w:sz w:val="32"/>
          <w:szCs w:val="32"/>
          <w:lang w:val="en-US" w:eastAsia="zh-CN"/>
        </w:rPr>
        <w:t>会议</w:t>
      </w:r>
      <w:r>
        <w:rPr>
          <w:rFonts w:hint="eastAsia" w:ascii="Times New Roman" w:hAnsi="Times New Roman" w:eastAsia="仿宋_GB2312"/>
          <w:color w:val="auto"/>
          <w:sz w:val="32"/>
          <w:szCs w:val="32"/>
        </w:rPr>
        <w:t>，人数</w:t>
      </w:r>
      <w:r>
        <w:rPr>
          <w:rFonts w:hint="eastAsia" w:ascii="Times New Roman" w:hAnsi="Times New Roman" w:eastAsia="仿宋_GB2312"/>
          <w:color w:val="auto"/>
          <w:sz w:val="32"/>
          <w:szCs w:val="32"/>
          <w:lang w:val="en-US" w:eastAsia="zh-CN"/>
        </w:rPr>
        <w:t>314</w:t>
      </w:r>
      <w:r>
        <w:rPr>
          <w:rFonts w:hint="eastAsia" w:ascii="Times New Roman" w:hAnsi="Times New Roman" w:eastAsia="仿宋_GB2312"/>
          <w:color w:val="auto"/>
          <w:sz w:val="32"/>
          <w:szCs w:val="32"/>
        </w:rPr>
        <w:t>人，内容为202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年全省农业系列高级职称评审工作</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年全省农业系列高级职称评审</w:t>
      </w:r>
      <w:r>
        <w:rPr>
          <w:rFonts w:hint="eastAsia" w:ascii="Times New Roman" w:hAnsi="Times New Roman" w:eastAsia="仿宋_GB2312"/>
          <w:color w:val="auto"/>
          <w:sz w:val="32"/>
          <w:szCs w:val="32"/>
          <w:lang w:eastAsia="zh-CN"/>
        </w:rPr>
        <w:t>申报正高人员面试、202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lang w:eastAsia="zh-CN"/>
        </w:rPr>
        <w:t>年“湖南省十佳农技推广标兵”和“湖南省十佳农民”初选</w:t>
      </w:r>
      <w:r>
        <w:rPr>
          <w:rFonts w:hint="eastAsia" w:ascii="Times New Roman" w:hAnsi="Times New Roman" w:eastAsia="仿宋_GB2312"/>
          <w:color w:val="auto"/>
          <w:sz w:val="32"/>
          <w:szCs w:val="32"/>
        </w:rPr>
        <w:t>；开支培训费</w:t>
      </w:r>
      <w:r>
        <w:rPr>
          <w:rFonts w:hint="eastAsia" w:ascii="Times New Roman" w:hAnsi="Times New Roman" w:eastAsia="仿宋_GB2312"/>
          <w:color w:val="auto"/>
          <w:sz w:val="32"/>
          <w:szCs w:val="32"/>
          <w:lang w:val="en-US" w:eastAsia="zh-CN"/>
        </w:rPr>
        <w:t>0.02</w:t>
      </w:r>
      <w:r>
        <w:rPr>
          <w:rFonts w:hint="eastAsia" w:ascii="Times New Roman" w:hAnsi="Times New Roman" w:eastAsia="仿宋_GB2312"/>
          <w:color w:val="auto"/>
          <w:sz w:val="32"/>
          <w:szCs w:val="32"/>
        </w:rPr>
        <w:t>万元，用于开展202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年度事业单位工作人员培训，人数</w:t>
      </w:r>
      <w:r>
        <w:rPr>
          <w:rFonts w:hint="eastAsia" w:ascii="Times New Roman" w:hAnsi="Times New Roman" w:eastAsia="仿宋_GB2312"/>
          <w:color w:val="auto"/>
          <w:sz w:val="32"/>
          <w:szCs w:val="32"/>
          <w:lang w:val="en-US" w:eastAsia="zh-CN"/>
        </w:rPr>
        <w:t>1</w:t>
      </w:r>
      <w:r>
        <w:rPr>
          <w:rFonts w:hint="eastAsia" w:ascii="Times New Roman" w:hAnsi="Times New Roman" w:eastAsia="仿宋_GB2312"/>
          <w:color w:val="auto"/>
          <w:sz w:val="32"/>
          <w:szCs w:val="32"/>
        </w:rPr>
        <w:t>人，内容为</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年度事业单位工作人员培训；</w:t>
      </w:r>
      <w:r>
        <w:rPr>
          <w:rFonts w:hint="eastAsia" w:ascii="Times New Roman" w:hAnsi="Times New Roman" w:eastAsia="仿宋_GB2312"/>
          <w:color w:val="auto"/>
          <w:sz w:val="32"/>
          <w:szCs w:val="32"/>
          <w:lang w:val="en-US" w:eastAsia="zh-CN"/>
        </w:rPr>
        <w:t>未</w:t>
      </w:r>
      <w:r>
        <w:rPr>
          <w:rFonts w:hint="eastAsia" w:ascii="Times New Roman" w:hAnsi="Times New Roman" w:eastAsia="仿宋_GB2312"/>
          <w:color w:val="auto"/>
          <w:sz w:val="32"/>
          <w:szCs w:val="32"/>
        </w:rPr>
        <w:t>举</w:t>
      </w:r>
      <w:r>
        <w:rPr>
          <w:rFonts w:hint="eastAsia" w:ascii="Times New Roman" w:hAnsi="Times New Roman" w:eastAsia="仿宋_GB2312"/>
          <w:color w:val="auto"/>
          <w:sz w:val="32"/>
          <w:szCs w:val="32"/>
          <w:lang w:val="en-US" w:eastAsia="zh-CN"/>
        </w:rPr>
        <w:t>办</w:t>
      </w:r>
      <w:r>
        <w:rPr>
          <w:rFonts w:hint="eastAsia" w:ascii="Times New Roman" w:hAnsi="Times New Roman" w:eastAsia="仿宋_GB2312"/>
          <w:color w:val="auto"/>
          <w:sz w:val="32"/>
          <w:szCs w:val="32"/>
        </w:rPr>
        <w:t>节庆、晚会、论坛、赛事活动</w:t>
      </w:r>
      <w:r>
        <w:rPr>
          <w:rFonts w:hint="eastAsia" w:ascii="Times New Roman" w:hAnsi="Times New Roman" w:eastAsia="仿宋_GB2312"/>
          <w:color w:val="auto"/>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color w:val="auto"/>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年度政府采购支出总额</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万元、政府采购工程支出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万元、政府采购服务支出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万元。授予中小企业合同金额</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万元，其中：授予小微企业合同金额</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color w:val="auto"/>
          <w:sz w:val="32"/>
          <w:szCs w:val="32"/>
        </w:rPr>
        <w:t>。</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十二、关于国有资产占用情况说明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截至202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年12月31日，单位共有车辆</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辆，其中，主要领导干部用车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辆，机要通信用车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辆、应急保障用车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辆、执法执勤用车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辆、特种专业技术用车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辆、其他用车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辆；单位价值100万元以上专用设备</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台（套）。</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十三、关于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lang w:eastAsia="zh-CN"/>
        </w:rPr>
        <w:t>为加强财政支出预算绩效管理，提高财政资源配置效率和资金使用效益，根据《中共中央国务院关于全面实施预算绩效管理的意见》（中发〔2018〕34 号）、《中共湖南省委办公厅 湖南省人民政府办公厅关于全面实施预算绩效管理的实施意见》（湘办发〔2019〕10 号）和《湖南省财政厅关于印发湖南省预算支出绩效评价管理办法的通知》（湘财绩〔2020〕7号）等有关规定，按照省财政厅《关于开展2023 年度省级预算部门绩效自评和部门评价的通知》（湘财绩〔2024〕1号）要求，我</w:t>
      </w:r>
      <w:r>
        <w:rPr>
          <w:rFonts w:hint="eastAsia" w:ascii="Times New Roman" w:hAnsi="Times New Roman" w:eastAsia="仿宋_GB2312"/>
          <w:color w:val="auto"/>
          <w:sz w:val="32"/>
          <w:szCs w:val="32"/>
          <w:lang w:val="en-US" w:eastAsia="zh-CN"/>
        </w:rPr>
        <w:t>中心</w:t>
      </w:r>
      <w:r>
        <w:rPr>
          <w:rFonts w:hint="eastAsia" w:ascii="Times New Roman" w:hAnsi="Times New Roman" w:eastAsia="仿宋_GB2312"/>
          <w:color w:val="auto"/>
          <w:sz w:val="32"/>
          <w:szCs w:val="32"/>
          <w:lang w:eastAsia="zh-CN"/>
        </w:rPr>
        <w:t>于2024年</w:t>
      </w: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lang w:eastAsia="zh-CN"/>
        </w:rPr>
        <w:t>月对 2023 年整体支出实施了预算绩效自评。</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（二）单位</w:t>
      </w:r>
      <w:r>
        <w:rPr>
          <w:rFonts w:hint="eastAsia" w:ascii="楷体" w:hAnsi="楷体" w:eastAsia="楷体" w:cs="楷体"/>
          <w:b/>
          <w:bCs/>
          <w:sz w:val="32"/>
          <w:szCs w:val="32"/>
        </w:rPr>
        <w:t>整体支出绩效情况</w:t>
      </w:r>
    </w:p>
    <w:p>
      <w:pPr>
        <w:spacing w:line="360" w:lineRule="auto"/>
        <w:ind w:firstLine="640" w:firstLineChars="200"/>
        <w:rPr>
          <w:rFonts w:hint="eastAsia" w:ascii="仿宋" w:hAnsi="仿宋" w:eastAsia="仿宋" w:cs="仿宋_GB2312"/>
          <w:sz w:val="32"/>
          <w:szCs w:val="32"/>
        </w:rPr>
      </w:pPr>
      <w:r>
        <w:rPr>
          <w:rFonts w:hint="eastAsia" w:ascii="仿宋" w:hAnsi="仿宋" w:eastAsia="仿宋" w:cs="仿宋_GB2312"/>
          <w:sz w:val="32"/>
          <w:szCs w:val="32"/>
          <w:lang w:val="en-US" w:eastAsia="zh-CN"/>
        </w:rPr>
        <w:t>1、运行成本。</w:t>
      </w:r>
      <w:r>
        <w:rPr>
          <w:rFonts w:hint="eastAsia" w:ascii="仿宋" w:hAnsi="仿宋" w:eastAsia="仿宋" w:cs="仿宋_GB2312"/>
          <w:sz w:val="32"/>
          <w:szCs w:val="32"/>
        </w:rPr>
        <w:t>2023年全年预算数1223.06万元，决算数929.21万元，预算执行率75.97%。故该指标得分为7.60分。</w:t>
      </w:r>
    </w:p>
    <w:p>
      <w:pPr>
        <w:numPr>
          <w:ilvl w:val="0"/>
          <w:numId w:val="0"/>
        </w:numPr>
        <w:ind w:firstLine="640" w:firstLineChars="200"/>
        <w:rPr>
          <w:rFonts w:hint="eastAsia" w:ascii="仿宋" w:hAnsi="仿宋" w:eastAsia="仿宋" w:cs="仿宋"/>
          <w:b w:val="0"/>
          <w:bCs/>
          <w:sz w:val="32"/>
          <w:szCs w:val="32"/>
          <w:lang w:val="en-US" w:eastAsia="zh-CN"/>
        </w:rPr>
      </w:pP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管理效率</w:t>
      </w:r>
      <w:r>
        <w:rPr>
          <w:rFonts w:hint="eastAsia" w:ascii="Times New Roman" w:hAnsi="Times New Roman" w:eastAsia="仿宋_GB2312"/>
          <w:sz w:val="32"/>
          <w:szCs w:val="32"/>
          <w:lang w:eastAsia="zh-CN"/>
        </w:rPr>
        <w:t>。</w:t>
      </w:r>
      <w:r>
        <w:rPr>
          <w:rFonts w:hint="eastAsia" w:ascii="仿宋" w:hAnsi="仿宋" w:eastAsia="仿宋" w:cs="仿宋"/>
          <w:sz w:val="32"/>
          <w:szCs w:val="32"/>
          <w:lang w:val="en-US" w:eastAsia="zh-CN"/>
        </w:rPr>
        <w:t>2023年全省</w:t>
      </w:r>
      <w:r>
        <w:rPr>
          <w:rFonts w:hint="eastAsia" w:ascii="仿宋" w:hAnsi="仿宋" w:eastAsia="仿宋" w:cs="仿宋"/>
          <w:sz w:val="32"/>
          <w:szCs w:val="32"/>
          <w:lang w:eastAsia="zh-CN"/>
        </w:rPr>
        <w:t>培育</w:t>
      </w:r>
      <w:r>
        <w:rPr>
          <w:rFonts w:hint="eastAsia" w:ascii="仿宋" w:hAnsi="仿宋" w:eastAsia="仿宋" w:cs="仿宋_GB2312"/>
          <w:sz w:val="32"/>
          <w:szCs w:val="32"/>
          <w:lang w:eastAsia="zh-CN"/>
        </w:rPr>
        <w:t>乡村产业振兴带头人</w:t>
      </w:r>
      <w:r>
        <w:rPr>
          <w:rFonts w:hint="eastAsia" w:ascii="仿宋" w:hAnsi="仿宋" w:eastAsia="仿宋" w:cs="仿宋"/>
          <w:sz w:val="32"/>
          <w:szCs w:val="32"/>
          <w:lang w:eastAsia="zh-CN"/>
        </w:rPr>
        <w:t>“头雁”学员</w:t>
      </w:r>
      <w:r>
        <w:rPr>
          <w:rFonts w:hint="eastAsia" w:ascii="仿宋" w:hAnsi="仿宋" w:eastAsia="仿宋" w:cs="仿宋"/>
          <w:sz w:val="32"/>
          <w:szCs w:val="32"/>
          <w:lang w:val="en-US" w:eastAsia="zh-CN"/>
        </w:rPr>
        <w:t>900人，委托湖南农业大学、华中农业大学、浙江大学进行培育。</w:t>
      </w:r>
      <w:r>
        <w:rPr>
          <w:rFonts w:hint="eastAsia" w:ascii="仿宋_GB2312" w:hAnsi="仿宋_GB2312" w:eastAsia="仿宋_GB2312" w:cs="仿宋_GB2312"/>
          <w:b w:val="0"/>
          <w:bCs/>
          <w:sz w:val="32"/>
          <w:szCs w:val="32"/>
          <w:lang w:val="en-US" w:eastAsia="zh-CN"/>
        </w:rPr>
        <w:t>湖南承担中组部、农业农村部</w:t>
      </w:r>
      <w:r>
        <w:rPr>
          <w:rFonts w:hint="eastAsia" w:ascii="仿宋_GB2312" w:hAnsi="仿宋_GB2312" w:eastAsia="仿宋_GB2312" w:cs="仿宋_GB2312"/>
          <w:sz w:val="32"/>
          <w:szCs w:val="32"/>
          <w:lang w:val="en-US" w:eastAsia="zh-CN"/>
        </w:rPr>
        <w:t>农村实用人才带头人示范培训6期，培训学员600人，</w:t>
      </w:r>
      <w:r>
        <w:rPr>
          <w:rFonts w:hint="eastAsia" w:ascii="仿宋_GB2312" w:hAnsi="仿宋_GB2312" w:eastAsia="仿宋_GB2312" w:cs="仿宋_GB2312"/>
          <w:color w:val="000000"/>
          <w:sz w:val="32"/>
          <w:szCs w:val="32"/>
          <w:lang w:val="en-US" w:eastAsia="zh-CN"/>
        </w:rPr>
        <w:t>选派220人赴江西、湖北等省农村实用人才培训基地培训，</w:t>
      </w:r>
      <w:r>
        <w:rPr>
          <w:rFonts w:hint="eastAsia" w:ascii="仿宋" w:hAnsi="仿宋" w:eastAsia="仿宋" w:cs="仿宋"/>
          <w:sz w:val="32"/>
          <w:szCs w:val="32"/>
          <w:lang w:val="en-US" w:eastAsia="zh-CN"/>
        </w:rPr>
        <w:t>帮助农村实用人才带头人开阔视野、转变观念、拓展平台、提升能力。</w:t>
      </w:r>
      <w:r>
        <w:rPr>
          <w:rFonts w:hint="eastAsia" w:ascii="仿宋_GB2312" w:hAnsi="仿宋_GB2312" w:eastAsia="仿宋_GB2312" w:cs="仿宋_GB2312"/>
          <w:sz w:val="32"/>
          <w:szCs w:val="32"/>
          <w:lang w:eastAsia="zh-CN"/>
        </w:rPr>
        <w:t>在全省开展农村实用人才建设情况调研，</w:t>
      </w:r>
      <w:r>
        <w:rPr>
          <w:rFonts w:hint="eastAsia" w:ascii="仿宋_GB2312" w:hAnsi="仿宋_GB2312" w:eastAsia="仿宋_GB2312" w:cs="仿宋_GB2312"/>
          <w:sz w:val="32"/>
          <w:szCs w:val="32"/>
          <w:lang w:val="en" w:eastAsia="zh-CN"/>
        </w:rPr>
        <w:t>重点对</w:t>
      </w:r>
      <w:r>
        <w:rPr>
          <w:rFonts w:hint="eastAsia" w:ascii="仿宋_GB2312" w:hAnsi="仿宋_GB2312" w:eastAsia="仿宋_GB2312" w:cs="仿宋_GB2312"/>
          <w:sz w:val="32"/>
          <w:szCs w:val="32"/>
          <w:lang w:val="en-US" w:eastAsia="zh-CN"/>
        </w:rPr>
        <w:t>8个典型县市区（宁乡市、茶陵县、新宁县、华容县、安化县、宁远县、靖州县、新化县）进行调研</w:t>
      </w:r>
      <w:r>
        <w:rPr>
          <w:rFonts w:hint="eastAsia" w:ascii="仿宋_GB2312" w:hAnsi="仿宋_GB2312" w:eastAsia="仿宋_GB2312" w:cs="仿宋_GB2312"/>
          <w:sz w:val="32"/>
          <w:szCs w:val="32"/>
          <w:lang w:val="en" w:eastAsia="zh-CN"/>
        </w:rPr>
        <w:t>，通过开座谈会，实地走访等形式，对农村实用人才、乡村产业振兴“头雁”学员进行了调查，形成了调研报告。</w:t>
      </w:r>
    </w:p>
    <w:p>
      <w:pPr>
        <w:pStyle w:val="5"/>
        <w:spacing w:line="360" w:lineRule="auto"/>
        <w:ind w:left="0" w:leftChars="0" w:firstLine="640" w:firstLineChars="200"/>
        <w:rPr>
          <w:rFonts w:hint="eastAsia" w:ascii="仿宋_GB2312" w:hAnsi="仿宋_GB2312" w:eastAsia="仿宋_GB2312" w:cs="仿宋_GB2312"/>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履职效能</w:t>
      </w:r>
      <w:r>
        <w:rPr>
          <w:rFonts w:hint="eastAsia" w:ascii="Times New Roman" w:hAnsi="Times New Roman" w:eastAsia="仿宋_GB2312"/>
          <w:sz w:val="32"/>
          <w:szCs w:val="32"/>
          <w:lang w:eastAsia="zh-CN"/>
        </w:rPr>
        <w:t>。</w:t>
      </w:r>
      <w:r>
        <w:rPr>
          <w:rFonts w:hint="eastAsia" w:ascii="仿宋" w:hAnsi="仿宋" w:eastAsia="仿宋" w:cs="Times New Roman"/>
          <w:sz w:val="32"/>
          <w:szCs w:val="32"/>
          <w:lang w:val="en-US" w:eastAsia="zh-CN"/>
        </w:rPr>
        <w:t>严格程序，严明纪律，认真组织开展了2023年度农业系列职称评审</w:t>
      </w:r>
      <w:r>
        <w:rPr>
          <w:rFonts w:hint="eastAsia" w:ascii="仿宋" w:hAnsi="仿宋" w:eastAsia="仿宋" w:cs="Times New Roman"/>
          <w:sz w:val="32"/>
          <w:szCs w:val="32"/>
          <w:lang w:val="en" w:eastAsia="zh-CN"/>
        </w:rPr>
        <w:t>，全省农业系列职称参评人员达到</w:t>
      </w:r>
      <w:r>
        <w:rPr>
          <w:rFonts w:hint="eastAsia" w:ascii="仿宋" w:hAnsi="仿宋" w:eastAsia="仿宋" w:cs="Times New Roman"/>
          <w:sz w:val="32"/>
          <w:szCs w:val="32"/>
          <w:lang w:val="en-US" w:eastAsia="zh-CN"/>
        </w:rPr>
        <w:t>1155人，其中申报</w:t>
      </w:r>
      <w:r>
        <w:rPr>
          <w:rFonts w:hint="eastAsia" w:ascii="仿宋" w:hAnsi="仿宋" w:eastAsia="仿宋" w:cs="Times New Roman"/>
          <w:sz w:val="32"/>
          <w:szCs w:val="32"/>
          <w:lang w:val="en" w:eastAsia="zh-CN"/>
        </w:rPr>
        <w:t>正高职称的有</w:t>
      </w:r>
      <w:r>
        <w:rPr>
          <w:rFonts w:hint="eastAsia" w:ascii="仿宋" w:hAnsi="仿宋" w:eastAsia="仿宋" w:cs="Times New Roman"/>
          <w:sz w:val="32"/>
          <w:szCs w:val="32"/>
          <w:lang w:val="en-US" w:eastAsia="zh-CN"/>
        </w:rPr>
        <w:t>166人，经农业系列高评会组织专家评审，有66人通过评审，通过率为39.</w:t>
      </w:r>
      <w:r>
        <w:rPr>
          <w:rFonts w:hint="eastAsia" w:ascii="仿宋" w:hAnsi="仿宋" w:eastAsia="仿宋" w:cs="Times New Roman"/>
          <w:color w:val="auto"/>
          <w:sz w:val="32"/>
          <w:szCs w:val="32"/>
          <w:lang w:val="en-US" w:eastAsia="zh-CN"/>
        </w:rPr>
        <w:t>76%；有979人申报农业系列副高职称，有971人通过资格审查，经农业系列高评会组织专家评审，有544人获得通过评审，</w:t>
      </w:r>
      <w:r>
        <w:rPr>
          <w:rFonts w:hint="eastAsia" w:ascii="仿宋_GB2312" w:hAnsi="仿宋_GB2312" w:eastAsia="仿宋_GB2312" w:cs="仿宋_GB2312"/>
          <w:color w:val="auto"/>
          <w:sz w:val="32"/>
          <w:szCs w:val="32"/>
          <w:lang w:val="en-US" w:eastAsia="zh-CN"/>
        </w:rPr>
        <w:t>副高职称通过率达到56.02%，</w:t>
      </w:r>
      <w:r>
        <w:rPr>
          <w:rFonts w:hint="eastAsia" w:ascii="仿宋_GB2312" w:hAnsi="仿宋_GB2312" w:eastAsia="仿宋_GB2312" w:cs="仿宋_GB2312"/>
          <w:sz w:val="32"/>
          <w:szCs w:val="32"/>
        </w:rPr>
        <w:t>县及以下</w:t>
      </w:r>
      <w:r>
        <w:rPr>
          <w:rFonts w:hint="eastAsia" w:ascii="仿宋_GB2312" w:hAnsi="仿宋_GB2312" w:eastAsia="仿宋_GB2312" w:cs="仿宋_GB2312"/>
          <w:sz w:val="32"/>
          <w:szCs w:val="32"/>
          <w:lang w:eastAsia="zh-CN"/>
        </w:rPr>
        <w:t>人员占通过人员总数的</w:t>
      </w:r>
      <w:r>
        <w:rPr>
          <w:rFonts w:hint="eastAsia" w:ascii="仿宋_GB2312" w:hAnsi="仿宋_GB2312" w:eastAsia="仿宋_GB2312" w:cs="仿宋_GB2312"/>
          <w:sz w:val="32"/>
          <w:szCs w:val="32"/>
          <w:lang w:val="en-US" w:eastAsia="zh-CN"/>
        </w:rPr>
        <w:t>83.46</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高质量做好了湖南省</w:t>
      </w:r>
      <w:r>
        <w:rPr>
          <w:rFonts w:hint="eastAsia" w:ascii="仿宋_GB2312" w:hAnsi="仿宋_GB2312" w:eastAsia="仿宋_GB2312" w:cs="仿宋_GB2312"/>
          <w:b w:val="0"/>
          <w:bCs w:val="0"/>
          <w:sz w:val="32"/>
          <w:szCs w:val="32"/>
        </w:rPr>
        <w:t>农业农村系统国有单位人事劳动统计</w:t>
      </w:r>
      <w:r>
        <w:rPr>
          <w:rFonts w:hint="eastAsia" w:ascii="仿宋_GB2312" w:hAnsi="仿宋_GB2312" w:eastAsia="仿宋_GB2312" w:cs="仿宋_GB2312"/>
          <w:b w:val="0"/>
          <w:bCs w:val="0"/>
          <w:sz w:val="32"/>
          <w:szCs w:val="32"/>
          <w:lang w:eastAsia="zh-CN"/>
        </w:rPr>
        <w:t>工作，在全国会议上，湖南作典型经验交流发言。</w:t>
      </w:r>
    </w:p>
    <w:p>
      <w:pPr>
        <w:pStyle w:val="20"/>
        <w:spacing w:line="360" w:lineRule="auto"/>
        <w:outlineLvl w:val="1"/>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2023年6月，制定出台《湖南省农业农村厅关于进一步对乡村产业振兴带头人“头雁”培育对象予以扶持的指导意见》（湘农发〔2023〕50号），对发展势头好、有发展潜力的学员，在技术支持、成果转化、创业环境、投融资等方面持续给予相关政策倾斜及支持。</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lang w:eastAsia="zh-CN"/>
        </w:rPr>
      </w:pPr>
      <w:r>
        <w:rPr>
          <w:rFonts w:hint="eastAsia" w:ascii="仿宋_GB2312" w:hAnsi="仿宋_GB2312" w:eastAsia="仿宋_GB2312" w:cs="仿宋_GB2312"/>
          <w:b w:val="0"/>
          <w:bCs w:val="0"/>
          <w:kern w:val="2"/>
          <w:sz w:val="32"/>
          <w:szCs w:val="32"/>
          <w:lang w:val="en-US" w:eastAsia="zh-CN" w:bidi="ar-SA"/>
        </w:rPr>
        <w:t>根据省人力资源和社会保障厅统一部署，2023年12月17日完成了2023年度全省农业系列职称评审。</w:t>
      </w:r>
    </w:p>
    <w:p>
      <w:pPr>
        <w:pStyle w:val="5"/>
        <w:spacing w:line="360" w:lineRule="auto"/>
        <w:ind w:left="0" w:leftChars="0" w:firstLine="640" w:firstLineChars="200"/>
        <w:rPr>
          <w:rFonts w:hint="eastAsia" w:ascii="仿宋" w:hAnsi="仿宋" w:eastAsia="仿宋" w:cs="仿宋"/>
          <w:b w:val="0"/>
          <w:bCs w:val="0"/>
          <w:sz w:val="32"/>
          <w:szCs w:val="32"/>
          <w:lang w:val="en-US" w:eastAsia="zh-CN"/>
        </w:rPr>
      </w:pP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、社会效应</w:t>
      </w:r>
      <w:r>
        <w:rPr>
          <w:rFonts w:hint="eastAsia" w:ascii="Times New Roman" w:hAnsi="Times New Roman" w:eastAsia="仿宋_GB2312"/>
          <w:sz w:val="32"/>
          <w:szCs w:val="32"/>
          <w:lang w:eastAsia="zh-CN"/>
        </w:rPr>
        <w:t>。</w:t>
      </w:r>
      <w:r>
        <w:rPr>
          <w:rFonts w:hint="eastAsia" w:ascii="仿宋" w:hAnsi="仿宋" w:eastAsia="仿宋" w:cs="仿宋"/>
          <w:b w:val="0"/>
          <w:bCs w:val="0"/>
          <w:sz w:val="32"/>
          <w:szCs w:val="32"/>
          <w:lang w:val="en" w:eastAsia="zh-CN"/>
        </w:rPr>
        <w:t>组织“全国十佳农民”推荐工作，经个人申报、各市州推荐、省级遴选推荐，</w:t>
      </w:r>
      <w:r>
        <w:rPr>
          <w:rFonts w:hint="eastAsia" w:ascii="仿宋" w:hAnsi="仿宋" w:eastAsia="仿宋" w:cs="仿宋"/>
          <w:b w:val="0"/>
          <w:bCs w:val="0"/>
          <w:sz w:val="32"/>
          <w:szCs w:val="32"/>
          <w:lang w:val="en-US" w:eastAsia="zh-CN"/>
        </w:rPr>
        <w:t>最终有1人（衡阳县朱霞）获得“全国十佳农民”荣誉；组织“湖南省十佳农民”、“湖南省十佳农技推广标兵”评审工作，经过两轮评审，党组会审定，最终浏阳市沿溪镇建设村祠堂组胡呈武等10人获得“湖南省十佳农民”称号，长沙县农业综合技术推广服务中心戴金鹏等10人获“湖南省十佳农技推广标兵”称号。</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 w:hAnsi="仿宋" w:eastAsia="仿宋" w:cs="仿宋"/>
          <w:color w:val="000000"/>
          <w:kern w:val="0"/>
          <w:sz w:val="32"/>
          <w:szCs w:val="32"/>
          <w:lang w:val="en-US" w:eastAsia="zh-CN" w:bidi="ar"/>
        </w:rPr>
      </w:pPr>
      <w:r>
        <w:rPr>
          <w:rFonts w:hint="eastAsia" w:ascii="仿宋_GB2312" w:hAnsi="仿宋_GB2312" w:eastAsia="仿宋_GB2312" w:cs="仿宋_GB2312"/>
          <w:b w:val="0"/>
          <w:bCs w:val="0"/>
          <w:sz w:val="32"/>
          <w:szCs w:val="32"/>
          <w:lang w:val="en-US" w:eastAsia="zh-CN"/>
        </w:rPr>
        <w:t>2023</w:t>
      </w:r>
      <w:r>
        <w:rPr>
          <w:rFonts w:hint="eastAsia" w:ascii="仿宋" w:hAnsi="仿宋" w:eastAsia="仿宋" w:cs="仿宋"/>
          <w:b w:val="0"/>
          <w:bCs/>
          <w:sz w:val="32"/>
          <w:szCs w:val="32"/>
          <w:lang w:val="en" w:eastAsia="zh-CN"/>
        </w:rPr>
        <w:t>年，组织选派选手参加</w:t>
      </w:r>
      <w:r>
        <w:rPr>
          <w:rFonts w:hint="eastAsia" w:ascii="仿宋" w:hAnsi="仿宋" w:eastAsia="仿宋" w:cs="仿宋"/>
          <w:color w:val="000000"/>
          <w:kern w:val="0"/>
          <w:sz w:val="32"/>
          <w:szCs w:val="32"/>
          <w:lang w:val="en-US" w:eastAsia="zh-CN" w:bidi="ar"/>
        </w:rPr>
        <w:t>全国农业行业职业技能大赛</w:t>
      </w:r>
      <w:r>
        <w:rPr>
          <w:rFonts w:hint="eastAsia" w:ascii="仿宋" w:hAnsi="仿宋" w:eastAsia="仿宋" w:cs="仿宋"/>
          <w:color w:val="000000"/>
          <w:kern w:val="0"/>
          <w:sz w:val="32"/>
          <w:szCs w:val="32"/>
          <w:lang w:val="en" w:eastAsia="zh-CN" w:bidi="ar"/>
        </w:rPr>
        <w:t>决赛，农产品质量安全检测赛项中湖南代表队获得团体亚军、且</w:t>
      </w:r>
      <w:r>
        <w:rPr>
          <w:rFonts w:hint="eastAsia" w:ascii="仿宋" w:hAnsi="仿宋" w:eastAsia="仿宋" w:cs="仿宋"/>
          <w:color w:val="000000"/>
          <w:kern w:val="0"/>
          <w:sz w:val="32"/>
          <w:szCs w:val="32"/>
          <w:lang w:val="en-US" w:eastAsia="zh-CN" w:bidi="ar"/>
        </w:rPr>
        <w:t>1人获“全国技术能手”称号、2人获“全国农业技术能手”称号；</w:t>
      </w:r>
      <w:r>
        <w:rPr>
          <w:rFonts w:hint="eastAsia" w:ascii="仿宋" w:hAnsi="仿宋" w:eastAsia="仿宋" w:cs="仿宋"/>
          <w:color w:val="000000"/>
          <w:kern w:val="0"/>
          <w:sz w:val="32"/>
          <w:szCs w:val="32"/>
          <w:lang w:val="en" w:eastAsia="zh-CN" w:bidi="ar"/>
        </w:rPr>
        <w:t>在茶叶加工赛项中</w:t>
      </w:r>
      <w:r>
        <w:rPr>
          <w:rFonts w:hint="eastAsia" w:ascii="仿宋" w:hAnsi="仿宋" w:eastAsia="仿宋" w:cs="仿宋"/>
          <w:color w:val="000000"/>
          <w:kern w:val="0"/>
          <w:sz w:val="32"/>
          <w:szCs w:val="32"/>
          <w:lang w:val="en-US" w:eastAsia="zh-CN" w:bidi="ar"/>
        </w:rPr>
        <w:t>1</w:t>
      </w:r>
      <w:r>
        <w:rPr>
          <w:rFonts w:hint="eastAsia" w:ascii="仿宋" w:hAnsi="仿宋" w:eastAsia="仿宋" w:cs="仿宋"/>
          <w:color w:val="000000"/>
          <w:kern w:val="0"/>
          <w:sz w:val="32"/>
          <w:szCs w:val="32"/>
          <w:lang w:val="en" w:eastAsia="zh-CN" w:bidi="ar"/>
        </w:rPr>
        <w:t>人</w:t>
      </w:r>
      <w:r>
        <w:rPr>
          <w:rFonts w:hint="eastAsia" w:ascii="仿宋" w:hAnsi="仿宋" w:eastAsia="仿宋" w:cs="仿宋"/>
          <w:color w:val="000000"/>
          <w:kern w:val="0"/>
          <w:sz w:val="32"/>
          <w:szCs w:val="32"/>
          <w:lang w:val="en-US" w:eastAsia="zh-CN" w:bidi="ar"/>
        </w:rPr>
        <w:t>获“全国农业技术能手”称号、3人获“优秀选手”称号；在</w:t>
      </w:r>
      <w:r>
        <w:rPr>
          <w:rFonts w:hint="eastAsia" w:ascii="仿宋" w:hAnsi="仿宋" w:eastAsia="仿宋" w:cs="仿宋"/>
          <w:color w:val="000000"/>
          <w:kern w:val="0"/>
          <w:sz w:val="32"/>
          <w:szCs w:val="32"/>
          <w:lang w:val="en" w:eastAsia="zh-CN" w:bidi="ar"/>
        </w:rPr>
        <w:t>家畜繁殖员赛项中湖南省代表队获得团体第三名；在动物检疫检验员赛项中有</w:t>
      </w:r>
      <w:r>
        <w:rPr>
          <w:rFonts w:hint="eastAsia" w:ascii="仿宋" w:hAnsi="仿宋" w:eastAsia="仿宋" w:cs="仿宋"/>
          <w:color w:val="000000"/>
          <w:kern w:val="0"/>
          <w:sz w:val="32"/>
          <w:szCs w:val="32"/>
          <w:lang w:val="en-US" w:eastAsia="zh-CN" w:bidi="ar"/>
        </w:rPr>
        <w:t>2人获个人三等奖。</w:t>
      </w:r>
    </w:p>
    <w:p>
      <w:pPr>
        <w:pStyle w:val="5"/>
        <w:spacing w:line="360" w:lineRule="auto"/>
        <w:ind w:left="0" w:leftChars="0" w:firstLine="640" w:firstLineChars="200"/>
        <w:rPr>
          <w:rFonts w:hint="default" w:ascii="仿宋" w:hAnsi="仿宋" w:eastAsia="仿宋" w:cs="仿宋"/>
          <w:sz w:val="32"/>
          <w:szCs w:val="32"/>
          <w:lang w:val="en" w:eastAsia="zh-CN"/>
        </w:rPr>
      </w:pP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、可持续发展能力</w:t>
      </w:r>
      <w:r>
        <w:rPr>
          <w:rFonts w:hint="eastAsia" w:ascii="Times New Roman" w:hAnsi="Times New Roman" w:eastAsia="仿宋_GB2312"/>
          <w:sz w:val="32"/>
          <w:szCs w:val="32"/>
          <w:lang w:eastAsia="zh-CN"/>
        </w:rPr>
        <w:t>。</w:t>
      </w:r>
      <w:r>
        <w:rPr>
          <w:rFonts w:hint="eastAsia" w:ascii="仿宋_GB2312" w:hAnsi="仿宋" w:eastAsia="仿宋_GB2312" w:cs="Times New Roman"/>
          <w:sz w:val="32"/>
          <w:szCs w:val="32"/>
        </w:rPr>
        <w:t>组织厅直有关事业单位</w:t>
      </w:r>
      <w:r>
        <w:rPr>
          <w:rFonts w:hint="eastAsia" w:ascii="仿宋_GB2312" w:hAnsi="仿宋_GB2312" w:eastAsia="仿宋_GB2312" w:cs="仿宋_GB2312"/>
          <w:b w:val="0"/>
          <w:bCs/>
          <w:sz w:val="32"/>
          <w:szCs w:val="32"/>
          <w:lang w:val="en-US" w:eastAsia="zh-CN"/>
        </w:rPr>
        <w:t>做好享受国务院政府特殊津贴专家，享受省政府特殊津贴专家推荐工作，</w:t>
      </w:r>
      <w:r>
        <w:rPr>
          <w:rFonts w:hint="eastAsia" w:ascii="仿宋_GB2312" w:hAnsi="仿宋" w:eastAsia="仿宋_GB2312" w:cs="Times New Roman"/>
          <w:sz w:val="32"/>
          <w:szCs w:val="32"/>
        </w:rPr>
        <w:t>按照选拔条件和推荐程序，</w:t>
      </w:r>
      <w:r>
        <w:rPr>
          <w:rFonts w:hint="eastAsia" w:ascii="仿宋_GB2312" w:hAnsi="仿宋" w:eastAsia="仿宋_GB2312" w:cs="Times New Roman"/>
          <w:sz w:val="32"/>
          <w:szCs w:val="32"/>
          <w:lang w:eastAsia="zh-CN"/>
        </w:rPr>
        <w:t>分别收到各</w:t>
      </w:r>
      <w:r>
        <w:rPr>
          <w:rFonts w:hint="eastAsia" w:ascii="仿宋_GB2312" w:hAnsi="仿宋" w:eastAsia="仿宋_GB2312" w:cs="Times New Roman"/>
          <w:sz w:val="32"/>
          <w:szCs w:val="32"/>
          <w:lang w:val="en-US" w:eastAsia="zh-CN"/>
        </w:rPr>
        <w:t>5</w:t>
      </w:r>
      <w:r>
        <w:rPr>
          <w:rFonts w:hint="eastAsia" w:ascii="仿宋_GB2312" w:hAnsi="仿宋" w:eastAsia="仿宋_GB2312" w:cs="Times New Roman"/>
          <w:sz w:val="32"/>
          <w:szCs w:val="32"/>
        </w:rPr>
        <w:t>名</w:t>
      </w:r>
      <w:r>
        <w:rPr>
          <w:rFonts w:hint="eastAsia" w:ascii="仿宋_GB2312" w:hAnsi="仿宋" w:eastAsia="仿宋_GB2312" w:cs="Times New Roman"/>
          <w:sz w:val="32"/>
          <w:szCs w:val="32"/>
          <w:lang w:eastAsia="zh-CN"/>
        </w:rPr>
        <w:t>人员</w:t>
      </w:r>
      <w:r>
        <w:rPr>
          <w:rFonts w:hint="eastAsia" w:ascii="仿宋_GB2312" w:hAnsi="仿宋" w:eastAsia="仿宋_GB2312" w:cs="Times New Roman"/>
          <w:sz w:val="32"/>
          <w:szCs w:val="32"/>
        </w:rPr>
        <w:t>的申报材料，经专家综合评议</w:t>
      </w:r>
      <w:r>
        <w:rPr>
          <w:rFonts w:hint="eastAsia" w:ascii="仿宋_GB2312" w:hAnsi="仿宋" w:eastAsia="仿宋_GB2312" w:cs="Times New Roman"/>
          <w:sz w:val="32"/>
          <w:szCs w:val="32"/>
          <w:lang w:eastAsia="zh-CN"/>
        </w:rPr>
        <w:t>并经厅党组会议审定</w:t>
      </w:r>
      <w:r>
        <w:rPr>
          <w:rFonts w:hint="eastAsia" w:ascii="仿宋_GB2312" w:hAnsi="仿宋" w:eastAsia="仿宋_GB2312" w:cs="Times New Roman"/>
          <w:sz w:val="32"/>
          <w:szCs w:val="32"/>
        </w:rPr>
        <w:t>，</w:t>
      </w:r>
      <w:r>
        <w:rPr>
          <w:rFonts w:hint="default" w:ascii="仿宋" w:hAnsi="仿宋" w:eastAsia="仿宋" w:cs="仿宋"/>
          <w:sz w:val="32"/>
          <w:szCs w:val="32"/>
          <w:lang w:val="en" w:eastAsia="zh-CN"/>
        </w:rPr>
        <w:t>推荐</w:t>
      </w:r>
      <w:r>
        <w:rPr>
          <w:rFonts w:hint="eastAsia" w:ascii="仿宋" w:hAnsi="仿宋" w:eastAsia="仿宋" w:cs="仿宋"/>
          <w:sz w:val="32"/>
          <w:szCs w:val="32"/>
          <w:lang w:val="en-US" w:eastAsia="zh-CN"/>
        </w:rPr>
        <w:t>1名同志</w:t>
      </w:r>
      <w:r>
        <w:rPr>
          <w:rFonts w:hint="default" w:ascii="仿宋" w:hAnsi="仿宋" w:eastAsia="仿宋" w:cs="仿宋"/>
          <w:sz w:val="32"/>
          <w:szCs w:val="32"/>
          <w:lang w:val="en" w:eastAsia="zh-CN"/>
        </w:rPr>
        <w:t>参加全</w:t>
      </w:r>
      <w:r>
        <w:rPr>
          <w:rFonts w:hint="eastAsia" w:ascii="仿宋" w:hAnsi="仿宋" w:eastAsia="仿宋" w:cs="仿宋"/>
          <w:sz w:val="32"/>
          <w:szCs w:val="32"/>
          <w:lang w:val="en" w:eastAsia="zh-CN"/>
        </w:rPr>
        <w:t>国</w:t>
      </w:r>
      <w:r>
        <w:rPr>
          <w:rFonts w:hint="default" w:ascii="仿宋" w:hAnsi="仿宋" w:eastAsia="仿宋" w:cs="仿宋"/>
          <w:sz w:val="32"/>
          <w:szCs w:val="32"/>
          <w:lang w:val="en" w:eastAsia="zh-CN"/>
        </w:rPr>
        <w:t>评审</w:t>
      </w:r>
      <w:r>
        <w:rPr>
          <w:rFonts w:hint="eastAsia" w:ascii="仿宋_GB2312" w:hAnsi="仿宋" w:eastAsia="仿宋_GB2312" w:cs="Times New Roman"/>
          <w:sz w:val="32"/>
          <w:szCs w:val="32"/>
          <w:lang w:eastAsia="zh-CN"/>
        </w:rPr>
        <w:t>，</w:t>
      </w:r>
      <w:r>
        <w:rPr>
          <w:rFonts w:hint="eastAsia" w:ascii="仿宋_GB2312" w:hAnsi="仿宋" w:eastAsia="仿宋_GB2312" w:cs="Times New Roman"/>
          <w:sz w:val="32"/>
          <w:szCs w:val="32"/>
          <w:lang w:val="en-US" w:eastAsia="zh-CN"/>
        </w:rPr>
        <w:t>1名同志</w:t>
      </w:r>
      <w:r>
        <w:rPr>
          <w:rFonts w:hint="eastAsia" w:ascii="仿宋_GB2312" w:hAnsi="仿宋" w:eastAsia="仿宋_GB2312" w:cs="Times New Roman"/>
          <w:sz w:val="32"/>
          <w:szCs w:val="32"/>
          <w:lang w:eastAsia="zh-CN"/>
        </w:rPr>
        <w:t>参加全省评审。</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服务对象满意度</w:t>
      </w:r>
    </w:p>
    <w:p>
      <w:pPr>
        <w:pStyle w:val="5"/>
        <w:spacing w:line="360" w:lineRule="auto"/>
        <w:ind w:left="0" w:leftChars="0" w:firstLine="640" w:firstLineChars="200"/>
        <w:rPr>
          <w:rFonts w:hint="eastAsia" w:ascii="仿宋" w:hAnsi="仿宋" w:eastAsia="仿宋" w:cs="仿宋_GB2312"/>
          <w:sz w:val="32"/>
          <w:szCs w:val="32"/>
          <w:lang w:eastAsia="zh-CN"/>
        </w:rPr>
      </w:pPr>
      <w:r>
        <w:rPr>
          <w:rFonts w:ascii="仿宋" w:hAnsi="仿宋" w:eastAsia="仿宋" w:cs="仿宋_GB2312"/>
          <w:sz w:val="32"/>
          <w:szCs w:val="32"/>
        </w:rPr>
        <w:t>服务对象的满意程度</w:t>
      </w:r>
      <w:r>
        <w:rPr>
          <w:rFonts w:hint="eastAsia" w:ascii="仿宋" w:hAnsi="仿宋" w:eastAsia="仿宋" w:cs="仿宋_GB2312"/>
          <w:sz w:val="32"/>
          <w:szCs w:val="32"/>
          <w:lang w:eastAsia="zh-CN"/>
        </w:rPr>
        <w:t>达</w:t>
      </w:r>
      <w:r>
        <w:rPr>
          <w:rFonts w:hint="eastAsia" w:ascii="仿宋" w:hAnsi="仿宋" w:eastAsia="仿宋" w:cs="仿宋_GB2312"/>
          <w:sz w:val="32"/>
          <w:szCs w:val="32"/>
        </w:rPr>
        <w:t>9</w:t>
      </w:r>
      <w:r>
        <w:rPr>
          <w:rFonts w:hint="eastAsia" w:ascii="仿宋" w:hAnsi="仿宋" w:eastAsia="仿宋" w:cs="仿宋_GB2312"/>
          <w:sz w:val="32"/>
          <w:szCs w:val="32"/>
          <w:lang w:val="en-US" w:eastAsia="zh-CN"/>
        </w:rPr>
        <w:t>5</w:t>
      </w:r>
      <w:r>
        <w:rPr>
          <w:rFonts w:hint="eastAsia" w:ascii="仿宋" w:hAnsi="仿宋" w:eastAsia="仿宋" w:cs="仿宋_GB2312"/>
          <w:sz w:val="32"/>
          <w:szCs w:val="32"/>
        </w:rPr>
        <w:t>%</w:t>
      </w:r>
      <w:r>
        <w:rPr>
          <w:rFonts w:hint="eastAsia" w:ascii="仿宋" w:hAnsi="仿宋" w:eastAsia="仿宋" w:cs="仿宋_GB2312"/>
          <w:sz w:val="32"/>
          <w:szCs w:val="32"/>
          <w:lang w:eastAsia="zh-CN"/>
        </w:rPr>
        <w:t>以上。</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我中心整体预算执行率有待提高，全年支出预算数171.03万元，决算数135.47万元，执行率为79.21%，主要原因项目跨年度执行。</w:t>
      </w:r>
    </w:p>
    <w:p>
      <w:pPr>
        <w:pStyle w:val="14"/>
        <w:jc w:val="both"/>
        <w:rPr>
          <w:sz w:val="72"/>
          <w:szCs w:val="72"/>
        </w:rPr>
      </w:pPr>
    </w:p>
    <w:p>
      <w:pPr>
        <w:pStyle w:val="14"/>
        <w:jc w:val="center"/>
        <w:rPr>
          <w:sz w:val="72"/>
          <w:szCs w:val="72"/>
        </w:rPr>
      </w:pPr>
    </w:p>
    <w:p>
      <w:pPr>
        <w:pStyle w:val="14"/>
        <w:jc w:val="center"/>
        <w:rPr>
          <w:sz w:val="72"/>
          <w:szCs w:val="72"/>
        </w:rPr>
      </w:pPr>
    </w:p>
    <w:p>
      <w:pPr>
        <w:pStyle w:val="14"/>
        <w:jc w:val="both"/>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rPr>
          <w:rFonts w:hint="eastAsia" w:ascii="方正小标宋_GBK" w:hAnsi="方正小标宋_GBK" w:eastAsia="方正小标宋_GBK" w:cs="方正小标宋_GBK"/>
          <w:color w:val="000000"/>
          <w:kern w:val="0"/>
          <w:sz w:val="70"/>
          <w:szCs w:val="70"/>
        </w:rPr>
        <w:br w:type="page"/>
      </w:r>
    </w:p>
    <w:p>
      <w:pPr>
        <w:widowControl/>
        <w:ind w:firstLine="640" w:firstLineChars="200"/>
        <w:jc w:val="left"/>
        <w:rPr>
          <w:rFonts w:hint="eastAsia" w:ascii="仿宋" w:hAnsi="仿宋" w:eastAsia="仿宋" w:cs="黑体"/>
          <w:bCs/>
          <w:color w:val="000000"/>
          <w:kern w:val="0"/>
          <w:sz w:val="32"/>
          <w:szCs w:val="32"/>
          <w:lang w:val="en-US" w:eastAsia="zh-CN" w:bidi="ar-SA"/>
        </w:rPr>
      </w:pPr>
      <w:r>
        <w:rPr>
          <w:rFonts w:hint="eastAsia" w:ascii="仿宋" w:hAnsi="仿宋" w:eastAsia="仿宋" w:cs="黑体"/>
          <w:bCs/>
          <w:color w:val="000000"/>
          <w:kern w:val="0"/>
          <w:sz w:val="32"/>
          <w:szCs w:val="32"/>
          <w:lang w:val="en-US" w:eastAsia="zh-CN" w:bidi="ar-SA"/>
        </w:rPr>
        <w:t>一、基本支出：指为保障机构正常运转、完成日常工作任务而发生的各项支出，包括人员支出和公用支出。</w:t>
      </w:r>
    </w:p>
    <w:p>
      <w:pPr>
        <w:numPr>
          <w:ilvl w:val="0"/>
          <w:numId w:val="0"/>
        </w:numPr>
        <w:ind w:firstLine="640" w:firstLineChars="200"/>
        <w:jc w:val="left"/>
        <w:rPr>
          <w:rFonts w:hint="eastAsia" w:ascii="仿宋" w:hAnsi="仿宋" w:eastAsia="仿宋" w:cs="黑体"/>
          <w:bCs/>
          <w:color w:val="000000"/>
          <w:kern w:val="0"/>
          <w:sz w:val="32"/>
          <w:szCs w:val="32"/>
          <w:lang w:val="en-US" w:eastAsia="zh-CN" w:bidi="ar-SA"/>
        </w:rPr>
      </w:pPr>
      <w:r>
        <w:rPr>
          <w:rFonts w:hint="eastAsia" w:ascii="仿宋" w:hAnsi="仿宋" w:eastAsia="仿宋" w:cs="黑体"/>
          <w:bCs/>
          <w:color w:val="000000"/>
          <w:kern w:val="0"/>
          <w:sz w:val="32"/>
          <w:szCs w:val="32"/>
          <w:lang w:val="en-US" w:eastAsia="zh-CN" w:bidi="ar-SA"/>
        </w:rPr>
        <w:t xml:space="preserve">二、项目支出：指在基本支出以外为完成相关行政任务和事业发展目标所发生的各项支出。 </w:t>
      </w:r>
    </w:p>
    <w:p>
      <w:pPr>
        <w:pStyle w:val="14"/>
        <w:ind w:firstLine="640" w:firstLineChars="200"/>
        <w:rPr>
          <w:rFonts w:ascii="仿宋" w:hAnsi="仿宋" w:eastAsia="仿宋"/>
          <w:bCs/>
          <w:sz w:val="32"/>
          <w:szCs w:val="32"/>
        </w:rPr>
      </w:pPr>
      <w:r>
        <w:rPr>
          <w:rFonts w:hint="eastAsia" w:ascii="仿宋" w:hAnsi="仿宋" w:eastAsia="仿宋" w:cs="黑体"/>
          <w:bCs/>
          <w:color w:val="000000"/>
          <w:kern w:val="0"/>
          <w:sz w:val="32"/>
          <w:szCs w:val="32"/>
          <w:lang w:val="en-US" w:eastAsia="zh-CN" w:bidi="ar-SA"/>
        </w:rPr>
        <w:t>三、“三公”经费:纳入省财政预算管理的“三</w:t>
      </w:r>
      <w:r>
        <w:rPr>
          <w:rFonts w:hint="eastAsia" w:ascii="仿宋" w:hAnsi="仿宋" w:eastAsia="仿宋"/>
          <w:bCs/>
          <w:sz w:val="32"/>
          <w:szCs w:val="32"/>
        </w:rPr>
        <w:t>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rPr>
          <w:sz w:val="72"/>
          <w:szCs w:val="72"/>
        </w:rPr>
      </w:pPr>
      <w:r>
        <w:rPr>
          <w:sz w:val="72"/>
          <w:szCs w:val="72"/>
        </w:rPr>
        <w:br w:type="page"/>
      </w: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4"/>
        <w:jc w:val="center"/>
        <w:rPr>
          <w:rFonts w:hint="eastAsia" w:ascii="方正小标宋_GBK" w:hAnsi="方正小标宋_GBK" w:eastAsia="方正小标宋_GBK" w:cs="方正小标宋_GBK"/>
          <w:sz w:val="70"/>
          <w:szCs w:val="70"/>
        </w:rPr>
      </w:pPr>
    </w:p>
    <w:p>
      <w:pPr>
        <w:pStyle w:val="14"/>
        <w:jc w:val="center"/>
        <w:rPr>
          <w:rFonts w:hint="eastAsia" w:eastAsia="黑体"/>
          <w:sz w:val="72"/>
          <w:szCs w:val="72"/>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rPr>
          <w:sz w:val="72"/>
          <w:szCs w:val="72"/>
        </w:rPr>
      </w:pPr>
      <w:r>
        <w:rPr>
          <w:sz w:val="72"/>
          <w:szCs w:val="72"/>
        </w:rPr>
        <w:br w:type="page"/>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楷体" w:hAnsi="楷体" w:eastAsia="楷体" w:cs="楷体"/>
          <w:b/>
          <w:bCs/>
          <w:sz w:val="32"/>
          <w:szCs w:val="32"/>
          <w:lang w:eastAsia="zh-CN"/>
        </w:rPr>
        <w:t>一、</w:t>
      </w:r>
      <w:r>
        <w:rPr>
          <w:rFonts w:hint="eastAsia" w:ascii="Times New Roman" w:hAnsi="Times New Roman" w:eastAsia="仿宋_GB2312"/>
          <w:sz w:val="32"/>
          <w:szCs w:val="32"/>
          <w:lang w:val="en-US" w:eastAsia="zh-CN"/>
        </w:rPr>
        <w:t>2023年度单位整体支出绩效自评报告。</w:t>
      </w:r>
    </w:p>
    <w:p>
      <w:pPr>
        <w:pStyle w:val="14"/>
        <w:keepNext w:val="0"/>
        <w:keepLines w:val="0"/>
        <w:pageBreakBefore w:val="0"/>
        <w:widowControl w:val="0"/>
        <w:kinsoku/>
        <w:wordWrap/>
        <w:overflowPunct/>
        <w:topLinePunct w:val="0"/>
        <w:bidi w:val="0"/>
        <w:snapToGrid/>
        <w:spacing w:line="600" w:lineRule="exact"/>
        <w:jc w:val="center"/>
        <w:textAlignment w:val="auto"/>
        <w:rPr>
          <w:rFonts w:hint="eastAsia" w:ascii="方正小标宋简体" w:hAnsi="方正小标宋简体" w:eastAsia="方正小标宋简体" w:cs="方正小标宋简体"/>
          <w:b w:val="0"/>
          <w:bCs w:val="0"/>
          <w:color w:val="auto"/>
          <w:sz w:val="44"/>
          <w:szCs w:val="44"/>
          <w:lang w:val="en-US" w:eastAsia="zh-CN"/>
        </w:rPr>
      </w:pPr>
      <w:r>
        <w:rPr>
          <w:rFonts w:hint="eastAsia" w:ascii="方正小标宋简体" w:hAnsi="方正小标宋简体" w:eastAsia="方正小标宋简体" w:cs="方正小标宋简体"/>
          <w:b w:val="0"/>
          <w:bCs w:val="0"/>
          <w:color w:val="auto"/>
          <w:sz w:val="44"/>
          <w:szCs w:val="44"/>
          <w:lang w:val="en-US" w:eastAsia="zh-CN"/>
        </w:rPr>
        <w:t>2023年度湖南省农业人才交流服务中心</w:t>
      </w:r>
    </w:p>
    <w:p>
      <w:pPr>
        <w:pStyle w:val="14"/>
        <w:keepNext w:val="0"/>
        <w:keepLines w:val="0"/>
        <w:pageBreakBefore w:val="0"/>
        <w:widowControl w:val="0"/>
        <w:kinsoku/>
        <w:wordWrap/>
        <w:overflowPunct/>
        <w:topLinePunct w:val="0"/>
        <w:bidi w:val="0"/>
        <w:snapToGrid/>
        <w:spacing w:line="600" w:lineRule="exact"/>
        <w:jc w:val="center"/>
        <w:textAlignment w:val="auto"/>
        <w:rPr>
          <w:rFonts w:hint="eastAsia" w:ascii="方正小标宋简体" w:hAnsi="方正小标宋简体" w:eastAsia="方正小标宋简体" w:cs="方正小标宋简体"/>
          <w:b w:val="0"/>
          <w:bCs w:val="0"/>
          <w:color w:val="auto"/>
          <w:sz w:val="44"/>
          <w:szCs w:val="44"/>
          <w:lang w:val="en-US" w:eastAsia="zh-CN"/>
        </w:rPr>
      </w:pPr>
      <w:r>
        <w:rPr>
          <w:rFonts w:hint="eastAsia" w:ascii="方正小标宋简体" w:hAnsi="方正小标宋简体" w:eastAsia="方正小标宋简体" w:cs="方正小标宋简体"/>
          <w:b w:val="0"/>
          <w:bCs w:val="0"/>
          <w:color w:val="auto"/>
          <w:sz w:val="44"/>
          <w:szCs w:val="44"/>
          <w:lang w:val="en-US" w:eastAsia="zh-CN"/>
        </w:rPr>
        <w:t>整体支出绩效自评报告</w:t>
      </w:r>
    </w:p>
    <w:p>
      <w:pPr>
        <w:pStyle w:val="14"/>
        <w:keepNext w:val="0"/>
        <w:keepLines w:val="0"/>
        <w:pageBreakBefore w:val="0"/>
        <w:widowControl w:val="0"/>
        <w:kinsoku/>
        <w:wordWrap/>
        <w:overflowPunct/>
        <w:topLinePunct w:val="0"/>
        <w:bidi w:val="0"/>
        <w:snapToGrid/>
        <w:spacing w:line="600" w:lineRule="exact"/>
        <w:jc w:val="center"/>
        <w:textAlignment w:val="auto"/>
        <w:rPr>
          <w:rFonts w:hint="eastAsia" w:ascii="方正小标宋简体" w:hAnsi="方正小标宋简体" w:eastAsia="方正小标宋简体" w:cs="方正小标宋简体"/>
          <w:b w:val="0"/>
          <w:bCs w:val="0"/>
          <w:color w:val="auto"/>
          <w:sz w:val="44"/>
          <w:szCs w:val="44"/>
          <w:lang w:val="en-US" w:eastAsia="zh-CN"/>
        </w:rPr>
      </w:pP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一、单位基本情况</w:t>
      </w:r>
    </w:p>
    <w:p>
      <w:pPr>
        <w:spacing w:line="360" w:lineRule="auto"/>
        <w:ind w:firstLine="64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1.单位职责。</w:t>
      </w:r>
      <w:r>
        <w:rPr>
          <w:rFonts w:hint="eastAsia" w:ascii="仿宋" w:hAnsi="仿宋" w:eastAsia="仿宋" w:cs="仿宋_GB2312"/>
          <w:sz w:val="32"/>
          <w:szCs w:val="32"/>
        </w:rPr>
        <w:t>一是开展农业农村人才</w:t>
      </w:r>
      <w:r>
        <w:rPr>
          <w:rFonts w:hint="eastAsia" w:ascii="仿宋" w:hAnsi="仿宋" w:eastAsia="仿宋" w:cs="仿宋_GB2312"/>
          <w:color w:val="auto"/>
          <w:sz w:val="32"/>
          <w:szCs w:val="32"/>
          <w:lang w:eastAsia="zh-CN"/>
        </w:rPr>
        <w:t>工作调研</w:t>
      </w:r>
      <w:r>
        <w:rPr>
          <w:rFonts w:hint="eastAsia" w:ascii="仿宋" w:hAnsi="仿宋" w:eastAsia="仿宋" w:cs="仿宋_GB2312"/>
          <w:color w:val="auto"/>
          <w:sz w:val="32"/>
          <w:szCs w:val="32"/>
        </w:rPr>
        <w:t>，为乡村人才振兴提供农业农村人才发展建议；二是负责农村实用人才</w:t>
      </w:r>
      <w:r>
        <w:rPr>
          <w:rFonts w:hint="eastAsia" w:ascii="仿宋" w:hAnsi="仿宋" w:eastAsia="仿宋" w:cs="仿宋_GB2312"/>
          <w:color w:val="auto"/>
          <w:sz w:val="32"/>
          <w:szCs w:val="32"/>
          <w:lang w:eastAsia="zh-CN"/>
        </w:rPr>
        <w:t>和乡村产业振兴带头人“头雁”人才队伍建设</w:t>
      </w:r>
      <w:r>
        <w:rPr>
          <w:rFonts w:hint="eastAsia" w:ascii="仿宋" w:hAnsi="仿宋" w:eastAsia="仿宋" w:cs="仿宋_GB2312"/>
          <w:color w:val="auto"/>
          <w:sz w:val="32"/>
          <w:szCs w:val="32"/>
        </w:rPr>
        <w:t>。组织实施农村实用人才示范培训基地建设和农村实用人才培训调训工作；定期开展农村实用人才全口径统计工作</w:t>
      </w:r>
      <w:r>
        <w:rPr>
          <w:rFonts w:hint="eastAsia" w:ascii="仿宋" w:hAnsi="仿宋" w:eastAsia="仿宋" w:cs="仿宋_GB2312"/>
          <w:color w:val="auto"/>
          <w:sz w:val="32"/>
          <w:szCs w:val="32"/>
          <w:lang w:eastAsia="zh-CN"/>
        </w:rPr>
        <w:t>；组织实施乡村产业振兴带头人“头雁”项目培育工作</w:t>
      </w:r>
      <w:r>
        <w:rPr>
          <w:rFonts w:hint="eastAsia" w:ascii="仿宋" w:hAnsi="仿宋" w:eastAsia="仿宋" w:cs="仿宋_GB2312"/>
          <w:color w:val="auto"/>
          <w:sz w:val="32"/>
          <w:szCs w:val="32"/>
        </w:rPr>
        <w:t>。三是负责乡村优秀人才资助项目遴选工作。宣传贯彻落实《湖南省乡村人才振兴行动计划》（湘组发[2019]2号）文件精神，组织实施“湖南省十佳农民”、“湖南省十佳农技推广标兵”等遴选资助项目，激发广大农业农村人才扎根基层创业创新；四是负责组织农业技能大赛。搭建竞技平台，协调各方，举办全省农业行业职业技能大赛，以赛促训，为人才脱颖而出搭建平台。五是承办农业专业技术人员队伍建设，主要是农业系列职称改革和评审工作；六是承办农业行业工人技术等级考核（考试）工作；七是承办专家服务、选拔、推荐、培养工</w:t>
      </w:r>
      <w:r>
        <w:rPr>
          <w:rFonts w:hint="eastAsia" w:ascii="仿宋" w:hAnsi="仿宋" w:eastAsia="仿宋" w:cs="仿宋_GB2312"/>
          <w:sz w:val="32"/>
          <w:szCs w:val="32"/>
        </w:rPr>
        <w:t>作；八是协助做好报送全省农业农村系统国有单位人事劳动统计工作</w:t>
      </w:r>
      <w:r>
        <w:rPr>
          <w:rFonts w:hint="eastAsia" w:ascii="仿宋" w:hAnsi="仿宋" w:eastAsia="仿宋" w:cs="仿宋_GB2312"/>
          <w:sz w:val="32"/>
          <w:szCs w:val="32"/>
          <w:lang w:eastAsia="zh-CN"/>
        </w:rPr>
        <w:t>。</w:t>
      </w:r>
    </w:p>
    <w:p>
      <w:pPr>
        <w:spacing w:line="360" w:lineRule="auto"/>
        <w:ind w:firstLine="640"/>
        <w:rPr>
          <w:rFonts w:hint="eastAsia" w:ascii="仿宋" w:hAnsi="仿宋" w:eastAsia="仿宋" w:cs="仿宋_GB2312"/>
          <w:sz w:val="32"/>
          <w:szCs w:val="32"/>
        </w:rPr>
      </w:pPr>
      <w:r>
        <w:rPr>
          <w:rFonts w:hint="eastAsia" w:ascii="仿宋" w:hAnsi="仿宋" w:eastAsia="仿宋" w:cs="仿宋_GB2312"/>
          <w:sz w:val="32"/>
          <w:szCs w:val="32"/>
        </w:rPr>
        <w:t>2．人员情况</w:t>
      </w:r>
      <w:r>
        <w:rPr>
          <w:rFonts w:hint="eastAsia" w:ascii="仿宋" w:hAnsi="仿宋" w:eastAsia="仿宋" w:cs="仿宋_GB2312"/>
          <w:sz w:val="32"/>
          <w:szCs w:val="32"/>
          <w:lang w:eastAsia="zh-CN"/>
        </w:rPr>
        <w:t>。</w:t>
      </w:r>
      <w:r>
        <w:rPr>
          <w:rFonts w:hint="eastAsia" w:ascii="仿宋" w:hAnsi="仿宋" w:eastAsia="仿宋" w:cs="仿宋_GB2312"/>
          <w:sz w:val="32"/>
          <w:szCs w:val="32"/>
        </w:rPr>
        <w:t>中心编制</w:t>
      </w:r>
      <w:r>
        <w:rPr>
          <w:rFonts w:hint="eastAsia" w:ascii="仿宋" w:hAnsi="仿宋" w:eastAsia="仿宋" w:cs="仿宋_GB2312"/>
          <w:sz w:val="32"/>
          <w:szCs w:val="32"/>
          <w:lang w:val="en-US" w:eastAsia="zh-CN"/>
        </w:rPr>
        <w:t>3</w:t>
      </w:r>
      <w:r>
        <w:rPr>
          <w:rFonts w:hint="eastAsia" w:ascii="仿宋" w:hAnsi="仿宋" w:eastAsia="仿宋" w:cs="仿宋_GB2312"/>
          <w:sz w:val="32"/>
          <w:szCs w:val="32"/>
        </w:rPr>
        <w:t>人，现有在职人数</w:t>
      </w:r>
      <w:r>
        <w:rPr>
          <w:rFonts w:hint="eastAsia" w:ascii="仿宋" w:hAnsi="仿宋" w:eastAsia="仿宋" w:cs="仿宋_GB2312"/>
          <w:sz w:val="32"/>
          <w:szCs w:val="32"/>
          <w:lang w:val="en-US" w:eastAsia="zh-CN"/>
        </w:rPr>
        <w:t>3</w:t>
      </w:r>
      <w:r>
        <w:rPr>
          <w:rFonts w:hint="eastAsia" w:ascii="仿宋" w:hAnsi="仿宋" w:eastAsia="仿宋" w:cs="仿宋_GB2312"/>
          <w:sz w:val="32"/>
          <w:szCs w:val="32"/>
        </w:rPr>
        <w:t>人、</w:t>
      </w:r>
      <w:r>
        <w:rPr>
          <w:rFonts w:hint="eastAsia" w:ascii="仿宋" w:hAnsi="仿宋" w:eastAsia="仿宋" w:cs="仿宋_GB2312"/>
          <w:sz w:val="32"/>
          <w:szCs w:val="32"/>
          <w:lang w:eastAsia="zh-CN"/>
        </w:rPr>
        <w:t>无</w:t>
      </w:r>
      <w:r>
        <w:rPr>
          <w:rFonts w:hint="eastAsia" w:ascii="仿宋" w:hAnsi="仿宋" w:eastAsia="仿宋" w:cs="仿宋_GB2312"/>
          <w:sz w:val="32"/>
          <w:szCs w:val="32"/>
        </w:rPr>
        <w:t>退休</w:t>
      </w:r>
      <w:r>
        <w:rPr>
          <w:rFonts w:hint="eastAsia" w:ascii="仿宋" w:hAnsi="仿宋" w:eastAsia="仿宋" w:cs="仿宋_GB2312"/>
          <w:sz w:val="32"/>
          <w:szCs w:val="32"/>
          <w:lang w:eastAsia="zh-CN"/>
        </w:rPr>
        <w:t>人员</w:t>
      </w:r>
      <w:r>
        <w:rPr>
          <w:rFonts w:hint="eastAsia" w:ascii="仿宋" w:hAnsi="仿宋" w:eastAsia="仿宋" w:cs="仿宋_GB2312"/>
          <w:sz w:val="32"/>
          <w:szCs w:val="32"/>
        </w:rPr>
        <w:t>。</w:t>
      </w:r>
    </w:p>
    <w:p>
      <w:pPr>
        <w:pStyle w:val="3"/>
        <w:spacing w:line="360" w:lineRule="auto"/>
        <w:ind w:firstLine="640"/>
        <w:rPr>
          <w:rFonts w:ascii="仿宋" w:hAnsi="仿宋" w:eastAsia="仿宋" w:cs="华文细黑"/>
          <w:sz w:val="32"/>
        </w:rPr>
      </w:pPr>
      <w:r>
        <w:rPr>
          <w:rFonts w:hint="eastAsia" w:ascii="仿宋" w:hAnsi="仿宋" w:eastAsia="仿宋" w:cs="华文细黑"/>
          <w:sz w:val="32"/>
        </w:rPr>
        <w:t>二、一般公共预算支出情况</w:t>
      </w:r>
    </w:p>
    <w:p>
      <w:pPr>
        <w:spacing w:line="360" w:lineRule="auto"/>
        <w:ind w:firstLine="640"/>
        <w:rPr>
          <w:rFonts w:ascii="仿宋" w:hAnsi="仿宋" w:eastAsia="仿宋" w:cs="仿宋_GB2312"/>
          <w:sz w:val="32"/>
          <w:szCs w:val="32"/>
        </w:rPr>
      </w:pPr>
      <w:r>
        <w:rPr>
          <w:rFonts w:hint="eastAsia" w:ascii="仿宋" w:hAnsi="仿宋" w:eastAsia="仿宋" w:cs="仿宋_GB2312"/>
          <w:sz w:val="32"/>
          <w:szCs w:val="32"/>
        </w:rPr>
        <w:t>（一）基本支出情况</w:t>
      </w:r>
    </w:p>
    <w:p>
      <w:pPr>
        <w:spacing w:line="360" w:lineRule="auto"/>
        <w:ind w:firstLine="640"/>
        <w:rPr>
          <w:rFonts w:ascii="仿宋" w:hAnsi="仿宋" w:eastAsia="仿宋" w:cs="仿宋_GB2312"/>
          <w:sz w:val="32"/>
          <w:szCs w:val="32"/>
        </w:rPr>
      </w:pPr>
      <w:r>
        <w:rPr>
          <w:rFonts w:hint="eastAsia" w:ascii="仿宋" w:hAnsi="仿宋" w:eastAsia="仿宋" w:cs="仿宋_GB2312"/>
          <w:sz w:val="32"/>
          <w:szCs w:val="32"/>
        </w:rPr>
        <w:t>2023年度基本支出预算</w:t>
      </w:r>
      <w:r>
        <w:rPr>
          <w:rFonts w:hint="eastAsia" w:ascii="仿宋" w:hAnsi="仿宋" w:eastAsia="仿宋" w:cs="仿宋_GB2312"/>
          <w:sz w:val="32"/>
          <w:szCs w:val="32"/>
          <w:lang w:val="en-US" w:eastAsia="zh-CN"/>
        </w:rPr>
        <w:t>96.05</w:t>
      </w:r>
      <w:r>
        <w:rPr>
          <w:rFonts w:hint="eastAsia" w:ascii="仿宋" w:hAnsi="仿宋" w:eastAsia="仿宋" w:cs="仿宋_GB2312"/>
          <w:sz w:val="32"/>
          <w:szCs w:val="32"/>
        </w:rPr>
        <w:t>万元，基本支出决算数为</w:t>
      </w:r>
      <w:r>
        <w:rPr>
          <w:rFonts w:hint="eastAsia" w:ascii="仿宋" w:hAnsi="仿宋" w:eastAsia="仿宋" w:cs="仿宋_GB2312"/>
          <w:sz w:val="32"/>
          <w:szCs w:val="32"/>
          <w:lang w:val="en-US" w:eastAsia="zh-CN"/>
        </w:rPr>
        <w:t>87.34</w:t>
      </w:r>
      <w:r>
        <w:rPr>
          <w:rFonts w:hint="eastAsia" w:ascii="仿宋" w:hAnsi="仿宋" w:eastAsia="仿宋" w:cs="仿宋_GB2312"/>
          <w:sz w:val="32"/>
          <w:szCs w:val="32"/>
        </w:rPr>
        <w:t>万元。其中人员经费</w:t>
      </w:r>
      <w:r>
        <w:rPr>
          <w:rFonts w:hint="eastAsia" w:ascii="仿宋" w:hAnsi="仿宋" w:eastAsia="仿宋" w:cs="仿宋_GB2312"/>
          <w:sz w:val="32"/>
          <w:szCs w:val="32"/>
          <w:lang w:val="en-US" w:eastAsia="zh-CN"/>
        </w:rPr>
        <w:t>76.79</w:t>
      </w:r>
      <w:r>
        <w:rPr>
          <w:rFonts w:hint="eastAsia" w:ascii="仿宋" w:hAnsi="仿宋" w:eastAsia="仿宋" w:cs="仿宋_GB2312"/>
          <w:sz w:val="32"/>
          <w:szCs w:val="32"/>
        </w:rPr>
        <w:t>万元、日常公用经费</w:t>
      </w:r>
      <w:r>
        <w:rPr>
          <w:rFonts w:hint="eastAsia" w:ascii="仿宋" w:hAnsi="仿宋" w:eastAsia="仿宋" w:cs="仿宋_GB2312"/>
          <w:sz w:val="32"/>
          <w:szCs w:val="32"/>
          <w:lang w:val="en-US" w:eastAsia="zh-CN"/>
        </w:rPr>
        <w:t>10.55</w:t>
      </w:r>
      <w:r>
        <w:rPr>
          <w:rFonts w:hint="eastAsia" w:ascii="仿宋" w:hAnsi="仿宋" w:eastAsia="仿宋" w:cs="仿宋_GB2312"/>
          <w:sz w:val="32"/>
          <w:szCs w:val="32"/>
        </w:rPr>
        <w:t>万元。本年基本支出结余</w:t>
      </w:r>
      <w:r>
        <w:rPr>
          <w:rFonts w:hint="eastAsia" w:ascii="仿宋" w:hAnsi="仿宋" w:eastAsia="仿宋" w:cs="仿宋_GB2312"/>
          <w:sz w:val="32"/>
          <w:szCs w:val="32"/>
          <w:lang w:val="en-US" w:eastAsia="zh-CN"/>
        </w:rPr>
        <w:t>21.32</w:t>
      </w:r>
      <w:r>
        <w:rPr>
          <w:rFonts w:hint="eastAsia" w:ascii="仿宋" w:hAnsi="仿宋" w:eastAsia="仿宋" w:cs="仿宋_GB2312"/>
          <w:sz w:val="32"/>
          <w:szCs w:val="32"/>
        </w:rPr>
        <w:t>万元。</w:t>
      </w:r>
    </w:p>
    <w:p>
      <w:pPr>
        <w:spacing w:line="360" w:lineRule="auto"/>
        <w:ind w:firstLine="640"/>
        <w:rPr>
          <w:rFonts w:ascii="仿宋" w:hAnsi="仿宋" w:eastAsia="仿宋" w:cs="仿宋_GB2312"/>
          <w:sz w:val="32"/>
          <w:szCs w:val="32"/>
        </w:rPr>
      </w:pPr>
      <w:r>
        <w:rPr>
          <w:rFonts w:hint="eastAsia" w:ascii="仿宋" w:hAnsi="仿宋" w:eastAsia="仿宋" w:cs="仿宋_GB2312"/>
          <w:sz w:val="32"/>
          <w:szCs w:val="32"/>
        </w:rPr>
        <w:t>（二）项目支出情况</w:t>
      </w:r>
    </w:p>
    <w:p>
      <w:pPr>
        <w:spacing w:line="360" w:lineRule="auto"/>
        <w:ind w:firstLine="640"/>
        <w:rPr>
          <w:rFonts w:ascii="仿宋" w:hAnsi="仿宋" w:eastAsia="仿宋" w:cs="仿宋_GB2312"/>
          <w:sz w:val="32"/>
          <w:szCs w:val="32"/>
        </w:rPr>
      </w:pPr>
      <w:r>
        <w:rPr>
          <w:rFonts w:hint="eastAsia" w:ascii="仿宋" w:hAnsi="仿宋" w:eastAsia="仿宋" w:cs="仿宋_GB2312"/>
          <w:sz w:val="32"/>
          <w:szCs w:val="32"/>
        </w:rPr>
        <w:t>2023年度项目支出预算数为</w:t>
      </w:r>
      <w:r>
        <w:rPr>
          <w:rFonts w:hint="eastAsia" w:ascii="仿宋" w:hAnsi="仿宋" w:eastAsia="仿宋" w:cs="仿宋_GB2312"/>
          <w:sz w:val="32"/>
          <w:szCs w:val="32"/>
          <w:lang w:val="en-US" w:eastAsia="zh-CN"/>
        </w:rPr>
        <w:t>56.04</w:t>
      </w:r>
      <w:r>
        <w:rPr>
          <w:rFonts w:hint="eastAsia" w:ascii="仿宋" w:hAnsi="仿宋" w:eastAsia="仿宋" w:cs="仿宋_GB2312"/>
          <w:sz w:val="32"/>
          <w:szCs w:val="32"/>
        </w:rPr>
        <w:t>万元。</w:t>
      </w:r>
    </w:p>
    <w:p>
      <w:pPr>
        <w:spacing w:line="360" w:lineRule="auto"/>
        <w:ind w:firstLine="640"/>
        <w:rPr>
          <w:rFonts w:ascii="仿宋" w:hAnsi="仿宋" w:eastAsia="仿宋" w:cs="仿宋_GB2312"/>
          <w:sz w:val="32"/>
          <w:szCs w:val="32"/>
        </w:rPr>
      </w:pPr>
      <w:r>
        <w:rPr>
          <w:rFonts w:hint="eastAsia" w:ascii="仿宋" w:hAnsi="仿宋" w:eastAsia="仿宋" w:cs="仿宋_GB2312"/>
          <w:sz w:val="32"/>
          <w:szCs w:val="32"/>
        </w:rPr>
        <w:t>项目支出决算数为</w:t>
      </w:r>
      <w:r>
        <w:rPr>
          <w:rFonts w:hint="eastAsia" w:ascii="仿宋" w:hAnsi="仿宋" w:eastAsia="仿宋" w:cs="仿宋_GB2312"/>
          <w:sz w:val="32"/>
          <w:szCs w:val="32"/>
          <w:lang w:val="en-US" w:eastAsia="zh-CN"/>
        </w:rPr>
        <w:t>48.13</w:t>
      </w:r>
      <w:r>
        <w:rPr>
          <w:rFonts w:hint="eastAsia" w:ascii="仿宋" w:hAnsi="仿宋" w:eastAsia="仿宋" w:cs="仿宋_GB2312"/>
          <w:sz w:val="32"/>
          <w:szCs w:val="32"/>
        </w:rPr>
        <w:t>万元，年末结余</w:t>
      </w:r>
      <w:r>
        <w:rPr>
          <w:rFonts w:hint="eastAsia" w:ascii="仿宋" w:hAnsi="仿宋" w:eastAsia="仿宋" w:cs="仿宋_GB2312"/>
          <w:sz w:val="32"/>
          <w:szCs w:val="32"/>
          <w:lang w:val="en-US" w:eastAsia="zh-CN"/>
        </w:rPr>
        <w:t>14.24</w:t>
      </w:r>
      <w:r>
        <w:rPr>
          <w:rFonts w:hint="eastAsia" w:ascii="仿宋" w:hAnsi="仿宋" w:eastAsia="仿宋" w:cs="仿宋_GB2312"/>
          <w:sz w:val="32"/>
          <w:szCs w:val="32"/>
        </w:rPr>
        <w:t>万元。其中</w:t>
      </w:r>
      <w:r>
        <w:rPr>
          <w:rFonts w:hint="eastAsia" w:ascii="仿宋" w:hAnsi="仿宋" w:eastAsia="仿宋" w:cs="仿宋_GB2312"/>
          <w:sz w:val="32"/>
          <w:szCs w:val="32"/>
          <w:lang w:eastAsia="zh-CN"/>
        </w:rPr>
        <w:t>省级专项资金</w:t>
      </w:r>
      <w:r>
        <w:rPr>
          <w:rFonts w:hint="eastAsia" w:ascii="仿宋" w:hAnsi="仿宋" w:eastAsia="仿宋" w:cs="仿宋_GB2312"/>
          <w:sz w:val="32"/>
          <w:szCs w:val="32"/>
          <w:lang w:val="en-US" w:eastAsia="zh-CN"/>
        </w:rPr>
        <w:t>1</w:t>
      </w:r>
      <w:r>
        <w:rPr>
          <w:rFonts w:hint="eastAsia" w:ascii="仿宋" w:hAnsi="仿宋" w:eastAsia="仿宋" w:cs="仿宋_GB2312"/>
          <w:sz w:val="32"/>
          <w:szCs w:val="32"/>
        </w:rPr>
        <w:t>万元</w:t>
      </w:r>
      <w:r>
        <w:rPr>
          <w:rFonts w:hint="eastAsia" w:ascii="仿宋" w:hAnsi="仿宋" w:eastAsia="仿宋" w:cs="仿宋_GB2312"/>
          <w:sz w:val="32"/>
          <w:szCs w:val="32"/>
          <w:lang w:eastAsia="zh-CN"/>
        </w:rPr>
        <w:t>，为</w:t>
      </w:r>
      <w:r>
        <w:rPr>
          <w:rFonts w:hint="eastAsia" w:ascii="仿宋" w:hAnsi="仿宋" w:eastAsia="仿宋" w:cs="仿宋_GB2312"/>
          <w:sz w:val="32"/>
          <w:szCs w:val="32"/>
        </w:rPr>
        <w:t>国家基层科普行动计划专项，主要用于</w:t>
      </w:r>
      <w:r>
        <w:rPr>
          <w:rFonts w:hint="eastAsia" w:ascii="仿宋" w:hAnsi="仿宋" w:eastAsia="仿宋" w:cs="仿宋_GB2312"/>
          <w:sz w:val="32"/>
          <w:szCs w:val="32"/>
          <w:lang w:eastAsia="zh-CN"/>
        </w:rPr>
        <w:t>农业技术科普视频拍摄，制作工作</w:t>
      </w:r>
      <w:r>
        <w:rPr>
          <w:rFonts w:hint="eastAsia" w:ascii="仿宋" w:hAnsi="仿宋" w:eastAsia="仿宋" w:cs="仿宋_GB2312"/>
          <w:sz w:val="32"/>
          <w:szCs w:val="32"/>
        </w:rPr>
        <w:t>支出</w:t>
      </w:r>
      <w:r>
        <w:rPr>
          <w:rFonts w:hint="eastAsia" w:ascii="仿宋" w:hAnsi="仿宋" w:eastAsia="仿宋" w:cs="仿宋_GB2312"/>
          <w:sz w:val="32"/>
          <w:szCs w:val="32"/>
          <w:lang w:eastAsia="zh-CN"/>
        </w:rPr>
        <w:t>；其他事业发展资金</w:t>
      </w:r>
      <w:r>
        <w:rPr>
          <w:rFonts w:hint="eastAsia" w:ascii="仿宋" w:hAnsi="仿宋" w:eastAsia="仿宋" w:cs="仿宋_GB2312"/>
          <w:sz w:val="32"/>
          <w:szCs w:val="32"/>
          <w:lang w:val="en-US" w:eastAsia="zh-CN"/>
        </w:rPr>
        <w:t>7万元，为乡村振兴带头人“头雁”培育与高素质农民培训（2022结转）专项，主要用于乡村振兴带头人“头雁”培育支出；</w:t>
      </w:r>
      <w:r>
        <w:rPr>
          <w:rFonts w:hint="eastAsia" w:ascii="仿宋" w:hAnsi="仿宋" w:eastAsia="仿宋" w:cs="仿宋_GB2312"/>
          <w:sz w:val="32"/>
          <w:szCs w:val="32"/>
          <w:lang w:eastAsia="zh-CN"/>
        </w:rPr>
        <w:t>业务工作专项及运行维护专项</w:t>
      </w:r>
      <w:r>
        <w:rPr>
          <w:rFonts w:hint="eastAsia" w:ascii="仿宋" w:hAnsi="仿宋" w:eastAsia="仿宋" w:cs="仿宋_GB2312"/>
          <w:sz w:val="32"/>
          <w:szCs w:val="32"/>
          <w:lang w:val="en-US" w:eastAsia="zh-CN"/>
        </w:rPr>
        <w:t>40.13万元，为全省农业系列职称评定项目，主要用于2023年度全省农业系列职称评审支出</w:t>
      </w:r>
      <w:r>
        <w:rPr>
          <w:rFonts w:hint="eastAsia" w:ascii="仿宋" w:hAnsi="仿宋" w:eastAsia="仿宋" w:cs="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lang w:val="en-US" w:eastAsia="zh-CN"/>
        </w:rPr>
        <w:t>三、</w:t>
      </w:r>
      <w:r>
        <w:rPr>
          <w:rFonts w:hint="eastAsia" w:ascii="仿宋" w:hAnsi="仿宋" w:eastAsia="仿宋" w:cs="仿宋"/>
          <w:b/>
          <w:bCs/>
          <w:color w:val="auto"/>
          <w:sz w:val="32"/>
          <w:szCs w:val="32"/>
        </w:rPr>
        <w:t>部门整体支出绩效情况</w:t>
      </w:r>
    </w:p>
    <w:p>
      <w:pPr>
        <w:ind w:firstLine="640" w:firstLineChars="200"/>
        <w:rPr>
          <w:rFonts w:ascii="仿宋" w:hAnsi="仿宋" w:eastAsia="仿宋" w:cs="仿宋_GB2312"/>
          <w:sz w:val="32"/>
          <w:szCs w:val="32"/>
        </w:rPr>
      </w:pPr>
      <w:r>
        <w:rPr>
          <w:rFonts w:hint="eastAsia" w:ascii="仿宋" w:hAnsi="仿宋" w:eastAsia="仿宋"/>
          <w:sz w:val="32"/>
          <w:szCs w:val="32"/>
          <w:lang w:eastAsia="zh-CN"/>
        </w:rPr>
        <w:t>省农业人才交流服务</w:t>
      </w:r>
      <w:r>
        <w:rPr>
          <w:rFonts w:hint="eastAsia" w:ascii="仿宋" w:hAnsi="仿宋" w:eastAsia="仿宋"/>
          <w:sz w:val="32"/>
          <w:szCs w:val="32"/>
        </w:rPr>
        <w:t>中心</w:t>
      </w:r>
      <w:r>
        <w:rPr>
          <w:rFonts w:hint="eastAsia" w:ascii="仿宋_GB2312" w:hAnsi="仿宋_GB2312" w:eastAsia="仿宋_GB2312" w:cs="仿宋_GB2312"/>
          <w:sz w:val="32"/>
          <w:szCs w:val="32"/>
          <w:lang w:eastAsia="zh-CN"/>
        </w:rPr>
        <w:t>深入学习贯彻</w:t>
      </w:r>
      <w:r>
        <w:rPr>
          <w:rFonts w:hint="eastAsia" w:ascii="仿宋_GB2312" w:hAnsi="仿宋_GB2312" w:eastAsia="仿宋_GB2312" w:cs="仿宋_GB2312"/>
          <w:sz w:val="32"/>
          <w:szCs w:val="32"/>
        </w:rPr>
        <w:t>习近平</w:t>
      </w:r>
      <w:r>
        <w:rPr>
          <w:rFonts w:hint="eastAsia" w:ascii="仿宋_GB2312" w:hAnsi="仿宋_GB2312" w:eastAsia="仿宋_GB2312" w:cs="仿宋_GB2312"/>
          <w:sz w:val="32"/>
          <w:szCs w:val="32"/>
          <w:lang w:eastAsia="zh-CN"/>
        </w:rPr>
        <w:t>总书记关于做好</w:t>
      </w:r>
      <w:r>
        <w:rPr>
          <w:rFonts w:hint="eastAsia" w:ascii="仿宋_GB2312" w:hAnsi="仿宋_GB2312" w:eastAsia="仿宋_GB2312" w:cs="仿宋_GB2312"/>
          <w:sz w:val="32"/>
          <w:szCs w:val="32"/>
        </w:rPr>
        <w:t>新时代</w:t>
      </w:r>
      <w:r>
        <w:rPr>
          <w:rFonts w:hint="eastAsia" w:ascii="仿宋_GB2312" w:hAnsi="仿宋_GB2312" w:eastAsia="仿宋_GB2312" w:cs="仿宋_GB2312"/>
          <w:sz w:val="32"/>
          <w:szCs w:val="32"/>
          <w:lang w:eastAsia="zh-CN"/>
        </w:rPr>
        <w:t>人才工作的重要思想，全面落实</w:t>
      </w:r>
      <w:r>
        <w:rPr>
          <w:rFonts w:hint="eastAsia" w:ascii="仿宋_GB2312" w:hAnsi="仿宋_GB2312" w:eastAsia="仿宋_GB2312" w:cs="仿宋_GB2312"/>
          <w:sz w:val="32"/>
          <w:szCs w:val="32"/>
        </w:rPr>
        <w:t>中央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省委人才工作</w:t>
      </w:r>
      <w:r>
        <w:rPr>
          <w:rFonts w:hint="eastAsia" w:ascii="仿宋_GB2312" w:hAnsi="仿宋_GB2312" w:eastAsia="仿宋_GB2312" w:cs="仿宋_GB2312"/>
          <w:sz w:val="32"/>
          <w:szCs w:val="32"/>
          <w:lang w:eastAsia="zh-CN"/>
        </w:rPr>
        <w:t>会议精神，</w:t>
      </w:r>
      <w:r>
        <w:rPr>
          <w:rFonts w:hint="eastAsia" w:ascii="仿宋" w:hAnsi="仿宋" w:eastAsia="仿宋"/>
          <w:sz w:val="32"/>
          <w:szCs w:val="32"/>
          <w:lang w:eastAsia="zh-CN"/>
        </w:rPr>
        <w:t>有条不紊推进各项工作。我们克服</w:t>
      </w:r>
      <w:r>
        <w:rPr>
          <w:rFonts w:hint="eastAsia" w:ascii="仿宋_GB2312" w:eastAsia="仿宋_GB2312"/>
          <w:b w:val="0"/>
          <w:bCs/>
          <w:color w:val="000000"/>
          <w:sz w:val="32"/>
          <w:szCs w:val="32"/>
          <w:lang w:eastAsia="zh-CN"/>
        </w:rPr>
        <w:t>人员不断减少而职能不断增多、事情不断增加的矛盾，</w:t>
      </w:r>
      <w:r>
        <w:rPr>
          <w:rFonts w:hint="eastAsia" w:ascii="仿宋" w:hAnsi="仿宋" w:eastAsia="仿宋"/>
          <w:sz w:val="32"/>
          <w:szCs w:val="32"/>
        </w:rPr>
        <w:t>圆满完成了年度工作任务。</w:t>
      </w:r>
      <w:r>
        <w:rPr>
          <w:rFonts w:hint="eastAsia" w:ascii="仿宋" w:hAnsi="仿宋" w:eastAsia="仿宋" w:cs="仿宋_GB2312"/>
          <w:sz w:val="32"/>
          <w:szCs w:val="32"/>
        </w:rPr>
        <w:t>根据《湖南省财政厅关于开展2023年度部门整体支出绩效自评工作的通知》相关规定，在基础数据分析及处理的基础上，</w:t>
      </w:r>
      <w:r>
        <w:rPr>
          <w:rFonts w:hint="eastAsia" w:ascii="仿宋" w:hAnsi="仿宋" w:eastAsia="仿宋" w:cs="仿宋_GB2312"/>
          <w:sz w:val="32"/>
          <w:szCs w:val="32"/>
          <w:lang w:eastAsia="zh-CN"/>
        </w:rPr>
        <w:t>人才</w:t>
      </w:r>
      <w:r>
        <w:rPr>
          <w:rFonts w:hint="eastAsia" w:ascii="仿宋" w:hAnsi="仿宋" w:eastAsia="仿宋" w:cs="仿宋_GB2312"/>
          <w:sz w:val="32"/>
          <w:szCs w:val="32"/>
        </w:rPr>
        <w:t>中心2023年度部门整体支出绩效评价综合得分为97.</w:t>
      </w:r>
      <w:r>
        <w:rPr>
          <w:rFonts w:hint="eastAsia" w:ascii="仿宋" w:hAnsi="仿宋" w:eastAsia="仿宋" w:cs="仿宋_GB2312"/>
          <w:sz w:val="32"/>
          <w:szCs w:val="32"/>
          <w:lang w:val="en-US" w:eastAsia="zh-CN"/>
        </w:rPr>
        <w:t>90</w:t>
      </w:r>
      <w:r>
        <w:rPr>
          <w:rFonts w:hint="eastAsia" w:ascii="仿宋" w:hAnsi="仿宋" w:eastAsia="仿宋" w:cs="仿宋_GB2312"/>
          <w:sz w:val="32"/>
          <w:szCs w:val="32"/>
        </w:rPr>
        <w:t>分，其中预算执行率得分7.</w:t>
      </w:r>
      <w:r>
        <w:rPr>
          <w:rFonts w:hint="eastAsia" w:ascii="仿宋" w:hAnsi="仿宋" w:eastAsia="仿宋" w:cs="仿宋_GB2312"/>
          <w:sz w:val="32"/>
          <w:szCs w:val="32"/>
          <w:lang w:val="en-US" w:eastAsia="zh-CN"/>
        </w:rPr>
        <w:t>9</w:t>
      </w:r>
      <w:r>
        <w:rPr>
          <w:rFonts w:hint="eastAsia" w:ascii="仿宋" w:hAnsi="仿宋" w:eastAsia="仿宋" w:cs="仿宋_GB2312"/>
          <w:sz w:val="32"/>
          <w:szCs w:val="32"/>
        </w:rPr>
        <w:t>分、产出指标类得分50分、效益指标类得分30分、满意度指标得分10分。主要绩效情况如下：</w:t>
      </w:r>
    </w:p>
    <w:p>
      <w:pPr>
        <w:pStyle w:val="20"/>
        <w:spacing w:line="360" w:lineRule="auto"/>
        <w:outlineLvl w:val="1"/>
        <w:rPr>
          <w:rFonts w:ascii="仿宋" w:hAnsi="仿宋" w:eastAsia="仿宋" w:cs="华文楷体"/>
        </w:rPr>
      </w:pPr>
      <w:bookmarkStart w:id="2" w:name="_Toc15543"/>
      <w:r>
        <w:rPr>
          <w:rFonts w:hint="eastAsia" w:ascii="仿宋" w:hAnsi="仿宋" w:eastAsia="仿宋" w:cs="华文楷体"/>
        </w:rPr>
        <w:t>（一）预算执行情况</w:t>
      </w:r>
      <w:bookmarkEnd w:id="2"/>
    </w:p>
    <w:p>
      <w:pPr>
        <w:spacing w:line="360" w:lineRule="auto"/>
        <w:ind w:firstLine="640" w:firstLineChars="200"/>
        <w:rPr>
          <w:rFonts w:ascii="仿宋" w:hAnsi="仿宋" w:eastAsia="仿宋" w:cs="仿宋_GB2312"/>
          <w:sz w:val="32"/>
          <w:szCs w:val="32"/>
        </w:rPr>
      </w:pPr>
      <w:r>
        <w:rPr>
          <w:rFonts w:hint="eastAsia" w:ascii="仿宋" w:hAnsi="仿宋" w:eastAsia="仿宋" w:cs="仿宋_GB2312"/>
          <w:sz w:val="32"/>
          <w:szCs w:val="32"/>
        </w:rPr>
        <w:t>2023年全年预算数</w:t>
      </w:r>
      <w:r>
        <w:rPr>
          <w:rFonts w:hint="eastAsia" w:ascii="仿宋" w:hAnsi="仿宋" w:eastAsia="仿宋" w:cs="仿宋_GB2312"/>
          <w:sz w:val="32"/>
          <w:szCs w:val="32"/>
          <w:lang w:val="en-US" w:eastAsia="zh-CN"/>
        </w:rPr>
        <w:t>171.03</w:t>
      </w:r>
      <w:r>
        <w:rPr>
          <w:rFonts w:hint="eastAsia" w:ascii="仿宋" w:hAnsi="仿宋" w:eastAsia="仿宋" w:cs="仿宋_GB2312"/>
          <w:sz w:val="32"/>
          <w:szCs w:val="32"/>
        </w:rPr>
        <w:t>万元，决算数</w:t>
      </w:r>
      <w:r>
        <w:rPr>
          <w:rFonts w:hint="eastAsia" w:ascii="仿宋" w:hAnsi="仿宋" w:eastAsia="仿宋" w:cs="仿宋_GB2312"/>
          <w:sz w:val="32"/>
          <w:szCs w:val="32"/>
          <w:lang w:val="en-US" w:eastAsia="zh-CN"/>
        </w:rPr>
        <w:t>135.47</w:t>
      </w:r>
      <w:r>
        <w:rPr>
          <w:rFonts w:hint="eastAsia" w:ascii="仿宋" w:hAnsi="仿宋" w:eastAsia="仿宋" w:cs="仿宋_GB2312"/>
          <w:sz w:val="32"/>
          <w:szCs w:val="32"/>
        </w:rPr>
        <w:t>万元，预算执行率7</w:t>
      </w:r>
      <w:r>
        <w:rPr>
          <w:rFonts w:hint="eastAsia" w:ascii="仿宋" w:hAnsi="仿宋" w:eastAsia="仿宋" w:cs="仿宋_GB2312"/>
          <w:sz w:val="32"/>
          <w:szCs w:val="32"/>
          <w:lang w:val="en-US" w:eastAsia="zh-CN"/>
        </w:rPr>
        <w:t>9.21</w:t>
      </w:r>
      <w:r>
        <w:rPr>
          <w:rFonts w:hint="eastAsia" w:ascii="仿宋" w:hAnsi="仿宋" w:eastAsia="仿宋" w:cs="仿宋_GB2312"/>
          <w:sz w:val="32"/>
          <w:szCs w:val="32"/>
        </w:rPr>
        <w:t>%。故该指标得分为7.</w:t>
      </w:r>
      <w:r>
        <w:rPr>
          <w:rFonts w:hint="eastAsia" w:ascii="仿宋" w:hAnsi="仿宋" w:eastAsia="仿宋" w:cs="仿宋_GB2312"/>
          <w:sz w:val="32"/>
          <w:szCs w:val="32"/>
          <w:lang w:val="en-US" w:eastAsia="zh-CN"/>
        </w:rPr>
        <w:t>92</w:t>
      </w:r>
      <w:r>
        <w:rPr>
          <w:rFonts w:hint="eastAsia" w:ascii="仿宋" w:hAnsi="仿宋" w:eastAsia="仿宋" w:cs="仿宋_GB2312"/>
          <w:sz w:val="32"/>
          <w:szCs w:val="32"/>
        </w:rPr>
        <w:t>分。</w:t>
      </w:r>
    </w:p>
    <w:p>
      <w:pPr>
        <w:pStyle w:val="20"/>
        <w:spacing w:line="360" w:lineRule="auto"/>
        <w:outlineLvl w:val="1"/>
        <w:rPr>
          <w:rFonts w:ascii="仿宋" w:hAnsi="仿宋" w:eastAsia="仿宋" w:cs="华文楷体"/>
        </w:rPr>
      </w:pPr>
      <w:bookmarkStart w:id="3" w:name="_Toc30959"/>
      <w:r>
        <w:rPr>
          <w:rFonts w:hint="eastAsia" w:ascii="仿宋" w:hAnsi="仿宋" w:eastAsia="仿宋" w:cs="华文楷体"/>
        </w:rPr>
        <w:t>（二）产出指标绩效情况</w:t>
      </w:r>
      <w:bookmarkEnd w:id="3"/>
    </w:p>
    <w:p>
      <w:pPr>
        <w:pStyle w:val="21"/>
        <w:spacing w:line="360" w:lineRule="auto"/>
        <w:outlineLvl w:val="2"/>
        <w:rPr>
          <w:rFonts w:hint="default" w:ascii="仿宋" w:hAnsi="仿宋" w:eastAsia="仿宋" w:cs="仿宋_GB2312"/>
          <w:b w:val="0"/>
          <w:bCs w:val="0"/>
          <w:color w:val="auto"/>
        </w:rPr>
      </w:pPr>
      <w:bookmarkStart w:id="4" w:name="_Toc6959"/>
      <w:r>
        <w:rPr>
          <w:rFonts w:ascii="仿宋" w:hAnsi="仿宋" w:eastAsia="仿宋" w:cs="仿宋_GB2312"/>
          <w:b w:val="0"/>
          <w:bCs w:val="0"/>
          <w:color w:val="auto"/>
        </w:rPr>
        <w:t>1、数量指标</w:t>
      </w:r>
      <w:bookmarkEnd w:id="4"/>
    </w:p>
    <w:p>
      <w:pPr>
        <w:numPr>
          <w:ilvl w:val="0"/>
          <w:numId w:val="0"/>
        </w:numPr>
        <w:ind w:firstLine="640" w:firstLineChars="200"/>
        <w:rPr>
          <w:rFonts w:hint="eastAsia" w:ascii="仿宋" w:hAnsi="仿宋" w:eastAsia="仿宋" w:cs="仿宋"/>
          <w:b w:val="0"/>
          <w:bCs/>
          <w:sz w:val="32"/>
          <w:szCs w:val="32"/>
          <w:lang w:val="en-US" w:eastAsia="zh-CN"/>
        </w:rPr>
      </w:pPr>
      <w:r>
        <w:rPr>
          <w:rFonts w:hint="eastAsia" w:ascii="仿宋" w:hAnsi="仿宋" w:eastAsia="仿宋" w:cs="仿宋"/>
          <w:sz w:val="32"/>
          <w:szCs w:val="32"/>
          <w:lang w:val="en-US" w:eastAsia="zh-CN"/>
        </w:rPr>
        <w:t>2023年全省</w:t>
      </w:r>
      <w:r>
        <w:rPr>
          <w:rFonts w:hint="eastAsia" w:ascii="仿宋" w:hAnsi="仿宋" w:eastAsia="仿宋" w:cs="仿宋"/>
          <w:sz w:val="32"/>
          <w:szCs w:val="32"/>
          <w:lang w:eastAsia="zh-CN"/>
        </w:rPr>
        <w:t>培育</w:t>
      </w:r>
      <w:r>
        <w:rPr>
          <w:rFonts w:hint="eastAsia" w:ascii="仿宋" w:hAnsi="仿宋" w:eastAsia="仿宋" w:cs="仿宋_GB2312"/>
          <w:sz w:val="32"/>
          <w:szCs w:val="32"/>
          <w:lang w:eastAsia="zh-CN"/>
        </w:rPr>
        <w:t>乡村产业振兴带头人</w:t>
      </w:r>
      <w:r>
        <w:rPr>
          <w:rFonts w:hint="eastAsia" w:ascii="仿宋" w:hAnsi="仿宋" w:eastAsia="仿宋" w:cs="仿宋"/>
          <w:sz w:val="32"/>
          <w:szCs w:val="32"/>
          <w:lang w:eastAsia="zh-CN"/>
        </w:rPr>
        <w:t>“头雁”学员</w:t>
      </w:r>
      <w:r>
        <w:rPr>
          <w:rFonts w:hint="eastAsia" w:ascii="仿宋" w:hAnsi="仿宋" w:eastAsia="仿宋" w:cs="仿宋"/>
          <w:sz w:val="32"/>
          <w:szCs w:val="32"/>
          <w:lang w:val="en-US" w:eastAsia="zh-CN"/>
        </w:rPr>
        <w:t>900人，委托湖南农业大学、华中农业大学、浙江大学进行培育。</w:t>
      </w:r>
      <w:r>
        <w:rPr>
          <w:rFonts w:hint="eastAsia" w:ascii="仿宋_GB2312" w:hAnsi="仿宋_GB2312" w:eastAsia="仿宋_GB2312" w:cs="仿宋_GB2312"/>
          <w:b w:val="0"/>
          <w:bCs/>
          <w:sz w:val="32"/>
          <w:szCs w:val="32"/>
          <w:lang w:val="en-US" w:eastAsia="zh-CN"/>
        </w:rPr>
        <w:t>湖南承担中组部、农业农村部</w:t>
      </w:r>
      <w:r>
        <w:rPr>
          <w:rFonts w:hint="eastAsia" w:ascii="仿宋_GB2312" w:hAnsi="仿宋_GB2312" w:eastAsia="仿宋_GB2312" w:cs="仿宋_GB2312"/>
          <w:sz w:val="32"/>
          <w:szCs w:val="32"/>
          <w:lang w:val="en-US" w:eastAsia="zh-CN"/>
        </w:rPr>
        <w:t>农村实用人才带头人示范培训6期，培训学员600人，</w:t>
      </w:r>
      <w:r>
        <w:rPr>
          <w:rFonts w:hint="eastAsia" w:ascii="仿宋_GB2312" w:hAnsi="仿宋_GB2312" w:eastAsia="仿宋_GB2312" w:cs="仿宋_GB2312"/>
          <w:color w:val="000000"/>
          <w:sz w:val="32"/>
          <w:szCs w:val="32"/>
          <w:lang w:val="en-US" w:eastAsia="zh-CN"/>
        </w:rPr>
        <w:t>选派220人赴江西、湖北等省农村实用人才培训基地培训，</w:t>
      </w:r>
      <w:r>
        <w:rPr>
          <w:rFonts w:hint="eastAsia" w:ascii="仿宋" w:hAnsi="仿宋" w:eastAsia="仿宋" w:cs="仿宋"/>
          <w:sz w:val="32"/>
          <w:szCs w:val="32"/>
          <w:lang w:val="en-US" w:eastAsia="zh-CN"/>
        </w:rPr>
        <w:t>帮助农村实用人才带头人开阔视野、转变观念、拓展平台、提升能力。</w:t>
      </w:r>
      <w:r>
        <w:rPr>
          <w:rFonts w:hint="eastAsia" w:ascii="仿宋_GB2312" w:hAnsi="仿宋_GB2312" w:eastAsia="仿宋_GB2312" w:cs="仿宋_GB2312"/>
          <w:sz w:val="32"/>
          <w:szCs w:val="32"/>
          <w:lang w:eastAsia="zh-CN"/>
        </w:rPr>
        <w:t>在全省开展农村实用人才建设情况调研，</w:t>
      </w:r>
      <w:r>
        <w:rPr>
          <w:rFonts w:hint="eastAsia" w:ascii="仿宋_GB2312" w:hAnsi="仿宋_GB2312" w:eastAsia="仿宋_GB2312" w:cs="仿宋_GB2312"/>
          <w:sz w:val="32"/>
          <w:szCs w:val="32"/>
          <w:lang w:val="en" w:eastAsia="zh-CN"/>
        </w:rPr>
        <w:t>重点对</w:t>
      </w:r>
      <w:r>
        <w:rPr>
          <w:rFonts w:hint="eastAsia" w:ascii="仿宋_GB2312" w:hAnsi="仿宋_GB2312" w:eastAsia="仿宋_GB2312" w:cs="仿宋_GB2312"/>
          <w:sz w:val="32"/>
          <w:szCs w:val="32"/>
          <w:lang w:val="en-US" w:eastAsia="zh-CN"/>
        </w:rPr>
        <w:t>8个典型县市区（宁乡市、茶陵县、新宁县、华容县、安化县、宁远县、靖州县、新化县）进行调研</w:t>
      </w:r>
      <w:r>
        <w:rPr>
          <w:rFonts w:hint="eastAsia" w:ascii="仿宋_GB2312" w:hAnsi="仿宋_GB2312" w:eastAsia="仿宋_GB2312" w:cs="仿宋_GB2312"/>
          <w:sz w:val="32"/>
          <w:szCs w:val="32"/>
          <w:lang w:val="en" w:eastAsia="zh-CN"/>
        </w:rPr>
        <w:t>，通过开座谈会，实地走访等形式，对农村实用人才、乡村产业振兴“头雁”学员进行了调查，形成了调研报告。</w:t>
      </w:r>
    </w:p>
    <w:p>
      <w:pPr>
        <w:pStyle w:val="22"/>
        <w:ind w:firstLine="640" w:firstLineChars="200"/>
        <w:rPr>
          <w:rFonts w:ascii="仿宋" w:hAnsi="仿宋" w:eastAsia="仿宋" w:cs="仿宋_GB2312"/>
          <w:sz w:val="32"/>
          <w:szCs w:val="32"/>
        </w:rPr>
      </w:pPr>
      <w:r>
        <w:rPr>
          <w:rFonts w:hint="eastAsia" w:ascii="仿宋" w:hAnsi="仿宋" w:eastAsia="仿宋"/>
          <w:sz w:val="32"/>
          <w:szCs w:val="32"/>
        </w:rPr>
        <w:t xml:space="preserve"> </w:t>
      </w:r>
      <w:r>
        <w:rPr>
          <w:rFonts w:hint="eastAsia" w:ascii="仿宋" w:hAnsi="仿宋" w:eastAsia="仿宋" w:cs="仿宋_GB2312"/>
          <w:sz w:val="32"/>
          <w:szCs w:val="32"/>
        </w:rPr>
        <w:t>2、质量指标</w:t>
      </w:r>
    </w:p>
    <w:p>
      <w:pPr>
        <w:pStyle w:val="5"/>
        <w:spacing w:line="360" w:lineRule="auto"/>
        <w:ind w:firstLine="640"/>
        <w:rPr>
          <w:rFonts w:hint="eastAsia" w:ascii="仿宋_GB2312" w:hAnsi="仿宋_GB2312" w:eastAsia="仿宋_GB2312" w:cs="仿宋_GB2312"/>
          <w:sz w:val="32"/>
          <w:szCs w:val="32"/>
        </w:rPr>
      </w:pPr>
      <w:r>
        <w:rPr>
          <w:rFonts w:hint="eastAsia" w:ascii="仿宋" w:hAnsi="仿宋" w:eastAsia="仿宋" w:cs="Times New Roman"/>
          <w:sz w:val="32"/>
          <w:szCs w:val="32"/>
          <w:lang w:val="en-US" w:eastAsia="zh-CN"/>
        </w:rPr>
        <w:t>严格程序，严明纪律，认真组织开展了2023年度农业系列职称评审</w:t>
      </w:r>
      <w:r>
        <w:rPr>
          <w:rFonts w:hint="eastAsia" w:ascii="仿宋" w:hAnsi="仿宋" w:eastAsia="仿宋" w:cs="Times New Roman"/>
          <w:sz w:val="32"/>
          <w:szCs w:val="32"/>
          <w:lang w:val="en" w:eastAsia="zh-CN"/>
        </w:rPr>
        <w:t>，全省农业系列职称参评人员达到</w:t>
      </w:r>
      <w:r>
        <w:rPr>
          <w:rFonts w:hint="eastAsia" w:ascii="仿宋" w:hAnsi="仿宋" w:eastAsia="仿宋" w:cs="Times New Roman"/>
          <w:sz w:val="32"/>
          <w:szCs w:val="32"/>
          <w:lang w:val="en-US" w:eastAsia="zh-CN"/>
        </w:rPr>
        <w:t>1155人，其中申报</w:t>
      </w:r>
      <w:r>
        <w:rPr>
          <w:rFonts w:hint="eastAsia" w:ascii="仿宋" w:hAnsi="仿宋" w:eastAsia="仿宋" w:cs="Times New Roman"/>
          <w:sz w:val="32"/>
          <w:szCs w:val="32"/>
          <w:lang w:val="en" w:eastAsia="zh-CN"/>
        </w:rPr>
        <w:t>正高职称的有</w:t>
      </w:r>
      <w:r>
        <w:rPr>
          <w:rFonts w:hint="eastAsia" w:ascii="仿宋" w:hAnsi="仿宋" w:eastAsia="仿宋" w:cs="Times New Roman"/>
          <w:sz w:val="32"/>
          <w:szCs w:val="32"/>
          <w:lang w:val="en-US" w:eastAsia="zh-CN"/>
        </w:rPr>
        <w:t>166人，经农业系列高评会组织专家评审，有66人通过评审，通过率为39.</w:t>
      </w:r>
      <w:r>
        <w:rPr>
          <w:rFonts w:hint="eastAsia" w:ascii="仿宋" w:hAnsi="仿宋" w:eastAsia="仿宋" w:cs="Times New Roman"/>
          <w:color w:val="auto"/>
          <w:sz w:val="32"/>
          <w:szCs w:val="32"/>
          <w:lang w:val="en-US" w:eastAsia="zh-CN"/>
        </w:rPr>
        <w:t>76%；有979人申报农业系列副高职称，有971人通过资格审查，经农业系列高评会组织专家评审，有544人获得通过评审，</w:t>
      </w:r>
      <w:r>
        <w:rPr>
          <w:rFonts w:hint="eastAsia" w:ascii="仿宋_GB2312" w:hAnsi="仿宋_GB2312" w:eastAsia="仿宋_GB2312" w:cs="仿宋_GB2312"/>
          <w:color w:val="auto"/>
          <w:sz w:val="32"/>
          <w:szCs w:val="32"/>
          <w:lang w:val="en-US" w:eastAsia="zh-CN"/>
        </w:rPr>
        <w:t>副高职称通过率达到56.02%，</w:t>
      </w:r>
      <w:r>
        <w:rPr>
          <w:rFonts w:hint="eastAsia" w:ascii="仿宋_GB2312" w:hAnsi="仿宋_GB2312" w:eastAsia="仿宋_GB2312" w:cs="仿宋_GB2312"/>
          <w:sz w:val="32"/>
          <w:szCs w:val="32"/>
        </w:rPr>
        <w:t>县及以下</w:t>
      </w:r>
      <w:r>
        <w:rPr>
          <w:rFonts w:hint="eastAsia" w:ascii="仿宋_GB2312" w:hAnsi="仿宋_GB2312" w:eastAsia="仿宋_GB2312" w:cs="仿宋_GB2312"/>
          <w:sz w:val="32"/>
          <w:szCs w:val="32"/>
          <w:lang w:eastAsia="zh-CN"/>
        </w:rPr>
        <w:t>人员占通过人员总数的</w:t>
      </w:r>
      <w:r>
        <w:rPr>
          <w:rFonts w:hint="eastAsia" w:ascii="仿宋_GB2312" w:hAnsi="仿宋_GB2312" w:eastAsia="仿宋_GB2312" w:cs="仿宋_GB2312"/>
          <w:sz w:val="32"/>
          <w:szCs w:val="32"/>
          <w:lang w:val="en-US" w:eastAsia="zh-CN"/>
        </w:rPr>
        <w:t>83.46</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高质量做好了湖南省</w:t>
      </w:r>
      <w:r>
        <w:rPr>
          <w:rFonts w:hint="eastAsia" w:ascii="仿宋_GB2312" w:hAnsi="仿宋_GB2312" w:eastAsia="仿宋_GB2312" w:cs="仿宋_GB2312"/>
          <w:b w:val="0"/>
          <w:bCs w:val="0"/>
          <w:sz w:val="32"/>
          <w:szCs w:val="32"/>
        </w:rPr>
        <w:t>农业农村系统国有单位人事劳动统计</w:t>
      </w:r>
      <w:r>
        <w:rPr>
          <w:rFonts w:hint="eastAsia" w:ascii="仿宋_GB2312" w:hAnsi="仿宋_GB2312" w:eastAsia="仿宋_GB2312" w:cs="仿宋_GB2312"/>
          <w:b w:val="0"/>
          <w:bCs w:val="0"/>
          <w:sz w:val="32"/>
          <w:szCs w:val="32"/>
          <w:lang w:eastAsia="zh-CN"/>
        </w:rPr>
        <w:t>工作，在全国会议上，湖南作典型经验交流发言。</w:t>
      </w:r>
    </w:p>
    <w:p>
      <w:pPr>
        <w:pStyle w:val="5"/>
        <w:numPr>
          <w:ilvl w:val="0"/>
          <w:numId w:val="0"/>
        </w:numPr>
        <w:spacing w:line="360" w:lineRule="auto"/>
        <w:ind w:leftChars="200" w:firstLine="320" w:firstLineChars="100"/>
        <w:rPr>
          <w:rFonts w:ascii="仿宋" w:hAnsi="仿宋" w:eastAsia="仿宋" w:cs="仿宋_GB2312"/>
          <w:sz w:val="32"/>
          <w:szCs w:val="32"/>
        </w:rPr>
      </w:pPr>
      <w:r>
        <w:rPr>
          <w:rFonts w:hint="eastAsia" w:ascii="仿宋" w:hAnsi="仿宋" w:eastAsia="仿宋" w:cs="仿宋_GB2312"/>
          <w:sz w:val="32"/>
          <w:szCs w:val="32"/>
          <w:lang w:val="en-US" w:eastAsia="zh-CN"/>
        </w:rPr>
        <w:t>3、</w:t>
      </w:r>
      <w:r>
        <w:rPr>
          <w:rFonts w:hint="eastAsia" w:ascii="仿宋" w:hAnsi="仿宋" w:eastAsia="仿宋" w:cs="仿宋_GB2312"/>
          <w:sz w:val="32"/>
          <w:szCs w:val="32"/>
        </w:rPr>
        <w:t>时效指标</w:t>
      </w:r>
    </w:p>
    <w:p>
      <w:pPr>
        <w:pStyle w:val="20"/>
        <w:spacing w:line="360" w:lineRule="auto"/>
        <w:outlineLvl w:val="1"/>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2023年6月，制定出台《湖南省农业农村厅关于进一步对乡村产业振兴带头人“头雁”培育对象予以扶持的指导意见》（湘农发〔2023〕50号），对发展势头好、有发展潜力的学员，在技术支持、成果转化、创业环境、投融资等方面持续给予相关政策倾斜及支持。</w:t>
      </w:r>
    </w:p>
    <w:p>
      <w:pPr>
        <w:pStyle w:val="20"/>
        <w:spacing w:line="360" w:lineRule="auto"/>
        <w:outlineLvl w:val="1"/>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根据省人力资源和社会保障厅统一部署，2023年12月17日完成了2023年度全省农业系列职称评审。</w:t>
      </w:r>
    </w:p>
    <w:p>
      <w:pPr>
        <w:pStyle w:val="20"/>
        <w:numPr>
          <w:ilvl w:val="0"/>
          <w:numId w:val="3"/>
        </w:numPr>
        <w:spacing w:line="360" w:lineRule="auto"/>
        <w:outlineLvl w:val="1"/>
        <w:rPr>
          <w:rFonts w:hint="eastAsia" w:ascii="仿宋" w:hAnsi="仿宋" w:eastAsia="仿宋" w:cs="仿宋_GB2312"/>
          <w:b w:val="0"/>
          <w:bCs w:val="0"/>
          <w:kern w:val="2"/>
          <w:sz w:val="32"/>
          <w:szCs w:val="32"/>
          <w:lang w:val="en-US" w:eastAsia="zh-CN" w:bidi="ar-SA"/>
        </w:rPr>
      </w:pPr>
      <w:r>
        <w:rPr>
          <w:rFonts w:hint="eastAsia" w:ascii="仿宋" w:hAnsi="仿宋" w:eastAsia="仿宋" w:cs="仿宋_GB2312"/>
          <w:b w:val="0"/>
          <w:bCs w:val="0"/>
          <w:kern w:val="2"/>
          <w:sz w:val="32"/>
          <w:szCs w:val="32"/>
          <w:lang w:val="en-US" w:eastAsia="zh-CN" w:bidi="ar-SA"/>
        </w:rPr>
        <w:t>成本指标</w:t>
      </w:r>
    </w:p>
    <w:p>
      <w:pPr>
        <w:pStyle w:val="20"/>
        <w:numPr>
          <w:ilvl w:val="0"/>
          <w:numId w:val="0"/>
        </w:numPr>
        <w:spacing w:line="360" w:lineRule="auto"/>
        <w:outlineLvl w:val="1"/>
        <w:rPr>
          <w:rFonts w:hint="default" w:ascii="仿宋" w:hAnsi="仿宋" w:eastAsia="仿宋" w:cs="仿宋_GB2312"/>
          <w:b w:val="0"/>
          <w:bCs w:val="0"/>
          <w:kern w:val="2"/>
          <w:sz w:val="32"/>
          <w:szCs w:val="32"/>
          <w:lang w:val="en-US" w:eastAsia="zh-CN" w:bidi="ar-SA"/>
        </w:rPr>
      </w:pPr>
      <w:r>
        <w:rPr>
          <w:rFonts w:hint="eastAsia" w:ascii="仿宋" w:hAnsi="仿宋" w:eastAsia="仿宋" w:cs="仿宋_GB2312"/>
          <w:b w:val="0"/>
          <w:bCs w:val="0"/>
          <w:kern w:val="2"/>
          <w:sz w:val="32"/>
          <w:szCs w:val="32"/>
          <w:lang w:val="en-US" w:eastAsia="zh-CN" w:bidi="ar-SA"/>
        </w:rPr>
        <w:t xml:space="preserve">    2023年各项支出控制在预算范围内。</w:t>
      </w:r>
    </w:p>
    <w:p>
      <w:pPr>
        <w:pStyle w:val="20"/>
        <w:spacing w:line="360" w:lineRule="auto"/>
        <w:outlineLvl w:val="1"/>
        <w:rPr>
          <w:rFonts w:ascii="仿宋" w:hAnsi="仿宋" w:eastAsia="仿宋" w:cs="华文楷体"/>
        </w:rPr>
      </w:pPr>
      <w:r>
        <w:rPr>
          <w:rFonts w:hint="eastAsia" w:ascii="仿宋" w:hAnsi="仿宋" w:eastAsia="仿宋" w:cs="华文楷体"/>
        </w:rPr>
        <w:t>（三）效益指标绩效情况</w:t>
      </w:r>
    </w:p>
    <w:p>
      <w:pPr>
        <w:pStyle w:val="5"/>
        <w:spacing w:line="360" w:lineRule="auto"/>
        <w:ind w:firstLine="640"/>
        <w:rPr>
          <w:rFonts w:ascii="仿宋" w:hAnsi="仿宋" w:eastAsia="仿宋" w:cs="仿宋_GB2312"/>
          <w:sz w:val="32"/>
          <w:szCs w:val="32"/>
        </w:rPr>
      </w:pPr>
      <w:r>
        <w:rPr>
          <w:rFonts w:hint="eastAsia" w:ascii="仿宋" w:hAnsi="仿宋" w:eastAsia="仿宋" w:cs="仿宋_GB2312"/>
          <w:sz w:val="32"/>
          <w:szCs w:val="32"/>
        </w:rPr>
        <w:t>1</w:t>
      </w:r>
      <w:r>
        <w:rPr>
          <w:rFonts w:hint="eastAsia" w:ascii="仿宋" w:hAnsi="仿宋" w:eastAsia="仿宋" w:cs="仿宋_GB2312"/>
          <w:sz w:val="32"/>
          <w:szCs w:val="32"/>
          <w:lang w:eastAsia="zh-CN"/>
        </w:rPr>
        <w:t>、</w:t>
      </w:r>
      <w:r>
        <w:rPr>
          <w:rFonts w:hint="eastAsia" w:ascii="仿宋" w:hAnsi="仿宋" w:eastAsia="仿宋" w:cs="仿宋_GB2312"/>
          <w:sz w:val="32"/>
          <w:szCs w:val="32"/>
        </w:rPr>
        <w:t>社会效益指标</w:t>
      </w:r>
    </w:p>
    <w:p>
      <w:pPr>
        <w:pStyle w:val="5"/>
        <w:spacing w:line="360" w:lineRule="auto"/>
        <w:ind w:firstLine="64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 w:eastAsia="zh-CN"/>
        </w:rPr>
        <w:t>组织“全国十佳农民”推荐工作，经个人申报、各市州推荐、省级遴选推荐，</w:t>
      </w:r>
      <w:r>
        <w:rPr>
          <w:rFonts w:hint="eastAsia" w:ascii="仿宋" w:hAnsi="仿宋" w:eastAsia="仿宋" w:cs="仿宋"/>
          <w:b w:val="0"/>
          <w:bCs w:val="0"/>
          <w:sz w:val="32"/>
          <w:szCs w:val="32"/>
          <w:lang w:val="en-US" w:eastAsia="zh-CN"/>
        </w:rPr>
        <w:t>最终有1人（衡阳县朱霞）获得“全国十佳农民”荣誉；组织“湖南省十佳农民”、“湖南省十佳农技推广标兵”评审工作，经过两轮评审，党组会审定，最终浏阳市沿溪镇建设村祠堂组胡呈武等10人获得“湖南省十佳农民”称号，长沙县农业综合技术推广服务中心戴金鹏等10人获“湖南省十佳农技推广标兵”称号。</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 w:hAnsi="仿宋" w:eastAsia="仿宋" w:cs="仿宋"/>
          <w:color w:val="000000"/>
          <w:kern w:val="0"/>
          <w:sz w:val="32"/>
          <w:szCs w:val="32"/>
          <w:lang w:val="en-US" w:eastAsia="zh-CN" w:bidi="ar"/>
        </w:rPr>
      </w:pPr>
      <w:r>
        <w:rPr>
          <w:rFonts w:hint="eastAsia" w:ascii="仿宋_GB2312" w:hAnsi="仿宋_GB2312" w:eastAsia="仿宋_GB2312" w:cs="仿宋_GB2312"/>
          <w:b w:val="0"/>
          <w:bCs w:val="0"/>
          <w:sz w:val="32"/>
          <w:szCs w:val="32"/>
          <w:lang w:val="en-US" w:eastAsia="zh-CN"/>
        </w:rPr>
        <w:t>2023</w:t>
      </w:r>
      <w:r>
        <w:rPr>
          <w:rFonts w:hint="eastAsia" w:ascii="仿宋" w:hAnsi="仿宋" w:eastAsia="仿宋" w:cs="仿宋"/>
          <w:b w:val="0"/>
          <w:bCs/>
          <w:sz w:val="32"/>
          <w:szCs w:val="32"/>
          <w:lang w:val="en" w:eastAsia="zh-CN"/>
        </w:rPr>
        <w:t>年，组织选派选手参加</w:t>
      </w:r>
      <w:r>
        <w:rPr>
          <w:rFonts w:hint="eastAsia" w:ascii="仿宋" w:hAnsi="仿宋" w:eastAsia="仿宋" w:cs="仿宋"/>
          <w:color w:val="000000"/>
          <w:kern w:val="0"/>
          <w:sz w:val="32"/>
          <w:szCs w:val="32"/>
          <w:lang w:val="en-US" w:eastAsia="zh-CN" w:bidi="ar"/>
        </w:rPr>
        <w:t>全国农业行业职业技能大赛</w:t>
      </w:r>
      <w:r>
        <w:rPr>
          <w:rFonts w:hint="eastAsia" w:ascii="仿宋" w:hAnsi="仿宋" w:eastAsia="仿宋" w:cs="仿宋"/>
          <w:color w:val="000000"/>
          <w:kern w:val="0"/>
          <w:sz w:val="32"/>
          <w:szCs w:val="32"/>
          <w:lang w:val="en" w:eastAsia="zh-CN" w:bidi="ar"/>
        </w:rPr>
        <w:t>决赛，农产品质量安全检测赛项中湖南代表队获得团体亚军、且</w:t>
      </w:r>
      <w:r>
        <w:rPr>
          <w:rFonts w:hint="eastAsia" w:ascii="仿宋" w:hAnsi="仿宋" w:eastAsia="仿宋" w:cs="仿宋"/>
          <w:color w:val="000000"/>
          <w:kern w:val="0"/>
          <w:sz w:val="32"/>
          <w:szCs w:val="32"/>
          <w:lang w:val="en-US" w:eastAsia="zh-CN" w:bidi="ar"/>
        </w:rPr>
        <w:t>1人获“全国技术能手”称号、2人获“全国农业技术能手”称号；</w:t>
      </w:r>
      <w:r>
        <w:rPr>
          <w:rFonts w:hint="eastAsia" w:ascii="仿宋" w:hAnsi="仿宋" w:eastAsia="仿宋" w:cs="仿宋"/>
          <w:color w:val="000000"/>
          <w:kern w:val="0"/>
          <w:sz w:val="32"/>
          <w:szCs w:val="32"/>
          <w:lang w:val="en" w:eastAsia="zh-CN" w:bidi="ar"/>
        </w:rPr>
        <w:t>在茶叶加工赛项中</w:t>
      </w:r>
      <w:r>
        <w:rPr>
          <w:rFonts w:hint="eastAsia" w:ascii="仿宋" w:hAnsi="仿宋" w:eastAsia="仿宋" w:cs="仿宋"/>
          <w:color w:val="000000"/>
          <w:kern w:val="0"/>
          <w:sz w:val="32"/>
          <w:szCs w:val="32"/>
          <w:lang w:val="en-US" w:eastAsia="zh-CN" w:bidi="ar"/>
        </w:rPr>
        <w:t>1</w:t>
      </w:r>
      <w:r>
        <w:rPr>
          <w:rFonts w:hint="eastAsia" w:ascii="仿宋" w:hAnsi="仿宋" w:eastAsia="仿宋" w:cs="仿宋"/>
          <w:color w:val="000000"/>
          <w:kern w:val="0"/>
          <w:sz w:val="32"/>
          <w:szCs w:val="32"/>
          <w:lang w:val="en" w:eastAsia="zh-CN" w:bidi="ar"/>
        </w:rPr>
        <w:t>人</w:t>
      </w:r>
      <w:r>
        <w:rPr>
          <w:rFonts w:hint="eastAsia" w:ascii="仿宋" w:hAnsi="仿宋" w:eastAsia="仿宋" w:cs="仿宋"/>
          <w:color w:val="000000"/>
          <w:kern w:val="0"/>
          <w:sz w:val="32"/>
          <w:szCs w:val="32"/>
          <w:lang w:val="en-US" w:eastAsia="zh-CN" w:bidi="ar"/>
        </w:rPr>
        <w:t>获“全国农业技术能手”称号、3人获“优秀选手”称号；在</w:t>
      </w:r>
      <w:r>
        <w:rPr>
          <w:rFonts w:hint="eastAsia" w:ascii="仿宋" w:hAnsi="仿宋" w:eastAsia="仿宋" w:cs="仿宋"/>
          <w:color w:val="000000"/>
          <w:kern w:val="0"/>
          <w:sz w:val="32"/>
          <w:szCs w:val="32"/>
          <w:lang w:val="en" w:eastAsia="zh-CN" w:bidi="ar"/>
        </w:rPr>
        <w:t>家畜繁殖员赛项中湖南省代表队获得团体第三名；在动物检疫检验员赛项中有</w:t>
      </w:r>
      <w:r>
        <w:rPr>
          <w:rFonts w:hint="eastAsia" w:ascii="仿宋" w:hAnsi="仿宋" w:eastAsia="仿宋" w:cs="仿宋"/>
          <w:color w:val="000000"/>
          <w:kern w:val="0"/>
          <w:sz w:val="32"/>
          <w:szCs w:val="32"/>
          <w:lang w:val="en-US" w:eastAsia="zh-CN" w:bidi="ar"/>
        </w:rPr>
        <w:t>2人获个人三等奖。</w:t>
      </w:r>
    </w:p>
    <w:p>
      <w:pPr>
        <w:pStyle w:val="5"/>
        <w:spacing w:line="360" w:lineRule="auto"/>
        <w:ind w:firstLine="640"/>
        <w:rPr>
          <w:rFonts w:ascii="仿宋" w:hAnsi="仿宋" w:eastAsia="仿宋" w:cs="仿宋_GB2312"/>
          <w:sz w:val="32"/>
          <w:szCs w:val="32"/>
        </w:rPr>
      </w:pPr>
      <w:r>
        <w:rPr>
          <w:rFonts w:hint="eastAsia" w:ascii="仿宋" w:hAnsi="仿宋" w:eastAsia="仿宋" w:cs="仿宋_GB2312"/>
          <w:sz w:val="32"/>
          <w:szCs w:val="32"/>
          <w:lang w:val="en-US" w:eastAsia="zh-CN"/>
        </w:rPr>
        <w:t>2</w:t>
      </w:r>
      <w:r>
        <w:rPr>
          <w:rFonts w:hint="eastAsia" w:ascii="仿宋" w:hAnsi="仿宋" w:eastAsia="仿宋" w:cs="仿宋_GB2312"/>
          <w:sz w:val="32"/>
          <w:szCs w:val="32"/>
        </w:rPr>
        <w:t>、</w:t>
      </w:r>
      <w:r>
        <w:rPr>
          <w:rFonts w:hint="eastAsia" w:ascii="仿宋" w:hAnsi="仿宋" w:eastAsia="仿宋" w:cs="仿宋_GB2312"/>
          <w:sz w:val="32"/>
          <w:szCs w:val="32"/>
          <w:lang w:eastAsia="zh-CN"/>
        </w:rPr>
        <w:t>可持续影响</w:t>
      </w:r>
      <w:r>
        <w:rPr>
          <w:rFonts w:hint="eastAsia" w:ascii="仿宋" w:hAnsi="仿宋" w:eastAsia="仿宋" w:cs="仿宋_GB2312"/>
          <w:sz w:val="32"/>
          <w:szCs w:val="32"/>
        </w:rPr>
        <w:t>指标</w:t>
      </w:r>
    </w:p>
    <w:p>
      <w:pPr>
        <w:pStyle w:val="5"/>
        <w:spacing w:line="360" w:lineRule="auto"/>
        <w:ind w:firstLine="640"/>
        <w:rPr>
          <w:rFonts w:hint="default" w:ascii="仿宋" w:hAnsi="仿宋" w:eastAsia="仿宋" w:cs="仿宋"/>
          <w:sz w:val="32"/>
          <w:szCs w:val="32"/>
          <w:lang w:val="en" w:eastAsia="zh-CN"/>
        </w:rPr>
      </w:pPr>
      <w:r>
        <w:rPr>
          <w:rFonts w:hint="eastAsia" w:ascii="仿宋_GB2312" w:hAnsi="仿宋" w:eastAsia="仿宋_GB2312" w:cs="Times New Roman"/>
          <w:sz w:val="32"/>
          <w:szCs w:val="32"/>
        </w:rPr>
        <w:t>组织厅直有关事业单位</w:t>
      </w:r>
      <w:r>
        <w:rPr>
          <w:rFonts w:hint="eastAsia" w:ascii="仿宋_GB2312" w:hAnsi="仿宋_GB2312" w:eastAsia="仿宋_GB2312" w:cs="仿宋_GB2312"/>
          <w:b w:val="0"/>
          <w:bCs/>
          <w:sz w:val="32"/>
          <w:szCs w:val="32"/>
          <w:lang w:val="en-US" w:eastAsia="zh-CN"/>
        </w:rPr>
        <w:t>做好享受国务院政府特殊津贴专家，享受省政府特殊津贴专家推荐工作，</w:t>
      </w:r>
      <w:r>
        <w:rPr>
          <w:rFonts w:hint="eastAsia" w:ascii="仿宋_GB2312" w:hAnsi="仿宋" w:eastAsia="仿宋_GB2312" w:cs="Times New Roman"/>
          <w:sz w:val="32"/>
          <w:szCs w:val="32"/>
        </w:rPr>
        <w:t>按照选拔条件和推荐程序，</w:t>
      </w:r>
      <w:r>
        <w:rPr>
          <w:rFonts w:hint="eastAsia" w:ascii="仿宋_GB2312" w:hAnsi="仿宋" w:eastAsia="仿宋_GB2312" w:cs="Times New Roman"/>
          <w:sz w:val="32"/>
          <w:szCs w:val="32"/>
          <w:lang w:eastAsia="zh-CN"/>
        </w:rPr>
        <w:t>分别收到各</w:t>
      </w:r>
      <w:r>
        <w:rPr>
          <w:rFonts w:hint="eastAsia" w:ascii="仿宋_GB2312" w:hAnsi="仿宋" w:eastAsia="仿宋_GB2312" w:cs="Times New Roman"/>
          <w:sz w:val="32"/>
          <w:szCs w:val="32"/>
          <w:lang w:val="en-US" w:eastAsia="zh-CN"/>
        </w:rPr>
        <w:t>5</w:t>
      </w:r>
      <w:r>
        <w:rPr>
          <w:rFonts w:hint="eastAsia" w:ascii="仿宋_GB2312" w:hAnsi="仿宋" w:eastAsia="仿宋_GB2312" w:cs="Times New Roman"/>
          <w:sz w:val="32"/>
          <w:szCs w:val="32"/>
        </w:rPr>
        <w:t>名</w:t>
      </w:r>
      <w:r>
        <w:rPr>
          <w:rFonts w:hint="eastAsia" w:ascii="仿宋_GB2312" w:hAnsi="仿宋" w:eastAsia="仿宋_GB2312" w:cs="Times New Roman"/>
          <w:sz w:val="32"/>
          <w:szCs w:val="32"/>
          <w:lang w:eastAsia="zh-CN"/>
        </w:rPr>
        <w:t>人员</w:t>
      </w:r>
      <w:r>
        <w:rPr>
          <w:rFonts w:hint="eastAsia" w:ascii="仿宋_GB2312" w:hAnsi="仿宋" w:eastAsia="仿宋_GB2312" w:cs="Times New Roman"/>
          <w:sz w:val="32"/>
          <w:szCs w:val="32"/>
        </w:rPr>
        <w:t>的申报材料，经专家综合评议</w:t>
      </w:r>
      <w:r>
        <w:rPr>
          <w:rFonts w:hint="eastAsia" w:ascii="仿宋_GB2312" w:hAnsi="仿宋" w:eastAsia="仿宋_GB2312" w:cs="Times New Roman"/>
          <w:sz w:val="32"/>
          <w:szCs w:val="32"/>
          <w:lang w:eastAsia="zh-CN"/>
        </w:rPr>
        <w:t>并经厅党组会议审定</w:t>
      </w:r>
      <w:r>
        <w:rPr>
          <w:rFonts w:hint="eastAsia" w:ascii="仿宋_GB2312" w:hAnsi="仿宋" w:eastAsia="仿宋_GB2312" w:cs="Times New Roman"/>
          <w:sz w:val="32"/>
          <w:szCs w:val="32"/>
        </w:rPr>
        <w:t>，</w:t>
      </w:r>
      <w:r>
        <w:rPr>
          <w:rFonts w:hint="default" w:ascii="仿宋" w:hAnsi="仿宋" w:eastAsia="仿宋" w:cs="仿宋"/>
          <w:sz w:val="32"/>
          <w:szCs w:val="32"/>
          <w:lang w:val="en" w:eastAsia="zh-CN"/>
        </w:rPr>
        <w:t>推荐</w:t>
      </w:r>
      <w:r>
        <w:rPr>
          <w:rFonts w:hint="eastAsia" w:ascii="仿宋" w:hAnsi="仿宋" w:eastAsia="仿宋" w:cs="仿宋"/>
          <w:sz w:val="32"/>
          <w:szCs w:val="32"/>
          <w:lang w:val="en-US" w:eastAsia="zh-CN"/>
        </w:rPr>
        <w:t>1名同志</w:t>
      </w:r>
      <w:r>
        <w:rPr>
          <w:rFonts w:hint="default" w:ascii="仿宋" w:hAnsi="仿宋" w:eastAsia="仿宋" w:cs="仿宋"/>
          <w:sz w:val="32"/>
          <w:szCs w:val="32"/>
          <w:lang w:val="en" w:eastAsia="zh-CN"/>
        </w:rPr>
        <w:t>参加全</w:t>
      </w:r>
      <w:r>
        <w:rPr>
          <w:rFonts w:hint="eastAsia" w:ascii="仿宋" w:hAnsi="仿宋" w:eastAsia="仿宋" w:cs="仿宋"/>
          <w:sz w:val="32"/>
          <w:szCs w:val="32"/>
          <w:lang w:val="en" w:eastAsia="zh-CN"/>
        </w:rPr>
        <w:t>国</w:t>
      </w:r>
      <w:r>
        <w:rPr>
          <w:rFonts w:hint="default" w:ascii="仿宋" w:hAnsi="仿宋" w:eastAsia="仿宋" w:cs="仿宋"/>
          <w:sz w:val="32"/>
          <w:szCs w:val="32"/>
          <w:lang w:val="en" w:eastAsia="zh-CN"/>
        </w:rPr>
        <w:t>评审</w:t>
      </w:r>
      <w:r>
        <w:rPr>
          <w:rFonts w:hint="eastAsia" w:ascii="仿宋_GB2312" w:hAnsi="仿宋" w:eastAsia="仿宋_GB2312" w:cs="Times New Roman"/>
          <w:sz w:val="32"/>
          <w:szCs w:val="32"/>
          <w:lang w:eastAsia="zh-CN"/>
        </w:rPr>
        <w:t>，</w:t>
      </w:r>
      <w:r>
        <w:rPr>
          <w:rFonts w:hint="eastAsia" w:ascii="仿宋_GB2312" w:hAnsi="仿宋" w:eastAsia="仿宋_GB2312" w:cs="Times New Roman"/>
          <w:sz w:val="32"/>
          <w:szCs w:val="32"/>
          <w:lang w:val="en-US" w:eastAsia="zh-CN"/>
        </w:rPr>
        <w:t>1名同志</w:t>
      </w:r>
      <w:r>
        <w:rPr>
          <w:rFonts w:hint="eastAsia" w:ascii="仿宋_GB2312" w:hAnsi="仿宋" w:eastAsia="仿宋_GB2312" w:cs="Times New Roman"/>
          <w:sz w:val="32"/>
          <w:szCs w:val="32"/>
          <w:lang w:eastAsia="zh-CN"/>
        </w:rPr>
        <w:t>参加全省评审。</w:t>
      </w:r>
    </w:p>
    <w:p>
      <w:pPr>
        <w:pStyle w:val="5"/>
        <w:spacing w:line="360" w:lineRule="auto"/>
        <w:ind w:firstLine="640"/>
        <w:rPr>
          <w:rFonts w:ascii="仿宋" w:hAnsi="仿宋" w:eastAsia="仿宋" w:cs="仿宋_GB2312"/>
          <w:sz w:val="32"/>
          <w:szCs w:val="32"/>
        </w:rPr>
      </w:pPr>
      <w:r>
        <w:rPr>
          <w:rFonts w:hint="eastAsia" w:ascii="仿宋" w:hAnsi="仿宋" w:eastAsia="仿宋" w:cs="仿宋_GB2312"/>
          <w:sz w:val="32"/>
          <w:szCs w:val="32"/>
        </w:rPr>
        <w:t>（四）满意度指标绩效情况</w:t>
      </w:r>
    </w:p>
    <w:p>
      <w:pPr>
        <w:pStyle w:val="5"/>
        <w:spacing w:line="360" w:lineRule="auto"/>
        <w:ind w:firstLine="640"/>
        <w:rPr>
          <w:rFonts w:hint="eastAsia" w:ascii="仿宋" w:hAnsi="仿宋" w:eastAsia="仿宋" w:cs="仿宋_GB2312"/>
          <w:sz w:val="32"/>
          <w:szCs w:val="32"/>
          <w:lang w:eastAsia="zh-CN"/>
        </w:rPr>
      </w:pPr>
      <w:r>
        <w:rPr>
          <w:rFonts w:ascii="仿宋" w:hAnsi="仿宋" w:eastAsia="仿宋" w:cs="仿宋_GB2312"/>
          <w:sz w:val="32"/>
          <w:szCs w:val="32"/>
        </w:rPr>
        <w:t>服务对象的满意程度</w:t>
      </w:r>
      <w:r>
        <w:rPr>
          <w:rFonts w:hint="eastAsia" w:ascii="仿宋" w:hAnsi="仿宋" w:eastAsia="仿宋" w:cs="仿宋_GB2312"/>
          <w:sz w:val="32"/>
          <w:szCs w:val="32"/>
          <w:lang w:eastAsia="zh-CN"/>
        </w:rPr>
        <w:t>达</w:t>
      </w:r>
      <w:r>
        <w:rPr>
          <w:rFonts w:hint="eastAsia" w:ascii="仿宋" w:hAnsi="仿宋" w:eastAsia="仿宋" w:cs="仿宋_GB2312"/>
          <w:sz w:val="32"/>
          <w:szCs w:val="32"/>
        </w:rPr>
        <w:t>9</w:t>
      </w:r>
      <w:r>
        <w:rPr>
          <w:rFonts w:hint="eastAsia" w:ascii="仿宋" w:hAnsi="仿宋" w:eastAsia="仿宋" w:cs="仿宋_GB2312"/>
          <w:sz w:val="32"/>
          <w:szCs w:val="32"/>
          <w:lang w:val="en-US" w:eastAsia="zh-CN"/>
        </w:rPr>
        <w:t>5</w:t>
      </w:r>
      <w:r>
        <w:rPr>
          <w:rFonts w:hint="eastAsia" w:ascii="仿宋" w:hAnsi="仿宋" w:eastAsia="仿宋" w:cs="仿宋_GB2312"/>
          <w:sz w:val="32"/>
          <w:szCs w:val="32"/>
        </w:rPr>
        <w:t>%</w:t>
      </w:r>
      <w:r>
        <w:rPr>
          <w:rFonts w:hint="eastAsia" w:ascii="仿宋" w:hAnsi="仿宋" w:eastAsia="仿宋" w:cs="仿宋_GB2312"/>
          <w:sz w:val="32"/>
          <w:szCs w:val="32"/>
          <w:lang w:eastAsia="zh-CN"/>
        </w:rPr>
        <w:t>以上。</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四、存在问题及原因分析</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我中心整体预算执行率有待提高，全年支出预算数171.03万元，决算数135.47万元，执行率为79.21%，主要原因项目跨年度执行。</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下一步改进措施：完善单位的预算编制管理，定期对预算资金执行情况进行分析，作为下年预算编制的重要依据，以进一步提高我单位预算编制的准确性。</w:t>
      </w:r>
    </w:p>
    <w:p>
      <w:pPr>
        <w:numPr>
          <w:ilvl w:val="0"/>
          <w:numId w:val="0"/>
        </w:numPr>
        <w:rPr>
          <w:rFonts w:hint="eastAsia" w:ascii="仿宋" w:hAnsi="仿宋" w:eastAsia="仿宋" w:cs="仿宋"/>
          <w:sz w:val="32"/>
          <w:szCs w:val="32"/>
          <w:lang w:val="en-US" w:eastAsia="zh-CN"/>
        </w:rPr>
      </w:pPr>
    </w:p>
    <w:p>
      <w:pPr>
        <w:widowControl/>
        <w:adjustRightInd/>
        <w:snapToGrid/>
        <w:spacing w:before="144" w:beforeLines="25" w:after="144" w:afterLines="25" w:line="500" w:lineRule="exact"/>
        <w:ind w:firstLine="0" w:firstLineChars="0"/>
        <w:jc w:val="center"/>
        <w:rPr>
          <w:rFonts w:eastAsia="方正小标宋简体"/>
          <w:color w:val="000000"/>
          <w:sz w:val="36"/>
          <w:szCs w:val="36"/>
        </w:rPr>
      </w:pPr>
      <w:r>
        <w:rPr>
          <w:rFonts w:eastAsia="方正小标宋简体"/>
          <w:color w:val="000000"/>
          <w:sz w:val="36"/>
          <w:szCs w:val="36"/>
        </w:rPr>
        <w:t>2023年度部门整体支出绩效评价基础数据表</w:t>
      </w:r>
    </w:p>
    <w:tbl>
      <w:tblPr>
        <w:tblStyle w:val="10"/>
        <w:tblW w:w="9673" w:type="dxa"/>
        <w:jc w:val="center"/>
        <w:tblInd w:w="0" w:type="dxa"/>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Layout w:type="fixed"/>
          <w:tblCellMar>
            <w:top w:w="0" w:type="dxa"/>
            <w:left w:w="108" w:type="dxa"/>
            <w:bottom w:w="0" w:type="dxa"/>
            <w:right w:w="108" w:type="dxa"/>
          </w:tblCellMar>
        </w:tblPrEx>
        <w:trPr>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2023年实际在职人数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控制率</w:t>
            </w:r>
          </w:p>
        </w:tc>
      </w:tr>
      <w:tr>
        <w:tblPrEx>
          <w:tblLayout w:type="fixed"/>
          <w:tblCellMar>
            <w:top w:w="0" w:type="dxa"/>
            <w:left w:w="108" w:type="dxa"/>
            <w:bottom w:w="0" w:type="dxa"/>
            <w:right w:w="108" w:type="dxa"/>
          </w:tblCellMar>
        </w:tblPrEx>
        <w:trPr>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p>
        </w:tc>
        <w:tc>
          <w:tcPr>
            <w:tcW w:w="2038"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3</w:t>
            </w:r>
            <w:r>
              <w:rPr>
                <w:sz w:val="20"/>
                <w:szCs w:val="20"/>
              </w:rPr>
              <w:t>　</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3</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100%</w:t>
            </w:r>
            <w:r>
              <w:rPr>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2022年决算数</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2023年预算数</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2023年决算数</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三公经费: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eastAsia="仿宋_GB2312"/>
                <w:sz w:val="20"/>
                <w:szCs w:val="20"/>
                <w:lang w:val="en-US" w:eastAsia="zh-CN"/>
              </w:rPr>
            </w:pPr>
            <w:r>
              <w:rPr>
                <w:sz w:val="20"/>
                <w:szCs w:val="20"/>
              </w:rPr>
              <w:t>　</w:t>
            </w:r>
            <w:r>
              <w:rPr>
                <w:rFonts w:hint="eastAsia"/>
                <w:sz w:val="20"/>
                <w:szCs w:val="20"/>
                <w:lang w:val="en-US" w:eastAsia="zh-CN"/>
              </w:rPr>
              <w:t>0.5</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eastAsia" w:eastAsia="仿宋_GB2312"/>
                <w:sz w:val="20"/>
                <w:szCs w:val="20"/>
                <w:lang w:val="en-US" w:eastAsia="zh-CN"/>
              </w:rPr>
            </w:pPr>
            <w:r>
              <w:rPr>
                <w:rFonts w:hint="eastAsia"/>
                <w:sz w:val="20"/>
                <w:szCs w:val="20"/>
                <w:lang w:val="en-US" w:eastAsia="zh-CN"/>
              </w:rPr>
              <w:t>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eastAsia="仿宋_GB2312"/>
                <w:sz w:val="20"/>
                <w:szCs w:val="20"/>
                <w:lang w:val="en-US" w:eastAsia="zh-CN"/>
              </w:rPr>
            </w:pPr>
            <w:r>
              <w:rPr>
                <w:rFonts w:hint="eastAsia"/>
                <w:sz w:val="20"/>
                <w:szCs w:val="20"/>
                <w:lang w:val="en-US" w:eastAsia="zh-CN"/>
              </w:rPr>
              <w:t>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eastAsia" w:eastAsia="仿宋_GB2312"/>
                <w:sz w:val="20"/>
                <w:szCs w:val="20"/>
                <w:lang w:val="en-US" w:eastAsia="zh-CN"/>
              </w:rPr>
            </w:pP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eastAsia="仿宋_GB2312"/>
                <w:sz w:val="20"/>
                <w:szCs w:val="20"/>
                <w:lang w:val="en-US" w:eastAsia="zh-CN"/>
              </w:rPr>
            </w:pPr>
            <w:r>
              <w:rPr>
                <w:rFonts w:hint="eastAsia"/>
                <w:sz w:val="20"/>
                <w:szCs w:val="20"/>
                <w:lang w:val="en-US" w:eastAsia="zh-CN"/>
              </w:rPr>
              <w:t>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0.5</w:t>
            </w: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eastAsia" w:eastAsia="仿宋_GB2312"/>
                <w:sz w:val="20"/>
                <w:szCs w:val="20"/>
                <w:lang w:val="en-US" w:eastAsia="zh-CN"/>
              </w:rPr>
            </w:pPr>
            <w:r>
              <w:rPr>
                <w:rFonts w:hint="eastAsia"/>
                <w:sz w:val="20"/>
                <w:szCs w:val="20"/>
                <w:lang w:val="en-US" w:eastAsia="zh-CN"/>
              </w:rPr>
              <w:t>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566.94</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eastAsia="仿宋_GB2312"/>
                <w:sz w:val="20"/>
                <w:szCs w:val="20"/>
                <w:lang w:val="en-US" w:eastAsia="zh-CN"/>
              </w:rPr>
            </w:pPr>
            <w:r>
              <w:rPr>
                <w:rFonts w:hint="eastAsia"/>
                <w:sz w:val="20"/>
                <w:szCs w:val="20"/>
                <w:lang w:val="en-US" w:eastAsia="zh-CN"/>
              </w:rPr>
              <w:t>48.12</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ascii="Times New Roman" w:hAnsi="Times New Roman" w:eastAsia="仿宋_GB2312" w:cs="Times New Roman"/>
                <w:kern w:val="2"/>
                <w:sz w:val="20"/>
                <w:szCs w:val="20"/>
                <w:lang w:val="en-US" w:eastAsia="zh-CN" w:bidi="ar-SA"/>
              </w:rPr>
            </w:pPr>
            <w:r>
              <w:rPr>
                <w:rFonts w:hint="eastAsia"/>
                <w:sz w:val="20"/>
                <w:szCs w:val="20"/>
                <w:lang w:val="en-US" w:eastAsia="zh-CN"/>
              </w:rPr>
              <w:t>46.94</w:t>
            </w:r>
            <w:r>
              <w:rPr>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eastAsia="仿宋_GB2312"/>
                <w:sz w:val="20"/>
                <w:szCs w:val="20"/>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14.85</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39.51</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ascii="Times New Roman" w:hAnsi="Times New Roman" w:eastAsia="仿宋_GB2312" w:cs="Times New Roman"/>
                <w:kern w:val="2"/>
                <w:sz w:val="20"/>
                <w:szCs w:val="20"/>
                <w:lang w:val="en-US" w:eastAsia="zh-CN" w:bidi="ar-SA"/>
              </w:rPr>
            </w:pPr>
            <w:r>
              <w:rPr>
                <w:rFonts w:hint="eastAsia"/>
                <w:sz w:val="20"/>
                <w:szCs w:val="20"/>
                <w:lang w:val="en-US" w:eastAsia="zh-CN"/>
              </w:rPr>
              <w:t>25.26</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3、省级专项资金（每个专项一行）</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ascii="Times New Roman" w:hAnsi="Times New Roman" w:eastAsia="仿宋_GB2312" w:cs="Times New Roman"/>
                <w:kern w:val="2"/>
                <w:sz w:val="20"/>
                <w:szCs w:val="20"/>
                <w:lang w:val="en-US" w:eastAsia="zh-CN" w:bidi="ar-SA"/>
              </w:rPr>
            </w:pP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rFonts w:hint="eastAsia"/>
                <w:sz w:val="20"/>
                <w:szCs w:val="20"/>
              </w:rPr>
              <w:t>2023年度国家基层科普行动计划专项资金</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sz w:val="20"/>
                <w:szCs w:val="20"/>
                <w:lang w:val="en-US" w:eastAsia="zh-CN"/>
              </w:rPr>
            </w:pPr>
            <w:r>
              <w:rPr>
                <w:rFonts w:hint="eastAsia"/>
                <w:sz w:val="20"/>
                <w:szCs w:val="20"/>
                <w:lang w:val="en-US" w:eastAsia="zh-CN"/>
              </w:rPr>
              <w:t>1.00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both"/>
              <w:textAlignment w:val="center"/>
              <w:rPr>
                <w:sz w:val="20"/>
                <w:szCs w:val="20"/>
              </w:rPr>
            </w:pPr>
            <w:r>
              <w:rPr>
                <w:rFonts w:hint="eastAsia"/>
                <w:sz w:val="20"/>
                <w:szCs w:val="20"/>
                <w:lang w:val="en-US" w:eastAsia="zh-CN"/>
              </w:rPr>
              <w:t>4、中央转移支付</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eastAsia="仿宋_GB2312"/>
                <w:sz w:val="20"/>
                <w:szCs w:val="20"/>
                <w:lang w:val="en-US" w:eastAsia="zh-CN"/>
              </w:rPr>
            </w:pPr>
            <w:r>
              <w:rPr>
                <w:rFonts w:hint="eastAsia"/>
                <w:sz w:val="20"/>
                <w:szCs w:val="20"/>
                <w:lang w:val="en-US" w:eastAsia="zh-CN"/>
              </w:rPr>
              <w:t>520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ascii="Times New Roman" w:hAnsi="Times New Roman" w:eastAsia="仿宋_GB2312" w:cs="Times New Roman"/>
                <w:kern w:val="2"/>
                <w:sz w:val="20"/>
                <w:szCs w:val="20"/>
                <w:lang w:val="en-US" w:eastAsia="zh-CN" w:bidi="ar-SA"/>
              </w:rPr>
            </w:pP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rFonts w:hint="eastAsia"/>
                <w:sz w:val="20"/>
                <w:szCs w:val="20"/>
                <w:lang w:val="en-US" w:eastAsia="zh-CN"/>
              </w:rPr>
            </w:pPr>
            <w:r>
              <w:rPr>
                <w:rFonts w:hint="eastAsia"/>
                <w:sz w:val="20"/>
                <w:szCs w:val="20"/>
                <w:lang w:val="en-US" w:eastAsia="zh-CN"/>
              </w:rPr>
              <w:t>乡村振兴带头人“头雁”培育与高素质农民培训</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eastAsia"/>
                <w:sz w:val="20"/>
                <w:szCs w:val="20"/>
                <w:lang w:val="en-US" w:eastAsia="zh-CN"/>
              </w:rPr>
            </w:pPr>
            <w:r>
              <w:rPr>
                <w:rFonts w:hint="eastAsia"/>
                <w:sz w:val="20"/>
                <w:szCs w:val="20"/>
                <w:lang w:val="en-US" w:eastAsia="zh-CN"/>
              </w:rPr>
              <w:t>520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ascii="Times New Roman" w:hAnsi="Times New Roman" w:eastAsia="仿宋_GB2312" w:cs="Times New Roman"/>
                <w:kern w:val="2"/>
                <w:sz w:val="20"/>
                <w:szCs w:val="20"/>
                <w:lang w:val="en-US" w:eastAsia="zh-CN" w:bidi="ar-SA"/>
              </w:rPr>
            </w:pP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14.83</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eastAsia="仿宋_GB2312"/>
                <w:sz w:val="20"/>
                <w:szCs w:val="20"/>
                <w:lang w:val="en-US" w:eastAsia="zh-CN"/>
              </w:rPr>
            </w:pPr>
            <w:r>
              <w:rPr>
                <w:rFonts w:hint="eastAsia"/>
                <w:sz w:val="20"/>
                <w:szCs w:val="20"/>
                <w:lang w:val="en-US" w:eastAsia="zh-CN"/>
              </w:rPr>
              <w:t>12.09</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ascii="Times New Roman" w:hAnsi="Times New Roman" w:eastAsia="仿宋_GB2312" w:cs="Times New Roman"/>
                <w:color w:val="auto"/>
                <w:kern w:val="2"/>
                <w:sz w:val="20"/>
                <w:szCs w:val="20"/>
                <w:lang w:val="en-US" w:eastAsia="zh-CN" w:bidi="ar-SA"/>
              </w:rPr>
            </w:pPr>
            <w:r>
              <w:rPr>
                <w:rFonts w:hint="eastAsia"/>
                <w:color w:val="auto"/>
                <w:sz w:val="20"/>
                <w:szCs w:val="20"/>
                <w:lang w:val="en-US" w:eastAsia="zh-CN"/>
              </w:rPr>
              <w:t>10.55</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ascii="Times New Roman" w:hAnsi="Times New Roman" w:eastAsia="仿宋_GB2312" w:cs="Times New Roman"/>
                <w:color w:val="auto"/>
                <w:kern w:val="2"/>
                <w:sz w:val="20"/>
                <w:szCs w:val="20"/>
                <w:lang w:val="en-US" w:eastAsia="zh-CN" w:bidi="ar-SA"/>
              </w:rPr>
            </w:pPr>
            <w:r>
              <w:rPr>
                <w:rFonts w:hint="eastAsia"/>
                <w:color w:val="auto"/>
                <w:sz w:val="20"/>
                <w:szCs w:val="20"/>
                <w:lang w:val="en-US" w:eastAsia="zh-CN"/>
              </w:rPr>
              <w:t>0.50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eastAsia="仿宋_GB2312"/>
                <w:color w:val="auto"/>
                <w:sz w:val="20"/>
                <w:szCs w:val="20"/>
                <w:lang w:val="en-US" w:eastAsia="zh-CN"/>
              </w:rPr>
            </w:pPr>
            <w:r>
              <w:rPr>
                <w:rFonts w:hint="eastAsia"/>
                <w:color w:val="auto"/>
                <w:sz w:val="20"/>
                <w:szCs w:val="20"/>
                <w:lang w:val="en-US" w:eastAsia="zh-CN"/>
              </w:rPr>
              <w:t>0.30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ascii="Times New Roman" w:hAnsi="Times New Roman" w:eastAsia="仿宋_GB2312" w:cs="Times New Roman"/>
                <w:color w:val="auto"/>
                <w:kern w:val="2"/>
                <w:sz w:val="20"/>
                <w:szCs w:val="20"/>
                <w:lang w:val="en-US" w:eastAsia="zh-CN" w:bidi="ar-SA"/>
              </w:rPr>
            </w:pPr>
            <w:r>
              <w:rPr>
                <w:rFonts w:hint="eastAsia"/>
                <w:color w:val="auto"/>
                <w:sz w:val="20"/>
                <w:szCs w:val="20"/>
                <w:lang w:val="en-US" w:eastAsia="zh-CN"/>
              </w:rPr>
              <w:t>0.30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差旅费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ascii="Times New Roman" w:hAnsi="Times New Roman" w:eastAsia="仿宋_GB2312" w:cs="Times New Roman"/>
                <w:color w:val="auto"/>
                <w:kern w:val="2"/>
                <w:sz w:val="20"/>
                <w:szCs w:val="20"/>
                <w:lang w:val="en-US" w:eastAsia="zh-CN" w:bidi="ar-SA"/>
              </w:rPr>
            </w:pPr>
            <w:r>
              <w:rPr>
                <w:rFonts w:hint="eastAsia"/>
                <w:color w:val="auto"/>
                <w:sz w:val="20"/>
                <w:szCs w:val="20"/>
                <w:lang w:val="en-US" w:eastAsia="zh-CN"/>
              </w:rPr>
              <w:t>1.21</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eastAsia="仿宋_GB2312"/>
                <w:color w:val="auto"/>
                <w:sz w:val="20"/>
                <w:szCs w:val="20"/>
                <w:lang w:val="en-US" w:eastAsia="zh-CN"/>
              </w:rPr>
            </w:pPr>
            <w:r>
              <w:rPr>
                <w:rFonts w:hint="eastAsia"/>
                <w:color w:val="auto"/>
                <w:sz w:val="20"/>
                <w:szCs w:val="20"/>
                <w:lang w:val="en-US" w:eastAsia="zh-CN"/>
              </w:rPr>
              <w:t>0.50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ascii="Times New Roman" w:hAnsi="Times New Roman" w:eastAsia="仿宋_GB2312" w:cs="Times New Roman"/>
                <w:color w:val="auto"/>
                <w:kern w:val="2"/>
                <w:sz w:val="20"/>
                <w:szCs w:val="20"/>
                <w:lang w:val="en-US" w:eastAsia="zh-CN" w:bidi="ar-SA"/>
              </w:rPr>
            </w:pPr>
            <w:r>
              <w:rPr>
                <w:rFonts w:hint="eastAsia"/>
                <w:color w:val="auto"/>
                <w:sz w:val="20"/>
                <w:szCs w:val="20"/>
                <w:lang w:val="en-US" w:eastAsia="zh-CN"/>
              </w:rPr>
              <w:t>0.50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ascii="Times New Roman" w:hAnsi="Times New Roman" w:eastAsia="仿宋_GB2312" w:cs="Times New Roman"/>
                <w:color w:val="auto"/>
                <w:kern w:val="2"/>
                <w:sz w:val="20"/>
                <w:szCs w:val="20"/>
                <w:lang w:val="en-US" w:eastAsia="zh-CN" w:bidi="ar-SA"/>
              </w:rPr>
            </w:pPr>
            <w:r>
              <w:rPr>
                <w:rFonts w:hint="eastAsia"/>
                <w:color w:val="auto"/>
                <w:sz w:val="20"/>
                <w:szCs w:val="20"/>
                <w:lang w:val="en-US" w:eastAsia="zh-CN"/>
              </w:rPr>
              <w:t>1.55</w:t>
            </w:r>
            <w:r>
              <w:rPr>
                <w:color w:val="auto"/>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eastAsia="仿宋_GB2312"/>
                <w:color w:val="auto"/>
                <w:sz w:val="20"/>
                <w:szCs w:val="20"/>
                <w:lang w:val="en-US" w:eastAsia="zh-CN"/>
              </w:rPr>
            </w:pPr>
            <w:r>
              <w:rPr>
                <w:rFonts w:hint="eastAsia"/>
                <w:color w:val="auto"/>
                <w:sz w:val="20"/>
                <w:szCs w:val="20"/>
                <w:lang w:val="en-US" w:eastAsia="zh-CN"/>
              </w:rPr>
              <w:t>14.00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ascii="Times New Roman" w:hAnsi="Times New Roman" w:eastAsia="仿宋_GB2312" w:cs="Times New Roman"/>
                <w:color w:val="auto"/>
                <w:kern w:val="2"/>
                <w:sz w:val="20"/>
                <w:szCs w:val="20"/>
                <w:lang w:val="en-US" w:eastAsia="zh-CN" w:bidi="ar-SA"/>
              </w:rPr>
            </w:pPr>
            <w:r>
              <w:rPr>
                <w:rFonts w:hint="eastAsia"/>
                <w:color w:val="auto"/>
                <w:sz w:val="20"/>
                <w:szCs w:val="20"/>
                <w:lang w:val="en-US" w:eastAsia="zh-CN"/>
              </w:rPr>
              <w:t>12.47</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r>
      <w:tr>
        <w:tblPrEx>
          <w:tblLayout w:type="fixed"/>
          <w:tblCellMar>
            <w:top w:w="0" w:type="dxa"/>
            <w:left w:w="108" w:type="dxa"/>
            <w:bottom w:w="0" w:type="dxa"/>
            <w:right w:w="108" w:type="dxa"/>
          </w:tblCellMar>
        </w:tblPrEx>
        <w:trPr>
          <w:jc w:val="center"/>
        </w:trPr>
        <w:tc>
          <w:tcPr>
            <w:tcW w:w="3354"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楼堂馆所控制情况</w:t>
            </w:r>
            <w:r>
              <w:rPr>
                <w:sz w:val="20"/>
                <w:szCs w:val="20"/>
              </w:rPr>
              <w:br w:type="textWrapping"/>
            </w:r>
            <w:r>
              <w:rPr>
                <w:sz w:val="20"/>
                <w:szCs w:val="20"/>
              </w:rPr>
              <w:t>（2023年完工项目）</w:t>
            </w:r>
          </w:p>
        </w:tc>
        <w:tc>
          <w:tcPr>
            <w:tcW w:w="118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批复规模</w:t>
            </w:r>
            <w:r>
              <w:rPr>
                <w:bCs/>
                <w:sz w:val="20"/>
                <w:szCs w:val="20"/>
              </w:rPr>
              <w:br w:type="textWrapping"/>
            </w:r>
            <w:r>
              <w:rPr>
                <w:bCs/>
                <w:sz w:val="20"/>
                <w:szCs w:val="20"/>
              </w:rPr>
              <w:t>（</w:t>
            </w:r>
            <w:r>
              <w:rPr>
                <w:rFonts w:eastAsia="宋体"/>
                <w:bCs/>
                <w:sz w:val="20"/>
                <w:szCs w:val="20"/>
              </w:rPr>
              <w:t>㎡</w:t>
            </w:r>
            <w:r>
              <w:rPr>
                <w:bCs/>
                <w:sz w:val="20"/>
                <w:szCs w:val="20"/>
              </w:rPr>
              <w:t>）</w:t>
            </w:r>
          </w:p>
        </w:tc>
        <w:tc>
          <w:tcPr>
            <w:tcW w:w="84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实际规模（</w:t>
            </w:r>
            <w:r>
              <w:rPr>
                <w:rFonts w:eastAsia="宋体"/>
                <w:bCs/>
                <w:sz w:val="20"/>
                <w:szCs w:val="20"/>
              </w:rPr>
              <w:t>㎡</w:t>
            </w:r>
            <w:r>
              <w:rPr>
                <w:bCs/>
                <w:sz w:val="20"/>
                <w:szCs w:val="20"/>
              </w:rPr>
              <w:t>）</w:t>
            </w:r>
          </w:p>
        </w:tc>
        <w:tc>
          <w:tcPr>
            <w:tcW w:w="112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规模控制率</w:t>
            </w:r>
          </w:p>
        </w:tc>
        <w:tc>
          <w:tcPr>
            <w:tcW w:w="1111"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预算投资（万元）</w:t>
            </w:r>
          </w:p>
        </w:tc>
        <w:tc>
          <w:tcPr>
            <w:tcW w:w="1081"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实际投资（万元）</w:t>
            </w:r>
          </w:p>
        </w:tc>
        <w:tc>
          <w:tcPr>
            <w:tcW w:w="960"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投资概算控制率</w:t>
            </w:r>
          </w:p>
        </w:tc>
      </w:tr>
      <w:tr>
        <w:tblPrEx>
          <w:tblLayout w:type="fixed"/>
          <w:tblCellMar>
            <w:top w:w="0" w:type="dxa"/>
            <w:left w:w="108" w:type="dxa"/>
            <w:bottom w:w="0" w:type="dxa"/>
            <w:right w:w="108" w:type="dxa"/>
          </w:tblCellMar>
        </w:tblPrEx>
        <w:trPr>
          <w:jc w:val="center"/>
        </w:trPr>
        <w:tc>
          <w:tcPr>
            <w:tcW w:w="3354"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p>
        </w:tc>
        <w:tc>
          <w:tcPr>
            <w:tcW w:w="118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c>
          <w:tcPr>
            <w:tcW w:w="84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w:t>
            </w:r>
          </w:p>
        </w:tc>
        <w:tc>
          <w:tcPr>
            <w:tcW w:w="112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w:t>
            </w:r>
          </w:p>
        </w:tc>
        <w:tc>
          <w:tcPr>
            <w:tcW w:w="1111"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w:t>
            </w:r>
          </w:p>
        </w:tc>
        <w:tc>
          <w:tcPr>
            <w:tcW w:w="1081"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w:t>
            </w:r>
          </w:p>
        </w:tc>
        <w:tc>
          <w:tcPr>
            <w:tcW w:w="960"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r>
    </w:tbl>
    <w:p>
      <w:pPr>
        <w:widowControl/>
        <w:adjustRightInd/>
        <w:snapToGrid/>
        <w:spacing w:line="400" w:lineRule="exact"/>
        <w:ind w:firstLine="0" w:firstLineChars="0"/>
        <w:jc w:val="left"/>
        <w:rPr>
          <w:sz w:val="22"/>
        </w:rPr>
      </w:pPr>
      <w:r>
        <w:rPr>
          <w:sz w:val="22"/>
        </w:rPr>
        <w:t>说明：“项目支出”需要填报基本支出以外的所有项目支出情况，“公用经费”填报基本支出中的一般商品和服务支出。</w:t>
      </w:r>
    </w:p>
    <w:p>
      <w:pPr>
        <w:widowControl/>
        <w:spacing w:after="120" w:afterLines="50"/>
        <w:jc w:val="center"/>
        <w:rPr>
          <w:rFonts w:hint="default" w:ascii="Times New Roman" w:hAnsi="Times New Roman" w:eastAsia="方正小标宋_GBK" w:cs="Times New Roman"/>
          <w:color w:val="000000"/>
          <w:sz w:val="36"/>
          <w:szCs w:val="36"/>
        </w:rPr>
      </w:pPr>
      <w:r>
        <w:rPr>
          <w:rFonts w:hint="default" w:ascii="Times New Roman" w:hAnsi="Times New Roman" w:eastAsia="方正小标宋_GBK" w:cs="Times New Roman"/>
          <w:color w:val="000000"/>
          <w:sz w:val="36"/>
          <w:szCs w:val="36"/>
        </w:rPr>
        <w:t>202</w:t>
      </w:r>
      <w:r>
        <w:rPr>
          <w:rFonts w:hint="eastAsia" w:ascii="Times New Roman" w:hAnsi="Times New Roman" w:eastAsia="方正小标宋_GBK" w:cs="Times New Roman"/>
          <w:color w:val="000000"/>
          <w:sz w:val="36"/>
          <w:szCs w:val="36"/>
          <w:lang w:val="en-US" w:eastAsia="zh-CN"/>
        </w:rPr>
        <w:t>3</w:t>
      </w:r>
      <w:r>
        <w:rPr>
          <w:rFonts w:hint="default" w:ascii="Times New Roman" w:hAnsi="Times New Roman" w:eastAsia="方正小标宋_GBK" w:cs="Times New Roman"/>
          <w:color w:val="000000"/>
          <w:sz w:val="36"/>
          <w:szCs w:val="36"/>
        </w:rPr>
        <w:t>年</w:t>
      </w:r>
      <w:r>
        <w:rPr>
          <w:rFonts w:hint="eastAsia" w:ascii="Times New Roman" w:hAnsi="Times New Roman" w:eastAsia="方正小标宋_GBK" w:cs="Times New Roman"/>
          <w:color w:val="000000"/>
          <w:sz w:val="36"/>
          <w:szCs w:val="36"/>
          <w:lang w:eastAsia="zh-CN"/>
        </w:rPr>
        <w:t>度</w:t>
      </w:r>
      <w:r>
        <w:rPr>
          <w:rFonts w:hint="default" w:ascii="Times New Roman" w:hAnsi="Times New Roman" w:eastAsia="方正小标宋_GBK" w:cs="Times New Roman"/>
          <w:color w:val="000000"/>
          <w:sz w:val="36"/>
          <w:szCs w:val="36"/>
        </w:rPr>
        <w:t>部门整体支出绩效自评表</w:t>
      </w:r>
    </w:p>
    <w:tbl>
      <w:tblPr>
        <w:tblStyle w:val="10"/>
        <w:tblW w:w="10866" w:type="dxa"/>
        <w:jc w:val="center"/>
        <w:tblInd w:w="0" w:type="dxa"/>
        <w:tblLayout w:type="fixed"/>
        <w:tblCellMar>
          <w:top w:w="0" w:type="dxa"/>
          <w:left w:w="108" w:type="dxa"/>
          <w:bottom w:w="0" w:type="dxa"/>
          <w:right w:w="108" w:type="dxa"/>
        </w:tblCellMar>
      </w:tblPr>
      <w:tblGrid>
        <w:gridCol w:w="1080"/>
        <w:gridCol w:w="1080"/>
        <w:gridCol w:w="1034"/>
        <w:gridCol w:w="1984"/>
        <w:gridCol w:w="1165"/>
        <w:gridCol w:w="1670"/>
        <w:gridCol w:w="534"/>
        <w:gridCol w:w="1116"/>
        <w:gridCol w:w="1203"/>
      </w:tblGrid>
      <w:tr>
        <w:tblPrEx>
          <w:tblLayout w:type="fixed"/>
          <w:tblCellMar>
            <w:top w:w="0" w:type="dxa"/>
            <w:left w:w="108" w:type="dxa"/>
            <w:bottom w:w="0" w:type="dxa"/>
            <w:right w:w="108" w:type="dxa"/>
          </w:tblCellMar>
        </w:tblPrEx>
        <w:trPr>
          <w:jc w:val="center"/>
        </w:trPr>
        <w:tc>
          <w:tcPr>
            <w:tcW w:w="3194"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省级预算部门</w:t>
            </w:r>
            <w:r>
              <w:rPr>
                <w:rFonts w:hint="eastAsia" w:ascii="Times New Roman" w:hAnsi="Times New Roman" w:eastAsia="仿宋_GB2312" w:cs="Times New Roman"/>
                <w:color w:val="000000"/>
                <w:sz w:val="16"/>
                <w:szCs w:val="16"/>
                <w:lang w:eastAsia="zh-CN"/>
              </w:rPr>
              <w:t>、单位</w:t>
            </w:r>
            <w:r>
              <w:rPr>
                <w:rFonts w:hint="default" w:ascii="Times New Roman" w:hAnsi="Times New Roman" w:eastAsia="仿宋_GB2312" w:cs="Times New Roman"/>
                <w:color w:val="000000"/>
                <w:sz w:val="16"/>
                <w:szCs w:val="16"/>
              </w:rPr>
              <w:t>名称</w:t>
            </w:r>
          </w:p>
        </w:tc>
        <w:tc>
          <w:tcPr>
            <w:tcW w:w="7672"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湖南省农业人才交流服务中心</w:t>
            </w:r>
            <w:r>
              <w:rPr>
                <w:rFonts w:hint="default" w:ascii="Times New Roman" w:hAnsi="Times New Roman" w:eastAsia="仿宋_GB2312" w:cs="Times New Roman"/>
                <w:color w:val="000000"/>
                <w:sz w:val="16"/>
                <w:szCs w:val="16"/>
              </w:rPr>
              <w:t>　</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年度预</w:t>
            </w:r>
          </w:p>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算申请</w:t>
            </w:r>
            <w:r>
              <w:rPr>
                <w:rFonts w:hint="default" w:ascii="Times New Roman" w:hAnsi="Times New Roman" w:eastAsia="仿宋_GB2312" w:cs="Times New Roman"/>
                <w:color w:val="000000"/>
                <w:sz w:val="16"/>
                <w:szCs w:val="16"/>
              </w:rPr>
              <w:br w:type="textWrapping"/>
            </w:r>
            <w:r>
              <w:rPr>
                <w:rFonts w:hint="default" w:ascii="Times New Roman" w:hAnsi="Times New Roman" w:eastAsia="仿宋_GB2312" w:cs="Times New Roman"/>
                <w:color w:val="000000"/>
                <w:sz w:val="16"/>
                <w:szCs w:val="16"/>
              </w:rPr>
              <w:t>（万元）</w:t>
            </w:r>
          </w:p>
        </w:tc>
        <w:tc>
          <w:tcPr>
            <w:tcW w:w="2114"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6"/>
                <w:szCs w:val="16"/>
              </w:rPr>
            </w:pPr>
          </w:p>
        </w:tc>
        <w:tc>
          <w:tcPr>
            <w:tcW w:w="198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6"/>
                <w:szCs w:val="16"/>
              </w:rPr>
            </w:pPr>
            <w:r>
              <w:rPr>
                <w:rFonts w:hint="default" w:ascii="Times New Roman" w:hAnsi="Times New Roman" w:eastAsia="仿宋_GB2312" w:cs="Times New Roman"/>
                <w:sz w:val="16"/>
                <w:szCs w:val="16"/>
              </w:rPr>
              <w:t>年初预算数</w:t>
            </w:r>
          </w:p>
        </w:tc>
        <w:tc>
          <w:tcPr>
            <w:tcW w:w="1165"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6"/>
                <w:szCs w:val="16"/>
              </w:rPr>
            </w:pPr>
            <w:r>
              <w:rPr>
                <w:rFonts w:hint="default" w:ascii="Times New Roman" w:hAnsi="Times New Roman" w:eastAsia="仿宋_GB2312" w:cs="Times New Roman"/>
                <w:sz w:val="16"/>
                <w:szCs w:val="16"/>
              </w:rPr>
              <w:t>全年预算数</w:t>
            </w:r>
          </w:p>
        </w:tc>
        <w:tc>
          <w:tcPr>
            <w:tcW w:w="1670"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6"/>
                <w:szCs w:val="16"/>
              </w:rPr>
            </w:pPr>
            <w:r>
              <w:rPr>
                <w:rFonts w:hint="default" w:ascii="Times New Roman" w:hAnsi="Times New Roman" w:eastAsia="仿宋_GB2312" w:cs="Times New Roman"/>
                <w:sz w:val="16"/>
                <w:szCs w:val="16"/>
              </w:rPr>
              <w:t>全年执行数</w:t>
            </w:r>
          </w:p>
        </w:tc>
        <w:tc>
          <w:tcPr>
            <w:tcW w:w="53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6"/>
                <w:szCs w:val="16"/>
              </w:rPr>
            </w:pPr>
            <w:r>
              <w:rPr>
                <w:rFonts w:hint="default" w:ascii="Times New Roman" w:hAnsi="Times New Roman" w:eastAsia="仿宋_GB2312" w:cs="Times New Roman"/>
                <w:sz w:val="16"/>
                <w:szCs w:val="16"/>
              </w:rPr>
              <w:t>分值</w:t>
            </w:r>
          </w:p>
        </w:tc>
        <w:tc>
          <w:tcPr>
            <w:tcW w:w="1116"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6"/>
                <w:szCs w:val="16"/>
              </w:rPr>
            </w:pPr>
            <w:r>
              <w:rPr>
                <w:rFonts w:hint="default" w:ascii="Times New Roman" w:hAnsi="Times New Roman" w:eastAsia="仿宋_GB2312" w:cs="Times New Roman"/>
                <w:sz w:val="16"/>
                <w:szCs w:val="16"/>
              </w:rPr>
              <w:t>执行率</w:t>
            </w:r>
          </w:p>
        </w:tc>
        <w:tc>
          <w:tcPr>
            <w:tcW w:w="1203"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6"/>
                <w:szCs w:val="16"/>
              </w:rPr>
            </w:pPr>
            <w:r>
              <w:rPr>
                <w:rFonts w:hint="eastAsia" w:ascii="Times New Roman" w:hAnsi="Times New Roman" w:eastAsia="仿宋_GB2312" w:cs="Times New Roman"/>
                <w:sz w:val="16"/>
                <w:szCs w:val="16"/>
                <w:lang w:eastAsia="zh-CN"/>
              </w:rPr>
              <w:t>自评</w:t>
            </w:r>
            <w:r>
              <w:rPr>
                <w:rFonts w:hint="default" w:ascii="Times New Roman" w:hAnsi="Times New Roman" w:eastAsia="仿宋_GB2312" w:cs="Times New Roman"/>
                <w:sz w:val="16"/>
                <w:szCs w:val="16"/>
              </w:rPr>
              <w:t>得分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p>
        </w:tc>
        <w:tc>
          <w:tcPr>
            <w:tcW w:w="2114"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6"/>
                <w:szCs w:val="16"/>
              </w:rPr>
            </w:pPr>
            <w:r>
              <w:rPr>
                <w:rFonts w:hint="default" w:ascii="Times New Roman" w:hAnsi="Times New Roman" w:eastAsia="仿宋_GB2312" w:cs="Times New Roman"/>
                <w:color w:val="000000"/>
                <w:sz w:val="16"/>
                <w:szCs w:val="16"/>
              </w:rPr>
              <w:t>年度资金总额</w:t>
            </w:r>
          </w:p>
        </w:tc>
        <w:tc>
          <w:tcPr>
            <w:tcW w:w="198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6"/>
                <w:szCs w:val="16"/>
                <w:lang w:val="en-US" w:eastAsia="zh-CN"/>
              </w:rPr>
            </w:pPr>
            <w:r>
              <w:rPr>
                <w:rFonts w:hint="eastAsia" w:ascii="Times New Roman" w:hAnsi="Times New Roman" w:eastAsia="仿宋_GB2312" w:cs="Times New Roman"/>
                <w:sz w:val="16"/>
                <w:szCs w:val="16"/>
                <w:lang w:val="en-US" w:eastAsia="zh-CN"/>
              </w:rPr>
              <w:t>146.99</w:t>
            </w:r>
          </w:p>
        </w:tc>
        <w:tc>
          <w:tcPr>
            <w:tcW w:w="1165"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6"/>
                <w:szCs w:val="16"/>
                <w:lang w:val="en-US" w:eastAsia="zh-CN"/>
              </w:rPr>
            </w:pPr>
            <w:r>
              <w:rPr>
                <w:rFonts w:hint="eastAsia" w:ascii="Times New Roman" w:hAnsi="Times New Roman" w:eastAsia="仿宋_GB2312" w:cs="Times New Roman"/>
                <w:sz w:val="16"/>
                <w:szCs w:val="16"/>
                <w:lang w:val="en-US" w:eastAsia="zh-CN"/>
              </w:rPr>
              <w:t>171.03</w:t>
            </w:r>
          </w:p>
        </w:tc>
        <w:tc>
          <w:tcPr>
            <w:tcW w:w="1670"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6"/>
                <w:szCs w:val="16"/>
                <w:lang w:val="en-US" w:eastAsia="zh-CN"/>
              </w:rPr>
            </w:pPr>
            <w:r>
              <w:rPr>
                <w:rFonts w:hint="eastAsia" w:ascii="Times New Roman" w:hAnsi="Times New Roman" w:eastAsia="仿宋_GB2312" w:cs="Times New Roman"/>
                <w:sz w:val="16"/>
                <w:szCs w:val="16"/>
                <w:lang w:val="en-US" w:eastAsia="zh-CN"/>
              </w:rPr>
              <w:t>135.47</w:t>
            </w:r>
          </w:p>
        </w:tc>
        <w:tc>
          <w:tcPr>
            <w:tcW w:w="53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6"/>
                <w:szCs w:val="16"/>
              </w:rPr>
            </w:pPr>
            <w:r>
              <w:rPr>
                <w:rFonts w:hint="default" w:ascii="Times New Roman" w:hAnsi="Times New Roman" w:eastAsia="仿宋_GB2312" w:cs="Times New Roman"/>
                <w:b/>
                <w:bCs/>
                <w:sz w:val="16"/>
                <w:szCs w:val="16"/>
              </w:rPr>
              <w:t>10</w:t>
            </w:r>
          </w:p>
        </w:tc>
        <w:tc>
          <w:tcPr>
            <w:tcW w:w="1116"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6"/>
                <w:szCs w:val="16"/>
                <w:lang w:val="en-US" w:eastAsia="zh-CN"/>
              </w:rPr>
            </w:pPr>
            <w:r>
              <w:rPr>
                <w:rFonts w:hint="eastAsia" w:ascii="Times New Roman" w:hAnsi="Times New Roman" w:eastAsia="仿宋_GB2312" w:cs="Times New Roman"/>
                <w:sz w:val="16"/>
                <w:szCs w:val="16"/>
                <w:lang w:val="en-US" w:eastAsia="zh-CN"/>
              </w:rPr>
              <w:t>79.21%</w:t>
            </w:r>
          </w:p>
        </w:tc>
        <w:tc>
          <w:tcPr>
            <w:tcW w:w="1203"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6"/>
                <w:szCs w:val="16"/>
                <w:lang w:val="en-US" w:eastAsia="zh-CN"/>
              </w:rPr>
            </w:pPr>
            <w:r>
              <w:rPr>
                <w:rFonts w:hint="eastAsia" w:ascii="Times New Roman" w:hAnsi="Times New Roman" w:eastAsia="仿宋_GB2312" w:cs="Times New Roman"/>
                <w:sz w:val="16"/>
                <w:szCs w:val="16"/>
                <w:lang w:val="en-US" w:eastAsia="zh-CN"/>
              </w:rPr>
              <w:t>7.90</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p>
        </w:tc>
        <w:tc>
          <w:tcPr>
            <w:tcW w:w="5263"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按收入性质分：</w:t>
            </w:r>
          </w:p>
        </w:tc>
        <w:tc>
          <w:tcPr>
            <w:tcW w:w="4523"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按支出性质分：</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p>
        </w:tc>
        <w:tc>
          <w:tcPr>
            <w:tcW w:w="5263"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lang w:val="en-US" w:eastAsia="zh-CN"/>
              </w:rPr>
            </w:pPr>
            <w:r>
              <w:rPr>
                <w:rFonts w:hint="default" w:ascii="Times New Roman" w:hAnsi="Times New Roman" w:eastAsia="仿宋_GB2312" w:cs="Times New Roman"/>
                <w:color w:val="000000"/>
                <w:sz w:val="16"/>
                <w:szCs w:val="16"/>
              </w:rPr>
              <w:t xml:space="preserve">  其中：  一般公共预算：</w:t>
            </w:r>
            <w:r>
              <w:rPr>
                <w:rFonts w:hint="eastAsia" w:ascii="Times New Roman" w:hAnsi="Times New Roman" w:eastAsia="仿宋_GB2312" w:cs="Times New Roman"/>
                <w:color w:val="000000"/>
                <w:sz w:val="16"/>
                <w:szCs w:val="16"/>
                <w:lang w:val="en-US" w:eastAsia="zh-CN"/>
              </w:rPr>
              <w:t>171.03</w:t>
            </w:r>
          </w:p>
        </w:tc>
        <w:tc>
          <w:tcPr>
            <w:tcW w:w="4523"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lang w:val="en-US" w:eastAsia="zh-CN"/>
              </w:rPr>
            </w:pPr>
            <w:r>
              <w:rPr>
                <w:rFonts w:hint="default" w:ascii="Times New Roman" w:hAnsi="Times New Roman" w:eastAsia="仿宋_GB2312" w:cs="Times New Roman"/>
                <w:color w:val="000000"/>
                <w:sz w:val="16"/>
                <w:szCs w:val="16"/>
              </w:rPr>
              <w:t>其中：基本支出：</w:t>
            </w:r>
            <w:r>
              <w:rPr>
                <w:rFonts w:hint="eastAsia" w:ascii="Times New Roman" w:hAnsi="Times New Roman" w:eastAsia="仿宋_GB2312" w:cs="Times New Roman"/>
                <w:color w:val="000000"/>
                <w:sz w:val="16"/>
                <w:szCs w:val="16"/>
                <w:lang w:val="en-US" w:eastAsia="zh-CN"/>
              </w:rPr>
              <w:t>87.84</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p>
        </w:tc>
        <w:tc>
          <w:tcPr>
            <w:tcW w:w="5263" w:type="dxa"/>
            <w:gridSpan w:val="4"/>
            <w:tcBorders>
              <w:top w:val="nil"/>
              <w:left w:val="nil"/>
              <w:bottom w:val="single" w:color="auto" w:sz="4" w:space="0"/>
              <w:right w:val="single" w:color="auto" w:sz="4" w:space="0"/>
            </w:tcBorders>
            <w:noWrap w:val="0"/>
            <w:vAlign w:val="center"/>
          </w:tcPr>
          <w:p>
            <w:pPr>
              <w:widowControl/>
              <w:spacing w:line="240" w:lineRule="exact"/>
              <w:ind w:firstLine="640" w:firstLineChars="400"/>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政府性基金拨款：</w:t>
            </w:r>
          </w:p>
        </w:tc>
        <w:tc>
          <w:tcPr>
            <w:tcW w:w="4523" w:type="dxa"/>
            <w:gridSpan w:val="4"/>
            <w:tcBorders>
              <w:top w:val="nil"/>
              <w:left w:val="nil"/>
              <w:bottom w:val="single" w:color="auto" w:sz="4" w:space="0"/>
              <w:right w:val="single" w:color="auto" w:sz="4" w:space="0"/>
            </w:tcBorders>
            <w:noWrap w:val="0"/>
            <w:vAlign w:val="center"/>
          </w:tcPr>
          <w:p>
            <w:pPr>
              <w:widowControl/>
              <w:spacing w:line="240" w:lineRule="exact"/>
              <w:ind w:firstLine="480" w:firstLineChars="300"/>
              <w:jc w:val="left"/>
              <w:rPr>
                <w:rFonts w:hint="default" w:ascii="Times New Roman" w:hAnsi="Times New Roman" w:eastAsia="仿宋_GB2312" w:cs="Times New Roman"/>
                <w:color w:val="000000"/>
                <w:sz w:val="16"/>
                <w:szCs w:val="16"/>
                <w:lang w:val="en-US" w:eastAsia="zh-CN"/>
              </w:rPr>
            </w:pPr>
            <w:r>
              <w:rPr>
                <w:rFonts w:hint="default" w:ascii="Times New Roman" w:hAnsi="Times New Roman" w:eastAsia="仿宋_GB2312" w:cs="Times New Roman"/>
                <w:color w:val="000000"/>
                <w:sz w:val="16"/>
                <w:szCs w:val="16"/>
              </w:rPr>
              <w:t>项目支出：</w:t>
            </w:r>
            <w:r>
              <w:rPr>
                <w:rFonts w:hint="eastAsia" w:ascii="Times New Roman" w:hAnsi="Times New Roman" w:eastAsia="仿宋_GB2312" w:cs="Times New Roman"/>
                <w:color w:val="000000"/>
                <w:sz w:val="16"/>
                <w:szCs w:val="16"/>
                <w:lang w:val="en-US" w:eastAsia="zh-CN"/>
              </w:rPr>
              <w:t>48.13</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p>
        </w:tc>
        <w:tc>
          <w:tcPr>
            <w:tcW w:w="5263"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纳入专户管理的非税收入拨款：</w:t>
            </w:r>
          </w:p>
        </w:tc>
        <w:tc>
          <w:tcPr>
            <w:tcW w:w="4523"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p>
        </w:tc>
        <w:tc>
          <w:tcPr>
            <w:tcW w:w="5263" w:type="dxa"/>
            <w:gridSpan w:val="4"/>
            <w:tcBorders>
              <w:top w:val="nil"/>
              <w:left w:val="nil"/>
              <w:bottom w:val="single" w:color="auto" w:sz="4" w:space="0"/>
              <w:right w:val="single" w:color="auto" w:sz="4" w:space="0"/>
            </w:tcBorders>
            <w:noWrap w:val="0"/>
            <w:vAlign w:val="center"/>
          </w:tcPr>
          <w:p>
            <w:pPr>
              <w:widowControl/>
              <w:spacing w:line="240" w:lineRule="exact"/>
              <w:ind w:firstLine="1120" w:firstLineChars="700"/>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其他资金：</w:t>
            </w:r>
          </w:p>
        </w:tc>
        <w:tc>
          <w:tcPr>
            <w:tcW w:w="4523"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年度总体目标</w:t>
            </w:r>
          </w:p>
        </w:tc>
        <w:tc>
          <w:tcPr>
            <w:tcW w:w="5263"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预期目标</w:t>
            </w:r>
          </w:p>
        </w:tc>
        <w:tc>
          <w:tcPr>
            <w:tcW w:w="4523"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实际完成情况　</w:t>
            </w:r>
          </w:p>
        </w:tc>
      </w:tr>
      <w:tr>
        <w:tblPrEx>
          <w:tblLayout w:type="fixed"/>
          <w:tblCellMar>
            <w:top w:w="0" w:type="dxa"/>
            <w:left w:w="108" w:type="dxa"/>
            <w:bottom w:w="0" w:type="dxa"/>
            <w:right w:w="108" w:type="dxa"/>
          </w:tblCellMar>
        </w:tblPrEx>
        <w:trPr>
          <w:trHeight w:val="450" w:hRule="atLeast"/>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p>
        </w:tc>
        <w:tc>
          <w:tcPr>
            <w:tcW w:w="5263"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both"/>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单位工作正常进行，保障人员经费，保障运转类项目正常开展，各项工作顺利完成。</w:t>
            </w:r>
          </w:p>
        </w:tc>
        <w:tc>
          <w:tcPr>
            <w:tcW w:w="4523"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r>
              <w:rPr>
                <w:rFonts w:hint="eastAsia" w:ascii="Times New Roman" w:hAnsi="Times New Roman" w:eastAsia="仿宋_GB2312" w:cs="Times New Roman"/>
                <w:color w:val="000000"/>
                <w:sz w:val="16"/>
                <w:szCs w:val="16"/>
                <w:lang w:val="en-US" w:eastAsia="zh-CN"/>
              </w:rPr>
              <w:t>2023年</w:t>
            </w:r>
            <w:r>
              <w:rPr>
                <w:rFonts w:hint="default" w:ascii="Times New Roman" w:hAnsi="Times New Roman" w:eastAsia="仿宋_GB2312" w:cs="Times New Roman"/>
                <w:color w:val="000000"/>
                <w:sz w:val="16"/>
                <w:szCs w:val="16"/>
              </w:rPr>
              <w:t>单位</w:t>
            </w:r>
            <w:r>
              <w:rPr>
                <w:rFonts w:hint="eastAsia" w:ascii="Times New Roman" w:hAnsi="Times New Roman" w:eastAsia="仿宋_GB2312" w:cs="Times New Roman"/>
                <w:color w:val="000000"/>
                <w:sz w:val="16"/>
                <w:szCs w:val="16"/>
                <w:lang w:eastAsia="zh-CN"/>
              </w:rPr>
              <w:t>各项</w:t>
            </w:r>
            <w:r>
              <w:rPr>
                <w:rFonts w:hint="default" w:ascii="Times New Roman" w:hAnsi="Times New Roman" w:eastAsia="仿宋_GB2312" w:cs="Times New Roman"/>
                <w:color w:val="000000"/>
                <w:sz w:val="16"/>
                <w:szCs w:val="16"/>
              </w:rPr>
              <w:t>工作正常</w:t>
            </w:r>
            <w:r>
              <w:rPr>
                <w:rFonts w:hint="eastAsia" w:ascii="Times New Roman" w:hAnsi="Times New Roman" w:eastAsia="仿宋_GB2312" w:cs="Times New Roman"/>
                <w:color w:val="000000"/>
                <w:sz w:val="16"/>
                <w:szCs w:val="16"/>
                <w:lang w:eastAsia="zh-CN"/>
              </w:rPr>
              <w:t>开展并</w:t>
            </w:r>
            <w:r>
              <w:rPr>
                <w:rFonts w:hint="default" w:ascii="Times New Roman" w:hAnsi="Times New Roman" w:eastAsia="仿宋_GB2312" w:cs="Times New Roman"/>
                <w:color w:val="000000"/>
                <w:sz w:val="16"/>
                <w:szCs w:val="16"/>
              </w:rPr>
              <w:t>顺利完成，</w:t>
            </w:r>
            <w:r>
              <w:rPr>
                <w:rFonts w:hint="eastAsia" w:ascii="Times New Roman" w:hAnsi="Times New Roman" w:eastAsia="仿宋_GB2312" w:cs="Times New Roman"/>
                <w:color w:val="000000"/>
                <w:sz w:val="16"/>
                <w:szCs w:val="16"/>
                <w:lang w:eastAsia="zh-CN"/>
              </w:rPr>
              <w:t>运转正常</w:t>
            </w:r>
            <w:r>
              <w:rPr>
                <w:rFonts w:hint="default" w:ascii="Times New Roman" w:hAnsi="Times New Roman" w:eastAsia="仿宋_GB2312" w:cs="Times New Roman"/>
                <w:color w:val="000000"/>
                <w:sz w:val="16"/>
                <w:szCs w:val="16"/>
              </w:rPr>
              <w:t>。</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绩</w:t>
            </w:r>
          </w:p>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效</w:t>
            </w:r>
          </w:p>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指</w:t>
            </w:r>
          </w:p>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标</w:t>
            </w:r>
          </w:p>
          <w:p>
            <w:pPr>
              <w:widowControl/>
              <w:spacing w:line="240" w:lineRule="exact"/>
              <w:jc w:val="center"/>
              <w:rPr>
                <w:rFonts w:hint="default" w:ascii="Times New Roman" w:hAnsi="Times New Roman" w:eastAsia="仿宋_GB2312" w:cs="Times New Roman"/>
                <w:color w:val="000000"/>
                <w:sz w:val="16"/>
                <w:szCs w:val="16"/>
              </w:rPr>
            </w:pP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一级指标</w:t>
            </w:r>
          </w:p>
        </w:tc>
        <w:tc>
          <w:tcPr>
            <w:tcW w:w="10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二级指标</w:t>
            </w:r>
          </w:p>
        </w:tc>
        <w:tc>
          <w:tcPr>
            <w:tcW w:w="198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三级指标</w:t>
            </w:r>
          </w:p>
        </w:tc>
        <w:tc>
          <w:tcPr>
            <w:tcW w:w="1165"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年度指标值</w:t>
            </w:r>
          </w:p>
        </w:tc>
        <w:tc>
          <w:tcPr>
            <w:tcW w:w="1670" w:type="dxa"/>
            <w:tcBorders>
              <w:top w:val="nil"/>
              <w:left w:val="nil"/>
              <w:bottom w:val="single" w:color="auto" w:sz="4" w:space="0"/>
              <w:right w:val="single" w:color="auto" w:sz="4" w:space="0"/>
            </w:tcBorders>
            <w:noWrap w:val="0"/>
            <w:vAlign w:val="center"/>
          </w:tcPr>
          <w:p>
            <w:pPr>
              <w:widowControl/>
              <w:spacing w:line="240" w:lineRule="exac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实际完成值</w:t>
            </w:r>
          </w:p>
        </w:tc>
        <w:tc>
          <w:tcPr>
            <w:tcW w:w="5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分值</w:t>
            </w:r>
          </w:p>
        </w:tc>
        <w:tc>
          <w:tcPr>
            <w:tcW w:w="11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eastAsia="zh-CN"/>
              </w:rPr>
              <w:t>自评</w:t>
            </w:r>
            <w:r>
              <w:rPr>
                <w:rFonts w:hint="default" w:ascii="Times New Roman" w:hAnsi="Times New Roman" w:eastAsia="仿宋_GB2312" w:cs="Times New Roman"/>
                <w:color w:val="000000"/>
                <w:sz w:val="16"/>
                <w:szCs w:val="16"/>
              </w:rPr>
              <w:t>得分</w:t>
            </w:r>
          </w:p>
        </w:tc>
        <w:tc>
          <w:tcPr>
            <w:tcW w:w="1203"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偏差原因分析及改进措施</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80"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产出指标</w:t>
            </w:r>
          </w:p>
          <w:p>
            <w:pPr>
              <w:widowControl/>
              <w:spacing w:line="240" w:lineRule="exact"/>
              <w:jc w:val="center"/>
              <w:rPr>
                <w:rFonts w:hint="default" w:ascii="Times New Roman" w:hAnsi="Times New Roman" w:eastAsia="仿宋_GB2312" w:cs="Times New Roman"/>
                <w:color w:val="000000"/>
                <w:sz w:val="16"/>
                <w:szCs w:val="16"/>
              </w:rPr>
            </w:pPr>
          </w:p>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(50分)</w:t>
            </w:r>
          </w:p>
        </w:tc>
        <w:tc>
          <w:tcPr>
            <w:tcW w:w="1034"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数量指标</w:t>
            </w:r>
          </w:p>
        </w:tc>
        <w:tc>
          <w:tcPr>
            <w:tcW w:w="198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全省</w:t>
            </w:r>
            <w:r>
              <w:rPr>
                <w:rFonts w:hint="eastAsia" w:ascii="Times New Roman" w:hAnsi="Times New Roman" w:eastAsia="仿宋_GB2312" w:cs="Times New Roman"/>
                <w:color w:val="000000"/>
                <w:sz w:val="16"/>
                <w:szCs w:val="16"/>
                <w:lang w:eastAsia="zh-CN"/>
              </w:rPr>
              <w:t>培育“头雁”学员</w:t>
            </w:r>
          </w:p>
        </w:tc>
        <w:tc>
          <w:tcPr>
            <w:tcW w:w="116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rPr>
              <w:t>≧</w:t>
            </w:r>
            <w:r>
              <w:rPr>
                <w:rFonts w:hint="eastAsia" w:ascii="Times New Roman" w:hAnsi="Times New Roman" w:eastAsia="仿宋_GB2312" w:cs="Times New Roman"/>
                <w:color w:val="000000"/>
                <w:sz w:val="16"/>
                <w:szCs w:val="16"/>
                <w:lang w:val="en-US" w:eastAsia="zh-CN"/>
              </w:rPr>
              <w:t>800人</w:t>
            </w:r>
            <w:r>
              <w:rPr>
                <w:rFonts w:hint="default" w:ascii="Times New Roman" w:hAnsi="Times New Roman" w:eastAsia="仿宋_GB2312" w:cs="Times New Roman"/>
                <w:color w:val="000000"/>
                <w:sz w:val="16"/>
                <w:szCs w:val="16"/>
              </w:rPr>
              <w:t>　</w:t>
            </w:r>
          </w:p>
        </w:tc>
        <w:tc>
          <w:tcPr>
            <w:tcW w:w="16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lang w:val="en-US" w:eastAsia="zh-CN"/>
              </w:rPr>
            </w:pPr>
            <w:r>
              <w:rPr>
                <w:rFonts w:hint="default" w:ascii="Times New Roman" w:hAnsi="Times New Roman" w:eastAsia="仿宋_GB2312" w:cs="Times New Roman"/>
                <w:color w:val="000000"/>
                <w:sz w:val="16"/>
                <w:szCs w:val="16"/>
              </w:rPr>
              <w:t>　</w:t>
            </w:r>
            <w:r>
              <w:rPr>
                <w:rFonts w:hint="eastAsia" w:ascii="Times New Roman" w:hAnsi="Times New Roman" w:eastAsia="仿宋_GB2312" w:cs="Times New Roman"/>
                <w:color w:val="000000"/>
                <w:sz w:val="16"/>
                <w:szCs w:val="16"/>
                <w:lang w:val="en-US" w:eastAsia="zh-CN"/>
              </w:rPr>
              <w:t>900人</w:t>
            </w:r>
          </w:p>
        </w:tc>
        <w:tc>
          <w:tcPr>
            <w:tcW w:w="5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7</w:t>
            </w:r>
          </w:p>
        </w:tc>
        <w:tc>
          <w:tcPr>
            <w:tcW w:w="11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7</w:t>
            </w:r>
          </w:p>
        </w:tc>
        <w:tc>
          <w:tcPr>
            <w:tcW w:w="120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34" w:type="dxa"/>
            <w:vMerge w:val="continue"/>
            <w:tcBorders>
              <w:left w:val="nil"/>
              <w:right w:val="single" w:color="auto" w:sz="4" w:space="0"/>
            </w:tcBorders>
            <w:noWrap w:val="0"/>
            <w:vAlign w:val="center"/>
          </w:tcPr>
          <w:p>
            <w:pPr>
              <w:spacing w:line="240" w:lineRule="exact"/>
              <w:jc w:val="center"/>
              <w:rPr>
                <w:rFonts w:hint="default" w:ascii="Times New Roman" w:hAnsi="Times New Roman" w:eastAsia="仿宋_GB2312" w:cs="Times New Roman"/>
                <w:color w:val="000000"/>
                <w:sz w:val="16"/>
                <w:szCs w:val="16"/>
              </w:rPr>
            </w:pPr>
          </w:p>
        </w:tc>
        <w:tc>
          <w:tcPr>
            <w:tcW w:w="198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实用人才带头人示范培训</w:t>
            </w:r>
          </w:p>
        </w:tc>
        <w:tc>
          <w:tcPr>
            <w:tcW w:w="116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rPr>
              <w:t>≧</w:t>
            </w:r>
            <w:r>
              <w:rPr>
                <w:rFonts w:hint="eastAsia" w:ascii="Times New Roman" w:hAnsi="Times New Roman" w:eastAsia="仿宋_GB2312" w:cs="Times New Roman"/>
                <w:color w:val="000000"/>
                <w:sz w:val="16"/>
                <w:szCs w:val="16"/>
                <w:lang w:val="en-US" w:eastAsia="zh-CN"/>
              </w:rPr>
              <w:t>500人</w:t>
            </w:r>
            <w:r>
              <w:rPr>
                <w:rFonts w:hint="default" w:ascii="Times New Roman" w:hAnsi="Times New Roman" w:eastAsia="仿宋_GB2312" w:cs="Times New Roman"/>
                <w:color w:val="000000"/>
                <w:sz w:val="16"/>
                <w:szCs w:val="16"/>
              </w:rPr>
              <w:t>　</w:t>
            </w:r>
          </w:p>
        </w:tc>
        <w:tc>
          <w:tcPr>
            <w:tcW w:w="16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600人</w:t>
            </w:r>
            <w:r>
              <w:rPr>
                <w:rFonts w:hint="default" w:ascii="Times New Roman" w:hAnsi="Times New Roman" w:eastAsia="仿宋_GB2312" w:cs="Times New Roman"/>
                <w:color w:val="000000"/>
                <w:sz w:val="16"/>
                <w:szCs w:val="16"/>
              </w:rPr>
              <w:t>　</w:t>
            </w:r>
          </w:p>
        </w:tc>
        <w:tc>
          <w:tcPr>
            <w:tcW w:w="5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7</w:t>
            </w:r>
          </w:p>
        </w:tc>
        <w:tc>
          <w:tcPr>
            <w:tcW w:w="11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7</w:t>
            </w:r>
          </w:p>
        </w:tc>
        <w:tc>
          <w:tcPr>
            <w:tcW w:w="120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p>
        </w:tc>
        <w:tc>
          <w:tcPr>
            <w:tcW w:w="198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在全省开展农村实用人才建设情况调研</w:t>
            </w:r>
          </w:p>
        </w:tc>
        <w:tc>
          <w:tcPr>
            <w:tcW w:w="1165"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lang w:val="en-US"/>
              </w:rPr>
            </w:pPr>
            <w:r>
              <w:rPr>
                <w:rFonts w:hint="default" w:ascii="Times New Roman" w:hAnsi="Times New Roman" w:eastAsia="仿宋_GB2312" w:cs="Times New Roman"/>
                <w:color w:val="000000"/>
                <w:sz w:val="16"/>
                <w:szCs w:val="16"/>
              </w:rPr>
              <w:t>　</w:t>
            </w:r>
            <w:r>
              <w:rPr>
                <w:rFonts w:hint="eastAsia" w:ascii="Times New Roman" w:hAnsi="Times New Roman" w:eastAsia="仿宋_GB2312" w:cs="Times New Roman"/>
                <w:color w:val="000000"/>
                <w:sz w:val="16"/>
                <w:szCs w:val="16"/>
              </w:rPr>
              <w:t>≧</w:t>
            </w:r>
            <w:r>
              <w:rPr>
                <w:rFonts w:hint="eastAsia" w:ascii="Times New Roman" w:hAnsi="Times New Roman" w:eastAsia="仿宋_GB2312" w:cs="Times New Roman"/>
                <w:color w:val="000000"/>
                <w:sz w:val="16"/>
                <w:szCs w:val="16"/>
                <w:lang w:val="en-US" w:eastAsia="zh-CN"/>
              </w:rPr>
              <w:t>5个县市区</w:t>
            </w:r>
          </w:p>
        </w:tc>
        <w:tc>
          <w:tcPr>
            <w:tcW w:w="167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r>
              <w:rPr>
                <w:rFonts w:hint="eastAsia" w:ascii="Times New Roman" w:hAnsi="Times New Roman" w:eastAsia="仿宋_GB2312" w:cs="Times New Roman"/>
                <w:color w:val="000000"/>
                <w:sz w:val="16"/>
                <w:szCs w:val="16"/>
                <w:lang w:val="en" w:eastAsia="zh-CN"/>
              </w:rPr>
              <w:t>对</w:t>
            </w:r>
            <w:r>
              <w:rPr>
                <w:rFonts w:hint="eastAsia" w:ascii="Times New Roman" w:hAnsi="Times New Roman" w:eastAsia="仿宋_GB2312" w:cs="Times New Roman"/>
                <w:color w:val="000000"/>
                <w:sz w:val="16"/>
                <w:szCs w:val="16"/>
                <w:lang w:val="en-US" w:eastAsia="zh-CN"/>
              </w:rPr>
              <w:t>8个典型县市区（宁乡市、茶陵县、新宁县、华容县、安化县、宁远县、靖州县、新化县）进行调研</w:t>
            </w:r>
          </w:p>
        </w:tc>
        <w:tc>
          <w:tcPr>
            <w:tcW w:w="534"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6</w:t>
            </w:r>
          </w:p>
        </w:tc>
        <w:tc>
          <w:tcPr>
            <w:tcW w:w="11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6</w:t>
            </w:r>
          </w:p>
        </w:tc>
        <w:tc>
          <w:tcPr>
            <w:tcW w:w="120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34"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质量指标</w:t>
            </w:r>
          </w:p>
        </w:tc>
        <w:tc>
          <w:tcPr>
            <w:tcW w:w="198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组织开展2023年度农业系列职称评审</w:t>
            </w:r>
          </w:p>
        </w:tc>
        <w:tc>
          <w:tcPr>
            <w:tcW w:w="116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按要求完成</w:t>
            </w:r>
            <w:r>
              <w:rPr>
                <w:rFonts w:hint="default" w:ascii="Times New Roman" w:hAnsi="Times New Roman" w:eastAsia="仿宋_GB2312" w:cs="Times New Roman"/>
                <w:color w:val="000000"/>
                <w:sz w:val="16"/>
                <w:szCs w:val="16"/>
                <w:lang w:val="en-US" w:eastAsia="zh-CN"/>
              </w:rPr>
              <w:t>　</w:t>
            </w:r>
          </w:p>
        </w:tc>
        <w:tc>
          <w:tcPr>
            <w:tcW w:w="167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r>
              <w:rPr>
                <w:rFonts w:hint="eastAsia" w:ascii="Times New Roman" w:hAnsi="Times New Roman" w:eastAsia="仿宋_GB2312" w:cs="Times New Roman"/>
                <w:color w:val="000000"/>
                <w:sz w:val="16"/>
                <w:szCs w:val="16"/>
                <w:lang w:val="en" w:eastAsia="zh-CN"/>
              </w:rPr>
              <w:t>全省农业系列职称参评人员达到</w:t>
            </w:r>
            <w:r>
              <w:rPr>
                <w:rFonts w:hint="eastAsia" w:ascii="Times New Roman" w:hAnsi="Times New Roman" w:eastAsia="仿宋_GB2312" w:cs="Times New Roman"/>
                <w:color w:val="000000"/>
                <w:sz w:val="16"/>
                <w:szCs w:val="16"/>
                <w:lang w:val="en-US" w:eastAsia="zh-CN"/>
              </w:rPr>
              <w:t>1155人，再创历史新高</w:t>
            </w:r>
          </w:p>
        </w:tc>
        <w:tc>
          <w:tcPr>
            <w:tcW w:w="5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8</w:t>
            </w:r>
          </w:p>
        </w:tc>
        <w:tc>
          <w:tcPr>
            <w:tcW w:w="11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8</w:t>
            </w:r>
          </w:p>
        </w:tc>
        <w:tc>
          <w:tcPr>
            <w:tcW w:w="120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p>
        </w:tc>
        <w:tc>
          <w:tcPr>
            <w:tcW w:w="198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高质量做好了农业农村系统国有单位人事劳动统计工作</w:t>
            </w:r>
          </w:p>
        </w:tc>
        <w:tc>
          <w:tcPr>
            <w:tcW w:w="116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按要求完成</w:t>
            </w:r>
            <w:r>
              <w:rPr>
                <w:rFonts w:hint="default" w:ascii="Times New Roman" w:hAnsi="Times New Roman" w:eastAsia="仿宋_GB2312" w:cs="Times New Roman"/>
                <w:color w:val="000000"/>
                <w:sz w:val="16"/>
                <w:szCs w:val="16"/>
                <w:lang w:val="en-US" w:eastAsia="zh-CN"/>
              </w:rPr>
              <w:t>　</w:t>
            </w:r>
          </w:p>
        </w:tc>
        <w:tc>
          <w:tcPr>
            <w:tcW w:w="167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16"/>
                <w:szCs w:val="16"/>
                <w:lang w:val="en-US" w:eastAsia="zh-CN"/>
              </w:rPr>
            </w:pPr>
            <w:r>
              <w:rPr>
                <w:rFonts w:hint="default" w:ascii="Times New Roman" w:hAnsi="Times New Roman" w:eastAsia="仿宋_GB2312" w:cs="Times New Roman"/>
                <w:color w:val="000000"/>
                <w:sz w:val="16"/>
                <w:szCs w:val="16"/>
              </w:rPr>
              <w:t>　</w:t>
            </w:r>
            <w:r>
              <w:rPr>
                <w:rFonts w:hint="eastAsia" w:ascii="Times New Roman" w:hAnsi="Times New Roman" w:eastAsia="仿宋_GB2312" w:cs="Times New Roman"/>
                <w:color w:val="000000"/>
                <w:sz w:val="16"/>
                <w:szCs w:val="16"/>
                <w:lang w:val="en-US" w:eastAsia="zh-CN"/>
              </w:rPr>
              <w:t>完成</w:t>
            </w:r>
          </w:p>
        </w:tc>
        <w:tc>
          <w:tcPr>
            <w:tcW w:w="5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7</w:t>
            </w:r>
          </w:p>
        </w:tc>
        <w:tc>
          <w:tcPr>
            <w:tcW w:w="11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7</w:t>
            </w:r>
          </w:p>
        </w:tc>
        <w:tc>
          <w:tcPr>
            <w:tcW w:w="120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34"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时效指标</w:t>
            </w:r>
          </w:p>
        </w:tc>
        <w:tc>
          <w:tcPr>
            <w:tcW w:w="198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按时完成职称评审工作</w:t>
            </w:r>
          </w:p>
        </w:tc>
        <w:tc>
          <w:tcPr>
            <w:tcW w:w="1165"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按规定时间</w:t>
            </w:r>
          </w:p>
        </w:tc>
        <w:tc>
          <w:tcPr>
            <w:tcW w:w="167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16"/>
                <w:szCs w:val="16"/>
                <w:lang w:val="en-US" w:eastAsia="zh-CN"/>
              </w:rPr>
            </w:pPr>
            <w:r>
              <w:rPr>
                <w:rFonts w:hint="default" w:ascii="Times New Roman" w:hAnsi="Times New Roman" w:eastAsia="仿宋_GB2312" w:cs="Times New Roman"/>
                <w:color w:val="000000"/>
                <w:sz w:val="16"/>
                <w:szCs w:val="16"/>
              </w:rPr>
              <w:t>　</w:t>
            </w:r>
            <w:r>
              <w:rPr>
                <w:rFonts w:hint="eastAsia" w:ascii="Times New Roman" w:hAnsi="Times New Roman" w:eastAsia="仿宋_GB2312" w:cs="Times New Roman"/>
                <w:color w:val="000000"/>
                <w:sz w:val="16"/>
                <w:szCs w:val="16"/>
                <w:lang w:val="en-US" w:eastAsia="zh-CN"/>
              </w:rPr>
              <w:t>完成</w:t>
            </w:r>
          </w:p>
        </w:tc>
        <w:tc>
          <w:tcPr>
            <w:tcW w:w="5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5</w:t>
            </w:r>
          </w:p>
        </w:tc>
        <w:tc>
          <w:tcPr>
            <w:tcW w:w="11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5</w:t>
            </w:r>
          </w:p>
        </w:tc>
        <w:tc>
          <w:tcPr>
            <w:tcW w:w="120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34" w:type="dxa"/>
            <w:vMerge w:val="continue"/>
            <w:tcBorders>
              <w:left w:val="nil"/>
              <w:right w:val="single" w:color="auto" w:sz="4" w:space="0"/>
            </w:tcBorders>
            <w:noWrap w:val="0"/>
            <w:vAlign w:val="center"/>
          </w:tcPr>
          <w:p>
            <w:pPr>
              <w:spacing w:line="240" w:lineRule="exact"/>
              <w:jc w:val="center"/>
              <w:rPr>
                <w:rFonts w:hint="default" w:ascii="Times New Roman" w:hAnsi="Times New Roman" w:eastAsia="仿宋_GB2312" w:cs="Times New Roman"/>
                <w:color w:val="000000"/>
                <w:sz w:val="16"/>
                <w:szCs w:val="16"/>
              </w:rPr>
            </w:pPr>
          </w:p>
        </w:tc>
        <w:tc>
          <w:tcPr>
            <w:tcW w:w="198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lang w:val="en-US" w:eastAsia="zh-CN"/>
              </w:rPr>
              <w:t>制定</w:t>
            </w:r>
            <w:r>
              <w:rPr>
                <w:rFonts w:hint="default" w:ascii="Times New Roman" w:hAnsi="Times New Roman" w:eastAsia="仿宋_GB2312" w:cs="Times New Roman"/>
                <w:color w:val="000000"/>
                <w:sz w:val="16"/>
                <w:szCs w:val="16"/>
                <w:lang w:eastAsia="zh-CN"/>
              </w:rPr>
              <w:t>出台《</w:t>
            </w:r>
            <w:r>
              <w:rPr>
                <w:rFonts w:hint="default" w:ascii="Times New Roman" w:hAnsi="Times New Roman" w:eastAsia="仿宋_GB2312" w:cs="Times New Roman"/>
                <w:color w:val="000000"/>
                <w:sz w:val="16"/>
                <w:szCs w:val="16"/>
              </w:rPr>
              <w:t>湖南省农业农村厅关于进一步对乡村产业振兴带头人“头雁”培育对象予以扶持的指导意见</w:t>
            </w:r>
            <w:r>
              <w:rPr>
                <w:rFonts w:hint="default" w:ascii="Times New Roman" w:hAnsi="Times New Roman" w:eastAsia="仿宋_GB2312" w:cs="Times New Roman"/>
                <w:color w:val="000000"/>
                <w:sz w:val="16"/>
                <w:szCs w:val="16"/>
                <w:lang w:eastAsia="zh-CN"/>
              </w:rPr>
              <w:t>》</w:t>
            </w:r>
          </w:p>
        </w:tc>
        <w:tc>
          <w:tcPr>
            <w:tcW w:w="1165"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 xml:space="preserve">2023年6月完成 </w:t>
            </w:r>
          </w:p>
        </w:tc>
        <w:tc>
          <w:tcPr>
            <w:tcW w:w="167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r>
              <w:rPr>
                <w:rFonts w:hint="eastAsia" w:ascii="Times New Roman" w:hAnsi="Times New Roman" w:eastAsia="仿宋_GB2312" w:cs="Times New Roman"/>
                <w:color w:val="000000"/>
                <w:sz w:val="16"/>
                <w:szCs w:val="16"/>
                <w:lang w:val="en-US" w:eastAsia="zh-CN"/>
              </w:rPr>
              <w:t>2023年6月完成</w:t>
            </w:r>
          </w:p>
        </w:tc>
        <w:tc>
          <w:tcPr>
            <w:tcW w:w="5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5</w:t>
            </w:r>
          </w:p>
        </w:tc>
        <w:tc>
          <w:tcPr>
            <w:tcW w:w="11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5</w:t>
            </w:r>
          </w:p>
        </w:tc>
        <w:tc>
          <w:tcPr>
            <w:tcW w:w="120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80" w:type="dxa"/>
            <w:vMerge w:val="continue"/>
            <w:tcBorders>
              <w:left w:val="nil"/>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成本指标</w:t>
            </w:r>
          </w:p>
        </w:tc>
        <w:tc>
          <w:tcPr>
            <w:tcW w:w="198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各项支出控制在预算范围内</w:t>
            </w:r>
          </w:p>
        </w:tc>
        <w:tc>
          <w:tcPr>
            <w:tcW w:w="1165"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lang w:val="en-US" w:eastAsia="zh-CN"/>
              </w:rPr>
            </w:pPr>
            <w:r>
              <w:rPr>
                <w:rFonts w:hint="default" w:ascii="Times New Roman" w:hAnsi="Times New Roman" w:eastAsia="仿宋_GB2312" w:cs="Times New Roman"/>
                <w:color w:val="000000"/>
                <w:sz w:val="16"/>
                <w:szCs w:val="16"/>
              </w:rPr>
              <w:t>　</w:t>
            </w:r>
            <w:r>
              <w:rPr>
                <w:rFonts w:hint="eastAsia" w:ascii="Times New Roman" w:hAnsi="Times New Roman" w:eastAsia="仿宋_GB2312" w:cs="Times New Roman"/>
                <w:color w:val="000000"/>
                <w:sz w:val="16"/>
                <w:szCs w:val="16"/>
                <w:lang w:val="en-US" w:eastAsia="zh-CN"/>
              </w:rPr>
              <w:t>预算范围内</w:t>
            </w:r>
          </w:p>
        </w:tc>
        <w:tc>
          <w:tcPr>
            <w:tcW w:w="167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16"/>
                <w:szCs w:val="16"/>
                <w:lang w:val="en-US" w:eastAsia="zh-CN"/>
              </w:rPr>
            </w:pPr>
            <w:r>
              <w:rPr>
                <w:rFonts w:hint="default" w:ascii="Times New Roman" w:hAnsi="Times New Roman" w:eastAsia="仿宋_GB2312" w:cs="Times New Roman"/>
                <w:color w:val="000000"/>
                <w:sz w:val="16"/>
                <w:szCs w:val="16"/>
              </w:rPr>
              <w:t>　</w:t>
            </w:r>
            <w:r>
              <w:rPr>
                <w:rFonts w:hint="eastAsia" w:ascii="Times New Roman" w:hAnsi="Times New Roman" w:eastAsia="仿宋_GB2312" w:cs="Times New Roman"/>
                <w:color w:val="000000"/>
                <w:sz w:val="16"/>
                <w:szCs w:val="16"/>
                <w:lang w:val="en-US" w:eastAsia="zh-CN"/>
              </w:rPr>
              <w:t>完成</w:t>
            </w:r>
          </w:p>
        </w:tc>
        <w:tc>
          <w:tcPr>
            <w:tcW w:w="5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5</w:t>
            </w:r>
          </w:p>
        </w:tc>
        <w:tc>
          <w:tcPr>
            <w:tcW w:w="11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5</w:t>
            </w:r>
          </w:p>
        </w:tc>
        <w:tc>
          <w:tcPr>
            <w:tcW w:w="120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80"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效益指标</w:t>
            </w:r>
          </w:p>
          <w:p>
            <w:pPr>
              <w:widowControl/>
              <w:spacing w:line="240" w:lineRule="exact"/>
              <w:jc w:val="left"/>
              <w:rPr>
                <w:rFonts w:hint="default" w:ascii="Times New Roman" w:hAnsi="Times New Roman" w:eastAsia="仿宋_GB2312" w:cs="Times New Roman"/>
                <w:color w:val="000000"/>
                <w:sz w:val="16"/>
                <w:szCs w:val="16"/>
              </w:rPr>
            </w:pPr>
          </w:p>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（30分）</w:t>
            </w:r>
          </w:p>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p>
        </w:tc>
        <w:tc>
          <w:tcPr>
            <w:tcW w:w="1034"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社会效</w:t>
            </w:r>
          </w:p>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益指标</w:t>
            </w:r>
          </w:p>
        </w:tc>
        <w:tc>
          <w:tcPr>
            <w:tcW w:w="198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 w:eastAsia="zh-CN"/>
              </w:rPr>
              <w:t>组织“全国十佳农民”推荐工作、“省双十佳”评选</w:t>
            </w:r>
          </w:p>
        </w:tc>
        <w:tc>
          <w:tcPr>
            <w:tcW w:w="1165"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20人获得“省双十佳”荣誉</w:t>
            </w:r>
          </w:p>
        </w:tc>
        <w:tc>
          <w:tcPr>
            <w:tcW w:w="167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r>
              <w:rPr>
                <w:rFonts w:hint="eastAsia" w:ascii="Times New Roman" w:hAnsi="Times New Roman" w:eastAsia="仿宋_GB2312" w:cs="Times New Roman"/>
                <w:color w:val="000000"/>
                <w:sz w:val="16"/>
                <w:szCs w:val="16"/>
                <w:lang w:val="en-US" w:eastAsia="zh-CN"/>
              </w:rPr>
              <w:t>完成</w:t>
            </w:r>
          </w:p>
        </w:tc>
        <w:tc>
          <w:tcPr>
            <w:tcW w:w="5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10</w:t>
            </w:r>
          </w:p>
        </w:tc>
        <w:tc>
          <w:tcPr>
            <w:tcW w:w="11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10</w:t>
            </w:r>
          </w:p>
        </w:tc>
        <w:tc>
          <w:tcPr>
            <w:tcW w:w="120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80" w:type="dxa"/>
            <w:vMerge w:val="continue"/>
            <w:tcBorders>
              <w:top w:val="single" w:color="auto" w:sz="4" w:space="0"/>
              <w:left w:val="nil"/>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34" w:type="dxa"/>
            <w:vMerge w:val="continue"/>
            <w:tcBorders>
              <w:top w:val="single" w:color="auto" w:sz="4" w:space="0"/>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color w:val="000000"/>
                <w:sz w:val="16"/>
                <w:szCs w:val="16"/>
              </w:rPr>
            </w:pPr>
          </w:p>
        </w:tc>
        <w:tc>
          <w:tcPr>
            <w:tcW w:w="198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组织好农业职业技能竞赛工作</w:t>
            </w:r>
          </w:p>
        </w:tc>
        <w:tc>
          <w:tcPr>
            <w:tcW w:w="116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按要求完成</w:t>
            </w:r>
          </w:p>
        </w:tc>
        <w:tc>
          <w:tcPr>
            <w:tcW w:w="167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r>
              <w:rPr>
                <w:rFonts w:hint="eastAsia" w:ascii="Times New Roman" w:hAnsi="Times New Roman" w:eastAsia="仿宋_GB2312" w:cs="Times New Roman"/>
                <w:color w:val="000000"/>
                <w:sz w:val="16"/>
                <w:szCs w:val="16"/>
                <w:lang w:val="en-US" w:eastAsia="zh-CN"/>
              </w:rPr>
              <w:t>选派的多名</w:t>
            </w:r>
            <w:r>
              <w:rPr>
                <w:rFonts w:hint="eastAsia" w:ascii="Times New Roman" w:hAnsi="Times New Roman" w:eastAsia="仿宋_GB2312" w:cs="Times New Roman"/>
                <w:color w:val="000000"/>
                <w:sz w:val="16"/>
                <w:szCs w:val="16"/>
                <w:lang w:val="en" w:eastAsia="zh-CN"/>
              </w:rPr>
              <w:t>选手在国赛中获得了好成绩</w:t>
            </w:r>
          </w:p>
        </w:tc>
        <w:tc>
          <w:tcPr>
            <w:tcW w:w="5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10</w:t>
            </w:r>
          </w:p>
        </w:tc>
        <w:tc>
          <w:tcPr>
            <w:tcW w:w="11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10</w:t>
            </w:r>
          </w:p>
        </w:tc>
        <w:tc>
          <w:tcPr>
            <w:tcW w:w="120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p>
        </w:tc>
      </w:tr>
      <w:tr>
        <w:tblPrEx>
          <w:tblLayout w:type="fixed"/>
          <w:tblCellMar>
            <w:top w:w="0" w:type="dxa"/>
            <w:left w:w="108" w:type="dxa"/>
            <w:bottom w:w="0" w:type="dxa"/>
            <w:right w:w="108" w:type="dxa"/>
          </w:tblCellMar>
        </w:tblPrEx>
        <w:trPr>
          <w:trHeight w:val="290" w:hRule="atLeast"/>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p>
        </w:tc>
        <w:tc>
          <w:tcPr>
            <w:tcW w:w="1080"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可持续影响指标</w:t>
            </w:r>
          </w:p>
        </w:tc>
        <w:tc>
          <w:tcPr>
            <w:tcW w:w="198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做好享受国务院政府特殊津贴专家推荐工作</w:t>
            </w:r>
          </w:p>
        </w:tc>
        <w:tc>
          <w:tcPr>
            <w:tcW w:w="116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做好享受国务院政府特殊津贴专家推荐工作</w:t>
            </w:r>
            <w:r>
              <w:rPr>
                <w:rFonts w:hint="default" w:ascii="Times New Roman" w:hAnsi="Times New Roman" w:eastAsia="仿宋_GB2312" w:cs="Times New Roman"/>
                <w:color w:val="000000"/>
                <w:sz w:val="16"/>
                <w:szCs w:val="16"/>
                <w:lang w:val="en" w:eastAsia="zh-CN"/>
              </w:rPr>
              <w:t>　</w:t>
            </w:r>
          </w:p>
        </w:tc>
        <w:tc>
          <w:tcPr>
            <w:tcW w:w="16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经专家综合评议</w:t>
            </w:r>
            <w:r>
              <w:rPr>
                <w:rFonts w:hint="default" w:ascii="Times New Roman" w:hAnsi="Times New Roman" w:eastAsia="仿宋_GB2312" w:cs="Times New Roman"/>
                <w:color w:val="000000"/>
                <w:sz w:val="16"/>
                <w:szCs w:val="16"/>
                <w:lang w:eastAsia="zh-CN"/>
              </w:rPr>
              <w:t>并经厅党组会议审定</w:t>
            </w:r>
            <w:r>
              <w:rPr>
                <w:rFonts w:hint="default" w:ascii="Times New Roman" w:hAnsi="Times New Roman" w:eastAsia="仿宋_GB2312" w:cs="Times New Roman"/>
                <w:color w:val="000000"/>
                <w:sz w:val="16"/>
                <w:szCs w:val="16"/>
              </w:rPr>
              <w:t>，</w:t>
            </w:r>
            <w:r>
              <w:rPr>
                <w:rFonts w:hint="default" w:ascii="Times New Roman" w:hAnsi="Times New Roman" w:eastAsia="仿宋_GB2312" w:cs="Times New Roman"/>
                <w:color w:val="000000"/>
                <w:sz w:val="16"/>
                <w:szCs w:val="16"/>
                <w:lang w:val="en" w:eastAsia="zh-CN"/>
              </w:rPr>
              <w:t>推荐</w:t>
            </w:r>
            <w:r>
              <w:rPr>
                <w:rFonts w:hint="default" w:ascii="Times New Roman" w:hAnsi="Times New Roman" w:eastAsia="仿宋_GB2312" w:cs="Times New Roman"/>
                <w:color w:val="000000"/>
                <w:sz w:val="16"/>
                <w:szCs w:val="16"/>
                <w:lang w:val="en-US" w:eastAsia="zh-CN"/>
              </w:rPr>
              <w:t>1名同志</w:t>
            </w:r>
            <w:r>
              <w:rPr>
                <w:rFonts w:hint="default" w:ascii="Times New Roman" w:hAnsi="Times New Roman" w:eastAsia="仿宋_GB2312" w:cs="Times New Roman"/>
                <w:color w:val="000000"/>
                <w:sz w:val="16"/>
                <w:szCs w:val="16"/>
                <w:lang w:val="en" w:eastAsia="zh-CN"/>
              </w:rPr>
              <w:t>参加全国评审</w:t>
            </w:r>
          </w:p>
        </w:tc>
        <w:tc>
          <w:tcPr>
            <w:tcW w:w="5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r>
              <w:rPr>
                <w:rFonts w:hint="eastAsia" w:ascii="Times New Roman" w:hAnsi="Times New Roman" w:eastAsia="仿宋_GB2312" w:cs="Times New Roman"/>
                <w:color w:val="000000"/>
                <w:sz w:val="16"/>
                <w:szCs w:val="16"/>
                <w:lang w:val="en-US" w:eastAsia="zh-CN"/>
              </w:rPr>
              <w:t>10</w:t>
            </w:r>
          </w:p>
        </w:tc>
        <w:tc>
          <w:tcPr>
            <w:tcW w:w="11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10</w:t>
            </w:r>
          </w:p>
        </w:tc>
        <w:tc>
          <w:tcPr>
            <w:tcW w:w="120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p>
        </w:tc>
      </w:tr>
      <w:tr>
        <w:tblPrEx>
          <w:tblLayout w:type="fixed"/>
          <w:tblCellMar>
            <w:top w:w="0" w:type="dxa"/>
            <w:left w:w="108" w:type="dxa"/>
            <w:bottom w:w="0" w:type="dxa"/>
            <w:right w:w="108" w:type="dxa"/>
          </w:tblCellMar>
        </w:tblPrEx>
        <w:trPr>
          <w:trHeight w:val="33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80" w:type="dxa"/>
            <w:tcBorders>
              <w:top w:val="single" w:color="auto" w:sz="4" w:space="0"/>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满意度</w:t>
            </w:r>
          </w:p>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指标</w:t>
            </w:r>
          </w:p>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（10分）</w:t>
            </w:r>
          </w:p>
        </w:tc>
        <w:tc>
          <w:tcPr>
            <w:tcW w:w="1034" w:type="dxa"/>
            <w:tcBorders>
              <w:top w:val="single" w:color="auto" w:sz="4" w:space="0"/>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服务对象满意度指标</w:t>
            </w:r>
          </w:p>
        </w:tc>
        <w:tc>
          <w:tcPr>
            <w:tcW w:w="198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服务对象满意度</w:t>
            </w:r>
          </w:p>
        </w:tc>
        <w:tc>
          <w:tcPr>
            <w:tcW w:w="1165"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lang w:val="en-US"/>
              </w:rPr>
            </w:pPr>
            <w:r>
              <w:rPr>
                <w:rFonts w:hint="default" w:ascii="Times New Roman" w:hAnsi="Times New Roman" w:eastAsia="仿宋_GB2312" w:cs="Times New Roman"/>
                <w:color w:val="000000"/>
                <w:sz w:val="16"/>
                <w:szCs w:val="16"/>
              </w:rPr>
              <w:t>　</w:t>
            </w:r>
            <w:r>
              <w:rPr>
                <w:rFonts w:hint="eastAsia" w:ascii="Times New Roman" w:hAnsi="Times New Roman" w:eastAsia="仿宋_GB2312" w:cs="Times New Roman"/>
                <w:color w:val="000000"/>
                <w:sz w:val="16"/>
                <w:szCs w:val="16"/>
              </w:rPr>
              <w:t>≧</w:t>
            </w:r>
            <w:r>
              <w:rPr>
                <w:rFonts w:hint="eastAsia" w:ascii="Times New Roman" w:hAnsi="Times New Roman" w:eastAsia="仿宋_GB2312" w:cs="Times New Roman"/>
                <w:color w:val="000000"/>
                <w:sz w:val="16"/>
                <w:szCs w:val="16"/>
                <w:lang w:val="en-US" w:eastAsia="zh-CN"/>
              </w:rPr>
              <w:t>90%</w:t>
            </w:r>
          </w:p>
        </w:tc>
        <w:tc>
          <w:tcPr>
            <w:tcW w:w="167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r>
              <w:rPr>
                <w:rFonts w:hint="eastAsia" w:ascii="Times New Roman" w:hAnsi="Times New Roman" w:eastAsia="仿宋_GB2312" w:cs="Times New Roman"/>
                <w:color w:val="000000"/>
                <w:sz w:val="16"/>
                <w:szCs w:val="16"/>
              </w:rPr>
              <w:t>≧</w:t>
            </w:r>
            <w:r>
              <w:rPr>
                <w:rFonts w:hint="eastAsia" w:ascii="Times New Roman" w:hAnsi="Times New Roman" w:eastAsia="仿宋_GB2312" w:cs="Times New Roman"/>
                <w:color w:val="000000"/>
                <w:sz w:val="16"/>
                <w:szCs w:val="16"/>
                <w:lang w:val="en-US" w:eastAsia="zh-CN"/>
              </w:rPr>
              <w:t>90%</w:t>
            </w:r>
          </w:p>
        </w:tc>
        <w:tc>
          <w:tcPr>
            <w:tcW w:w="53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lang w:val="en-US" w:eastAsia="zh-CN"/>
              </w:rPr>
            </w:pPr>
            <w:r>
              <w:rPr>
                <w:rFonts w:hint="default" w:ascii="Times New Roman" w:hAnsi="Times New Roman" w:eastAsia="仿宋_GB2312" w:cs="Times New Roman"/>
                <w:color w:val="000000"/>
                <w:sz w:val="16"/>
                <w:szCs w:val="16"/>
              </w:rPr>
              <w:t>　</w:t>
            </w:r>
            <w:r>
              <w:rPr>
                <w:rFonts w:hint="eastAsia" w:ascii="Times New Roman" w:hAnsi="Times New Roman" w:eastAsia="仿宋_GB2312" w:cs="Times New Roman"/>
                <w:color w:val="000000"/>
                <w:sz w:val="16"/>
                <w:szCs w:val="16"/>
                <w:lang w:val="en-US" w:eastAsia="zh-CN"/>
              </w:rPr>
              <w:t>10</w:t>
            </w:r>
          </w:p>
        </w:tc>
        <w:tc>
          <w:tcPr>
            <w:tcW w:w="11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10</w:t>
            </w:r>
          </w:p>
        </w:tc>
        <w:tc>
          <w:tcPr>
            <w:tcW w:w="120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p>
        </w:tc>
      </w:tr>
      <w:tr>
        <w:tblPrEx>
          <w:tblLayout w:type="fixed"/>
          <w:tblCellMar>
            <w:top w:w="0" w:type="dxa"/>
            <w:left w:w="108" w:type="dxa"/>
            <w:bottom w:w="0" w:type="dxa"/>
            <w:right w:w="108" w:type="dxa"/>
          </w:tblCellMar>
        </w:tblPrEx>
        <w:trPr>
          <w:trHeight w:val="270" w:hRule="atLeast"/>
          <w:jc w:val="center"/>
        </w:trPr>
        <w:tc>
          <w:tcPr>
            <w:tcW w:w="8013"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总分</w:t>
            </w:r>
          </w:p>
        </w:tc>
        <w:tc>
          <w:tcPr>
            <w:tcW w:w="5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100</w:t>
            </w:r>
          </w:p>
        </w:tc>
        <w:tc>
          <w:tcPr>
            <w:tcW w:w="11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97.90</w:t>
            </w:r>
          </w:p>
        </w:tc>
        <w:tc>
          <w:tcPr>
            <w:tcW w:w="120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bl>
    <w:p>
      <w:pPr>
        <w:widowControl/>
        <w:adjustRightInd/>
        <w:snapToGrid/>
        <w:spacing w:line="240" w:lineRule="auto"/>
        <w:ind w:firstLine="0" w:firstLineChars="0"/>
        <w:jc w:val="left"/>
        <w:rPr>
          <w:sz w:val="72"/>
          <w:szCs w:val="72"/>
        </w:rPr>
      </w:pPr>
      <w:r>
        <w:rPr>
          <w:kern w:val="0"/>
          <w:sz w:val="22"/>
          <w:szCs w:val="22"/>
        </w:rPr>
        <w:t>说明：本表由农业农村厅部门本级和直属单位填写，市、县农业农村局不需填写。</w:t>
      </w:r>
      <w:bookmarkStart w:id="5" w:name="_GoBack"/>
      <w:bookmarkEnd w:id="5"/>
    </w:p>
    <w:p>
      <w:pPr>
        <w:pStyle w:val="14"/>
        <w:jc w:val="center"/>
        <w:rPr>
          <w:sz w:val="72"/>
          <w:szCs w:val="72"/>
        </w:rPr>
      </w:pPr>
    </w:p>
    <w:p>
      <w:pPr>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2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2010601030101010101"/>
    <w:charset w:val="86"/>
    <w:family w:val="auto"/>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4E9F2"/>
    <w:multiLevelType w:val="singleLevel"/>
    <w:tmpl w:val="0ED4E9F2"/>
    <w:lvl w:ilvl="0" w:tentative="0">
      <w:start w:val="7"/>
      <w:numFmt w:val="chineseCounting"/>
      <w:suff w:val="nothing"/>
      <w:lvlText w:val="%1、"/>
      <w:lvlJc w:val="left"/>
      <w:rPr>
        <w:rFonts w:hint="eastAsia"/>
      </w:rPr>
    </w:lvl>
  </w:abstractNum>
  <w:abstractNum w:abstractNumId="1">
    <w:nsid w:val="1D7E4A0A"/>
    <w:multiLevelType w:val="singleLevel"/>
    <w:tmpl w:val="1D7E4A0A"/>
    <w:lvl w:ilvl="0" w:tentative="0">
      <w:start w:val="4"/>
      <w:numFmt w:val="decimal"/>
      <w:suff w:val="nothing"/>
      <w:lvlText w:val="%1、"/>
      <w:lvlJc w:val="left"/>
    </w:lvl>
  </w:abstractNum>
  <w:abstractNum w:abstractNumId="2">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lNzJmNzhlMWNlZTg0ZmI3YWU4MWU1MWMyZWUwMDg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114F10"/>
    <w:rsid w:val="09945E8A"/>
    <w:rsid w:val="185E6452"/>
    <w:rsid w:val="19870A68"/>
    <w:rsid w:val="1D97DEFF"/>
    <w:rsid w:val="1DFF72E5"/>
    <w:rsid w:val="1EFC6F07"/>
    <w:rsid w:val="24E80F30"/>
    <w:rsid w:val="28703027"/>
    <w:rsid w:val="2FDF85B8"/>
    <w:rsid w:val="2FFFEE04"/>
    <w:rsid w:val="3092533D"/>
    <w:rsid w:val="31990EA4"/>
    <w:rsid w:val="32044EDF"/>
    <w:rsid w:val="32C03CC6"/>
    <w:rsid w:val="32E85B21"/>
    <w:rsid w:val="34DF85B0"/>
    <w:rsid w:val="36AC131F"/>
    <w:rsid w:val="37A24019"/>
    <w:rsid w:val="3B8F36BC"/>
    <w:rsid w:val="3E280F23"/>
    <w:rsid w:val="40345458"/>
    <w:rsid w:val="4270156B"/>
    <w:rsid w:val="455E218A"/>
    <w:rsid w:val="474E116B"/>
    <w:rsid w:val="491FF225"/>
    <w:rsid w:val="4CE45240"/>
    <w:rsid w:val="4FFD214C"/>
    <w:rsid w:val="56D96DB5"/>
    <w:rsid w:val="5777D4F5"/>
    <w:rsid w:val="59DD8326"/>
    <w:rsid w:val="5D1D7651"/>
    <w:rsid w:val="5DEF592A"/>
    <w:rsid w:val="5FC6BB1E"/>
    <w:rsid w:val="5FF720F1"/>
    <w:rsid w:val="660B7D92"/>
    <w:rsid w:val="67FF5C0B"/>
    <w:rsid w:val="69F228D8"/>
    <w:rsid w:val="6EFC0924"/>
    <w:rsid w:val="6FB74722"/>
    <w:rsid w:val="6FEF8B7E"/>
    <w:rsid w:val="71A6591B"/>
    <w:rsid w:val="737D59BA"/>
    <w:rsid w:val="77C37683"/>
    <w:rsid w:val="79FF515B"/>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spacing w:line="579" w:lineRule="atLeast"/>
      <w:outlineLvl w:val="1"/>
    </w:pPr>
    <w:rPr>
      <w:rFonts w:eastAsia="黑体"/>
      <w:bCs/>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1"/>
    <w:unhideWhenUsed/>
    <w:qFormat/>
    <w:uiPriority w:val="99"/>
    <w:pPr>
      <w:adjustRightInd/>
      <w:snapToGrid/>
      <w:spacing w:after="120" w:line="240" w:lineRule="auto"/>
      <w:ind w:firstLine="0" w:firstLineChars="0"/>
    </w:pPr>
    <w:rPr>
      <w:rFonts w:ascii="Calibri" w:hAnsi="Calibri" w:eastAsia="宋体"/>
      <w:sz w:val="21"/>
      <w:szCs w:val="24"/>
    </w:rPr>
  </w:style>
  <w:style w:type="paragraph" w:styleId="4">
    <w:name w:val="Body Text Indent"/>
    <w:basedOn w:val="1"/>
    <w:next w:val="5"/>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First Indent 2"/>
    <w:basedOn w:val="4"/>
    <w:next w:val="1"/>
    <w:unhideWhenUsed/>
    <w:qFormat/>
    <w:uiPriority w:val="99"/>
    <w:pPr>
      <w:ind w:firstLine="420" w:firstLineChars="200"/>
    </w:pPr>
  </w:style>
  <w:style w:type="paragraph" w:styleId="6">
    <w:name w:val="Balloon Text"/>
    <w:basedOn w:val="1"/>
    <w:link w:val="16"/>
    <w:semiHidden/>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next w:val="5"/>
    <w:semiHidden/>
    <w:qFormat/>
    <w:uiPriority w:val="0"/>
    <w:pPr>
      <w:snapToGrid w:val="0"/>
      <w:jc w:val="left"/>
    </w:pPr>
    <w:rPr>
      <w:sz w:val="18"/>
      <w:szCs w:val="18"/>
    </w:rPr>
  </w:style>
  <w:style w:type="character" w:customStyle="1" w:styleId="12">
    <w:name w:val="页眉 Char"/>
    <w:basedOn w:val="11"/>
    <w:link w:val="8"/>
    <w:qFormat/>
    <w:uiPriority w:val="99"/>
    <w:rPr>
      <w:sz w:val="18"/>
      <w:szCs w:val="18"/>
    </w:rPr>
  </w:style>
  <w:style w:type="character" w:customStyle="1" w:styleId="13">
    <w:name w:val="页脚 Char"/>
    <w:basedOn w:val="11"/>
    <w:link w:val="7"/>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1"/>
    <w:link w:val="6"/>
    <w:semiHidden/>
    <w:qFormat/>
    <w:uiPriority w:val="99"/>
    <w:rPr>
      <w:sz w:val="18"/>
      <w:szCs w:val="18"/>
    </w:rPr>
  </w:style>
  <w:style w:type="character" w:customStyle="1" w:styleId="17">
    <w:name w:val="font01"/>
    <w:basedOn w:val="11"/>
    <w:qFormat/>
    <w:uiPriority w:val="0"/>
    <w:rPr>
      <w:rFonts w:hint="eastAsia" w:ascii="宋体" w:hAnsi="宋体" w:eastAsia="宋体" w:cs="宋体"/>
      <w:color w:val="000000"/>
      <w:sz w:val="22"/>
      <w:szCs w:val="22"/>
      <w:u w:val="none"/>
    </w:rPr>
  </w:style>
  <w:style w:type="character" w:customStyle="1" w:styleId="18">
    <w:name w:val="font21"/>
    <w:basedOn w:val="11"/>
    <w:qFormat/>
    <w:uiPriority w:val="0"/>
    <w:rPr>
      <w:rFonts w:hint="eastAsia" w:ascii="宋体" w:hAnsi="宋体" w:eastAsia="宋体" w:cs="宋体"/>
      <w:color w:val="000000"/>
      <w:sz w:val="24"/>
      <w:szCs w:val="24"/>
      <w:u w:val="none"/>
    </w:rPr>
  </w:style>
  <w:style w:type="character" w:customStyle="1" w:styleId="19">
    <w:name w:val="font11"/>
    <w:basedOn w:val="11"/>
    <w:qFormat/>
    <w:uiPriority w:val="0"/>
    <w:rPr>
      <w:rFonts w:hint="eastAsia" w:ascii="宋体" w:hAnsi="宋体" w:eastAsia="宋体" w:cs="宋体"/>
      <w:color w:val="000000"/>
      <w:sz w:val="24"/>
      <w:szCs w:val="24"/>
      <w:u w:val="none"/>
    </w:rPr>
  </w:style>
  <w:style w:type="paragraph" w:customStyle="1" w:styleId="20">
    <w:name w:val="标题二级"/>
    <w:basedOn w:val="1"/>
    <w:qFormat/>
    <w:uiPriority w:val="0"/>
    <w:pPr>
      <w:adjustRightInd w:val="0"/>
      <w:snapToGrid w:val="0"/>
      <w:spacing w:line="560" w:lineRule="exact"/>
      <w:ind w:firstLine="643" w:firstLineChars="200"/>
    </w:pPr>
    <w:rPr>
      <w:rFonts w:ascii="楷体" w:hAnsi="楷体" w:eastAsia="楷体" w:cs="楷体"/>
      <w:b/>
      <w:bCs/>
      <w:sz w:val="32"/>
      <w:szCs w:val="32"/>
    </w:rPr>
  </w:style>
  <w:style w:type="paragraph" w:customStyle="1" w:styleId="21">
    <w:name w:val="标题三级2020"/>
    <w:basedOn w:val="1"/>
    <w:qFormat/>
    <w:uiPriority w:val="0"/>
    <w:pPr>
      <w:autoSpaceDE w:val="0"/>
      <w:autoSpaceDN w:val="0"/>
      <w:adjustRightInd w:val="0"/>
      <w:spacing w:line="580" w:lineRule="exact"/>
      <w:ind w:firstLine="640" w:firstLineChars="200"/>
      <w:outlineLvl w:val="0"/>
    </w:pPr>
    <w:rPr>
      <w:rFonts w:hint="eastAsia" w:ascii="Times New Roman" w:hAnsi="Times New Roman" w:eastAsia="仿宋_GB2312"/>
      <w:b/>
      <w:bCs/>
      <w:color w:val="010101"/>
      <w:sz w:val="32"/>
      <w:szCs w:val="32"/>
    </w:rPr>
  </w:style>
  <w:style w:type="paragraph" w:customStyle="1" w:styleId="22">
    <w:name w:val="列表段落"/>
    <w:basedOn w:val="1"/>
    <w:qFormat/>
    <w:uiPriority w:val="34"/>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33</Pages>
  <Words>11268</Words>
  <Characters>13499</Characters>
  <Lines>63</Lines>
  <Paragraphs>18</Paragraphs>
  <TotalTime>16</TotalTime>
  <ScaleCrop>false</ScaleCrop>
  <LinksUpToDate>false</LinksUpToDate>
  <CharactersWithSpaces>13674</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lenovo</cp:lastModifiedBy>
  <cp:lastPrinted>2024-08-08T10:20:00Z</cp:lastPrinted>
  <dcterms:modified xsi:type="dcterms:W3CDTF">2024-09-06T06:56:28Z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FCAF9EC5F89D4FED879160709B05877A_12</vt:lpwstr>
  </property>
</Properties>
</file>