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jc w:val="center"/>
        <w:rPr>
          <w:sz w:val="56"/>
          <w:szCs w:val="56"/>
        </w:rPr>
      </w:pPr>
    </w:p>
    <w:p>
      <w:pPr>
        <w:pStyle w:val="15"/>
        <w:jc w:val="center"/>
        <w:rPr>
          <w:sz w:val="56"/>
          <w:szCs w:val="56"/>
        </w:rPr>
      </w:pPr>
    </w:p>
    <w:p>
      <w:pPr>
        <w:pStyle w:val="15"/>
        <w:jc w:val="center"/>
        <w:rPr>
          <w:sz w:val="84"/>
          <w:szCs w:val="84"/>
        </w:rPr>
      </w:pPr>
    </w:p>
    <w:p>
      <w:pPr>
        <w:pStyle w:val="15"/>
        <w:jc w:val="center"/>
        <w:rPr>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湖南省兽药饲料监察所</w:t>
      </w: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w:t>
      </w:r>
    </w:p>
    <w:p>
      <w:pPr>
        <w:rPr>
          <w:b/>
          <w:sz w:val="36"/>
          <w:szCs w:val="28"/>
        </w:rPr>
      </w:pPr>
      <w:r>
        <w:rPr>
          <w:b/>
          <w:sz w:val="36"/>
          <w:szCs w:val="28"/>
        </w:rPr>
        <w:br w:type="page"/>
      </w:r>
    </w:p>
    <w:p>
      <w:pPr>
        <w:pStyle w:val="15"/>
        <w:spacing w:line="500" w:lineRule="exact"/>
        <w:jc w:val="center"/>
        <w:rPr>
          <w:b/>
          <w:sz w:val="36"/>
          <w:szCs w:val="28"/>
        </w:rPr>
      </w:pPr>
      <w:r>
        <w:rPr>
          <w:rFonts w:hint="eastAsia"/>
          <w:b/>
          <w:sz w:val="36"/>
          <w:szCs w:val="28"/>
        </w:rPr>
        <w:t>目录</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湖南省兽药饲料监察所</w:t>
      </w:r>
      <w:r>
        <w:rPr>
          <w:rFonts w:hint="eastAsia" w:ascii="黑体" w:hAnsi="黑体" w:eastAsia="黑体" w:cs="黑体"/>
          <w:b w:val="0"/>
          <w:bCs/>
          <w:sz w:val="28"/>
          <w:szCs w:val="28"/>
        </w:rPr>
        <w:t>概况</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5"/>
        <w:spacing w:line="500" w:lineRule="exact"/>
        <w:rPr>
          <w:rFonts w:hint="eastAsia" w:hAnsi="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rPr>
          <w:rFonts w:hint="eastAsia" w:hAnsi="黑体" w:cs="黑体"/>
          <w:b w:val="0"/>
          <w:bCs/>
          <w:sz w:val="28"/>
          <w:szCs w:val="28"/>
          <w:lang w:eastAsia="zh-CN"/>
        </w:rPr>
      </w:pPr>
      <w:r>
        <w:rPr>
          <w:rFonts w:hint="eastAsia" w:hAnsi="黑体" w:cs="黑体"/>
          <w:b w:val="0"/>
          <w:bCs/>
          <w:sz w:val="28"/>
          <w:szCs w:val="28"/>
          <w:lang w:eastAsia="zh-CN"/>
        </w:rPr>
        <w:br w:type="page"/>
      </w:r>
    </w:p>
    <w:p>
      <w:pPr>
        <w:jc w:val="center"/>
        <w:rPr>
          <w:sz w:val="72"/>
          <w:szCs w:val="72"/>
        </w:rPr>
      </w:pPr>
    </w:p>
    <w:p>
      <w:pPr>
        <w:jc w:val="center"/>
        <w:rPr>
          <w:sz w:val="72"/>
          <w:szCs w:val="72"/>
        </w:rPr>
      </w:pPr>
    </w:p>
    <w:p>
      <w:pPr>
        <w:jc w:val="center"/>
        <w:rPr>
          <w:sz w:val="72"/>
          <w:szCs w:val="72"/>
        </w:rPr>
      </w:pPr>
    </w:p>
    <w:p>
      <w:pP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第一部分</w:t>
      </w: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湖南省兽药饲料监察所</w:t>
      </w:r>
      <w:r>
        <w:rPr>
          <w:rFonts w:hint="eastAsia" w:ascii="方正小标宋_GBK" w:hAnsi="方正小标宋_GBK" w:eastAsia="方正小标宋_GBK" w:cs="方正小标宋_GBK"/>
          <w:sz w:val="84"/>
          <w:szCs w:val="84"/>
        </w:rPr>
        <w:t>概况</w:t>
      </w:r>
    </w:p>
    <w:p>
      <w:pP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br w:type="page"/>
      </w:r>
    </w:p>
    <w:p>
      <w:pPr>
        <w:pStyle w:val="16"/>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ind w:left="0" w:leftChars="0" w:firstLine="838" w:firstLineChars="262"/>
        <w:jc w:val="left"/>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rPr>
        <w:t>湖南省兽药饲料监察所（湖南省畜禽水产品质量检验检测中心）主要承担农业部门和有关部门指定的畜禽等动物性产品及兽药、饲料产品质量的监督抽查检验、残留物质分析检验、优质产品的评选和复查检验；受农业部门或有关部门的委托，对实施生产许可证和质量认证的畜禽等动物性产品及兽药、饲料产品进行检验，以及对重要新产品、新品种投产和科研成果鉴定检验；承担畜禽等动物性产品及兽药、饲料产品质量考核检验、产品质量分等分级检验；承担畜禽等动物性产品及兽药、饲料产品质量仲裁检验和委托检验；对省内同类产品质量检验机构进行技术指导和人员培训；负责研究新的检验技术和方法，承担或参与国家标准、行业标准的制修订和有关标准试验验证工作</w:t>
      </w:r>
      <w:r>
        <w:rPr>
          <w:rFonts w:hint="eastAsia" w:ascii="Times New Roman" w:hAnsi="Times New Roman" w:eastAsia="仿宋_GB2312" w:cs="仿宋_GB2312"/>
          <w:sz w:val="32"/>
          <w:szCs w:val="32"/>
          <w:lang w:eastAsia="zh-CN"/>
        </w:rPr>
        <w:t>。</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ind w:left="0" w:leftChars="0" w:firstLine="640" w:firstLineChars="200"/>
        <w:jc w:val="left"/>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rPr>
        <w:t>湖南省兽药饲料监察所（湖南省畜禽水产品质量检验检测中心）内设机构包括：检验一室、检验二室、检验三室、业务办公室、综合科（人事科）、财务科</w:t>
      </w:r>
      <w:r>
        <w:rPr>
          <w:rFonts w:hint="eastAsia" w:ascii="Times New Roman" w:hAnsi="Times New Roman" w:eastAsia="仿宋_GB2312" w:cs="仿宋_GB2312"/>
          <w:bCs/>
          <w:kern w:val="0"/>
          <w:sz w:val="32"/>
          <w:szCs w:val="32"/>
          <w:lang w:eastAsia="zh-CN"/>
        </w:rPr>
        <w:t>。</w:t>
      </w:r>
    </w:p>
    <w:p>
      <w:pPr>
        <w:ind w:left="0" w:leftChars="0" w:firstLine="640" w:firstLineChars="200"/>
        <w:jc w:val="left"/>
        <w:rPr>
          <w:rFonts w:hint="eastAsia" w:ascii="仿宋_GB2312" w:eastAsia="仿宋_GB2312" w:hAnsiTheme="minorEastAsia"/>
          <w:sz w:val="28"/>
          <w:szCs w:val="32"/>
          <w:lang w:eastAsia="zh-CN"/>
        </w:rPr>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rPr>
        <w:t>湖南省兽药饲料监察所（湖南省畜禽水产品质量检验检测中心）202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年部门决算单位构成：湖南省兽药饲料监察所（湖南省畜禽水产品质量检验检测中心）本级</w:t>
      </w:r>
      <w:r>
        <w:rPr>
          <w:rFonts w:hint="eastAsia" w:ascii="Times New Roman" w:hAnsi="Times New Roman" w:eastAsia="仿宋_GB2312" w:cs="仿宋_GB2312"/>
          <w:bCs/>
          <w:kern w:val="0"/>
          <w:sz w:val="32"/>
          <w:szCs w:val="32"/>
          <w:lang w:eastAsia="zh-CN"/>
        </w:rPr>
        <w:t>。</w:t>
      </w:r>
    </w:p>
    <w:p>
      <w:pPr>
        <w:rPr>
          <w:rFonts w:ascii="黑体" w:hAnsi="黑体" w:eastAsia="黑体"/>
          <w:sz w:val="28"/>
          <w:szCs w:val="28"/>
        </w:rPr>
      </w:pPr>
      <w:r>
        <w:rPr>
          <w:rFonts w:ascii="黑体" w:hAnsi="黑体" w:eastAsia="黑体"/>
          <w:sz w:val="28"/>
          <w:szCs w:val="28"/>
        </w:rPr>
        <w:br w:type="page"/>
      </w:r>
    </w:p>
    <w:p>
      <w:pPr>
        <w:jc w:val="center"/>
        <w:rPr>
          <w:sz w:val="72"/>
          <w:szCs w:val="72"/>
        </w:rPr>
      </w:pPr>
    </w:p>
    <w:p>
      <w:pPr>
        <w:jc w:val="center"/>
        <w:rPr>
          <w:sz w:val="72"/>
          <w:szCs w:val="72"/>
        </w:rPr>
      </w:pPr>
    </w:p>
    <w:p>
      <w:pPr>
        <w:jc w:val="center"/>
        <w:rPr>
          <w:sz w:val="72"/>
          <w:szCs w:val="72"/>
        </w:rPr>
      </w:pP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5"/>
        <w:jc w:val="center"/>
        <w:rPr>
          <w:rFonts w:hint="eastAsia" w:ascii="方正小标宋_GBK" w:hAnsi="方正小标宋_GBK" w:eastAsia="方正小标宋_GBK" w:cs="方正小标宋_GBK"/>
          <w:sz w:val="84"/>
          <w:szCs w:val="84"/>
        </w:rPr>
      </w:pPr>
    </w:p>
    <w:p>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pPr>
    </w:p>
    <w:p>
      <w:pPr>
        <w:pStyle w:val="9"/>
        <w:rPr>
          <w:rFonts w:asciiTheme="minorEastAsia" w:hAnsiTheme="minorEastAsia"/>
          <w:sz w:val="32"/>
          <w:szCs w:val="32"/>
        </w:rPr>
      </w:pPr>
    </w:p>
    <w:p>
      <w:pPr>
        <w:pStyle w:val="5"/>
        <w:sectPr>
          <w:pgSz w:w="11906" w:h="16838"/>
          <w:pgMar w:top="720" w:right="720" w:bottom="720" w:left="720" w:header="851" w:footer="992" w:gutter="0"/>
          <w:cols w:space="425" w:num="1"/>
          <w:docGrid w:type="lines" w:linePitch="312" w:charSpace="0"/>
        </w:sectPr>
      </w:pPr>
    </w:p>
    <w:p>
      <w:pPr>
        <w:pStyle w:val="9"/>
        <w:jc w:val="center"/>
      </w:pPr>
      <w:bookmarkStart w:id="0" w:name="RANGE!A1:I22"/>
      <w:bookmarkEnd w:id="0"/>
      <w:r>
        <w:drawing>
          <wp:inline distT="0" distB="0" distL="114300" distR="114300">
            <wp:extent cx="9770110" cy="6521450"/>
            <wp:effectExtent l="0" t="0" r="2540" b="1270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4"/>
                    <a:stretch>
                      <a:fillRect/>
                    </a:stretch>
                  </pic:blipFill>
                  <pic:spPr>
                    <a:xfrm>
                      <a:off x="0" y="0"/>
                      <a:ext cx="9770110" cy="6521450"/>
                    </a:xfrm>
                    <a:prstGeom prst="rect">
                      <a:avLst/>
                    </a:prstGeom>
                    <a:noFill/>
                    <a:ln>
                      <a:noFill/>
                    </a:ln>
                  </pic:spPr>
                </pic:pic>
              </a:graphicData>
            </a:graphic>
          </wp:inline>
        </w:drawing>
      </w:r>
    </w:p>
    <w:p>
      <w:r>
        <w:br w:type="page"/>
      </w:r>
    </w:p>
    <w:p>
      <w:pPr>
        <w:rPr>
          <w:rFonts w:ascii="黑体" w:hAnsi="黑体" w:eastAsia="黑体"/>
          <w:szCs w:val="21"/>
        </w:rPr>
      </w:pPr>
      <w:r>
        <w:drawing>
          <wp:inline distT="0" distB="0" distL="114300" distR="114300">
            <wp:extent cx="9620250" cy="63150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9620250" cy="6315075"/>
                    </a:xfrm>
                    <a:prstGeom prst="rect">
                      <a:avLst/>
                    </a:prstGeom>
                    <a:noFill/>
                    <a:ln>
                      <a:noFill/>
                    </a:ln>
                  </pic:spPr>
                </pic:pic>
              </a:graphicData>
            </a:graphic>
          </wp:inline>
        </w:drawing>
      </w:r>
    </w:p>
    <w:p>
      <w:pPr>
        <w:pStyle w:val="9"/>
        <w:jc w:val="center"/>
      </w:pPr>
    </w:p>
    <w:p>
      <w:pPr>
        <w:rPr>
          <w:rFonts w:ascii="黑体" w:hAnsi="黑体" w:eastAsia="黑体"/>
          <w:szCs w:val="21"/>
        </w:rPr>
      </w:pPr>
      <w:r>
        <w:rPr>
          <w:rFonts w:ascii="黑体" w:hAnsi="黑体" w:eastAsia="黑体"/>
          <w:szCs w:val="21"/>
        </w:rPr>
        <w:br w:type="page"/>
      </w:r>
      <w:r>
        <w:drawing>
          <wp:inline distT="0" distB="0" distL="114300" distR="114300">
            <wp:extent cx="9771380" cy="6337300"/>
            <wp:effectExtent l="0" t="0" r="127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9771380" cy="6337300"/>
                    </a:xfrm>
                    <a:prstGeom prst="rect">
                      <a:avLst/>
                    </a:prstGeom>
                    <a:noFill/>
                    <a:ln>
                      <a:noFill/>
                    </a:ln>
                  </pic:spPr>
                </pic:pic>
              </a:graphicData>
            </a:graphic>
          </wp:inline>
        </w:drawing>
      </w:r>
    </w:p>
    <w:p>
      <w:pPr>
        <w:widowControl/>
        <w:jc w:val="both"/>
      </w:pPr>
      <w:r>
        <w:drawing>
          <wp:inline distT="0" distB="0" distL="114300" distR="114300">
            <wp:extent cx="9768840" cy="6450965"/>
            <wp:effectExtent l="0" t="0" r="3810" b="6985"/>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7"/>
                    <a:stretch>
                      <a:fillRect/>
                    </a:stretch>
                  </pic:blipFill>
                  <pic:spPr>
                    <a:xfrm>
                      <a:off x="0" y="0"/>
                      <a:ext cx="9768840" cy="6450965"/>
                    </a:xfrm>
                    <a:prstGeom prst="rect">
                      <a:avLst/>
                    </a:prstGeom>
                    <a:noFill/>
                    <a:ln>
                      <a:noFill/>
                    </a:ln>
                  </pic:spPr>
                </pic:pic>
              </a:graphicData>
            </a:graphic>
          </wp:inline>
        </w:drawing>
      </w:r>
    </w:p>
    <w:p>
      <w:r>
        <w:br w:type="page"/>
      </w:r>
    </w:p>
    <w:p>
      <w:pPr>
        <w:pStyle w:val="9"/>
        <w:jc w:val="center"/>
      </w:pPr>
      <w:r>
        <w:drawing>
          <wp:inline distT="0" distB="0" distL="114300" distR="114300">
            <wp:extent cx="9353550" cy="5553075"/>
            <wp:effectExtent l="0" t="0" r="0" b="952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8"/>
                    <a:stretch>
                      <a:fillRect/>
                    </a:stretch>
                  </pic:blipFill>
                  <pic:spPr>
                    <a:xfrm>
                      <a:off x="0" y="0"/>
                      <a:ext cx="9353550" cy="5553075"/>
                    </a:xfrm>
                    <a:prstGeom prst="rect">
                      <a:avLst/>
                    </a:prstGeom>
                    <a:noFill/>
                    <a:ln>
                      <a:noFill/>
                    </a:ln>
                  </pic:spPr>
                </pic:pic>
              </a:graphicData>
            </a:graphic>
          </wp:inline>
        </w:drawing>
      </w:r>
    </w:p>
    <w:p>
      <w:r>
        <w:br w:type="page"/>
      </w:r>
    </w:p>
    <w:p>
      <w:pPr>
        <w:pStyle w:val="5"/>
        <w:ind w:left="420" w:leftChars="0" w:hanging="420" w:hangingChars="175"/>
      </w:pPr>
      <w:r>
        <w:drawing>
          <wp:inline distT="0" distB="0" distL="114300" distR="114300">
            <wp:extent cx="9772650" cy="6376670"/>
            <wp:effectExtent l="0" t="0" r="0" b="508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9"/>
                    <a:stretch>
                      <a:fillRect/>
                    </a:stretch>
                  </pic:blipFill>
                  <pic:spPr>
                    <a:xfrm>
                      <a:off x="0" y="0"/>
                      <a:ext cx="9772650" cy="6376670"/>
                    </a:xfrm>
                    <a:prstGeom prst="rect">
                      <a:avLst/>
                    </a:prstGeom>
                    <a:noFill/>
                    <a:ln>
                      <a:noFill/>
                    </a:ln>
                  </pic:spPr>
                </pic:pic>
              </a:graphicData>
            </a:graphic>
          </wp:inline>
        </w:drawing>
      </w:r>
    </w:p>
    <w:p>
      <w:r>
        <w:br w:type="page"/>
      </w:r>
    </w:p>
    <w:p>
      <w:pPr>
        <w:jc w:val="center"/>
      </w:pPr>
      <w:r>
        <w:drawing>
          <wp:inline distT="0" distB="0" distL="114300" distR="114300">
            <wp:extent cx="8915400" cy="5838825"/>
            <wp:effectExtent l="0" t="0" r="0" b="9525"/>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0"/>
                    <a:stretch>
                      <a:fillRect/>
                    </a:stretch>
                  </pic:blipFill>
                  <pic:spPr>
                    <a:xfrm>
                      <a:off x="0" y="0"/>
                      <a:ext cx="8915400" cy="5838825"/>
                    </a:xfrm>
                    <a:prstGeom prst="rect">
                      <a:avLst/>
                    </a:prstGeom>
                    <a:noFill/>
                    <a:ln>
                      <a:noFill/>
                    </a:ln>
                  </pic:spPr>
                </pic:pic>
              </a:graphicData>
            </a:graphic>
          </wp:inline>
        </w:drawing>
      </w:r>
    </w:p>
    <w:p>
      <w:r>
        <w:br w:type="page"/>
      </w:r>
    </w:p>
    <w:p>
      <w:pPr>
        <w:pStyle w:val="9"/>
        <w:jc w:val="center"/>
      </w:pPr>
      <w:r>
        <w:drawing>
          <wp:inline distT="0" distB="0" distL="114300" distR="114300">
            <wp:extent cx="8915400" cy="4552950"/>
            <wp:effectExtent l="0" t="0" r="0" b="0"/>
            <wp:docPr id="1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pic:cNvPicPr>
                  </pic:nvPicPr>
                  <pic:blipFill>
                    <a:blip r:embed="rId11"/>
                    <a:stretch>
                      <a:fillRect/>
                    </a:stretch>
                  </pic:blipFill>
                  <pic:spPr>
                    <a:xfrm>
                      <a:off x="0" y="0"/>
                      <a:ext cx="8915400" cy="4552950"/>
                    </a:xfrm>
                    <a:prstGeom prst="rect">
                      <a:avLst/>
                    </a:prstGeom>
                    <a:noFill/>
                    <a:ln>
                      <a:noFill/>
                    </a:ln>
                  </pic:spPr>
                </pic:pic>
              </a:graphicData>
            </a:graphic>
          </wp:inline>
        </w:drawing>
      </w:r>
    </w:p>
    <w:p>
      <w:r>
        <w:br w:type="page"/>
      </w:r>
    </w:p>
    <w:p>
      <w:pPr>
        <w:pStyle w:val="5"/>
        <w:tabs>
          <w:tab w:val="left" w:pos="1470"/>
        </w:tabs>
        <w:ind w:left="420" w:leftChars="0" w:hanging="420" w:hangingChars="175"/>
      </w:pPr>
      <w:r>
        <w:drawing>
          <wp:inline distT="0" distB="0" distL="114300" distR="114300">
            <wp:extent cx="9776460" cy="3114675"/>
            <wp:effectExtent l="0" t="0" r="15240" b="952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2"/>
                    <a:stretch>
                      <a:fillRect/>
                    </a:stretch>
                  </pic:blipFill>
                  <pic:spPr>
                    <a:xfrm>
                      <a:off x="0" y="0"/>
                      <a:ext cx="9776460" cy="3114675"/>
                    </a:xfrm>
                    <a:prstGeom prst="rect">
                      <a:avLst/>
                    </a:prstGeom>
                    <a:noFill/>
                    <a:ln>
                      <a:noFill/>
                    </a:ln>
                  </pic:spPr>
                </pic:pic>
              </a:graphicData>
            </a:graphic>
          </wp:inline>
        </w:drawing>
      </w:r>
    </w:p>
    <w:p>
      <w:pPr>
        <w:widowControl/>
        <w:jc w:val="both"/>
        <w:rPr>
          <w:rFonts w:ascii="黑体" w:hAnsi="黑体" w:eastAsia="黑体"/>
          <w:szCs w:val="21"/>
        </w:rPr>
      </w:pPr>
    </w:p>
    <w:p>
      <w:pPr>
        <w:widowControl/>
        <w:jc w:val="both"/>
        <w:rPr>
          <w:rFonts w:ascii="黑体" w:hAnsi="黑体" w:eastAsia="黑体"/>
          <w:szCs w:val="21"/>
        </w:rPr>
      </w:pPr>
    </w:p>
    <w:p>
      <w:pPr>
        <w:widowControl/>
        <w:jc w:val="both"/>
        <w:rPr>
          <w:rFonts w:ascii="黑体" w:hAnsi="黑体" w:eastAsia="黑体"/>
          <w:szCs w:val="21"/>
        </w:rPr>
      </w:pPr>
    </w:p>
    <w:p>
      <w:pPr>
        <w:widowControl/>
        <w:jc w:val="both"/>
        <w:rPr>
          <w:rFonts w:ascii="黑体" w:hAnsi="黑体" w:eastAsia="黑体"/>
          <w:szCs w:val="21"/>
        </w:rPr>
      </w:pPr>
    </w:p>
    <w:p>
      <w:pPr>
        <w:widowControl/>
        <w:jc w:val="both"/>
        <w:rPr>
          <w:rFonts w:ascii="黑体" w:hAnsi="黑体" w:eastAsia="黑体"/>
          <w:szCs w:val="21"/>
        </w:rPr>
      </w:pPr>
    </w:p>
    <w:p>
      <w:pPr>
        <w:widowControl/>
        <w:jc w:val="both"/>
        <w:rPr>
          <w:rFonts w:ascii="黑体" w:hAnsi="黑体" w:eastAsia="黑体"/>
          <w:szCs w:val="21"/>
        </w:rPr>
      </w:pPr>
    </w:p>
    <w:p>
      <w:pPr>
        <w:widowControl/>
        <w:jc w:val="both"/>
        <w:rPr>
          <w:rFonts w:ascii="黑体" w:hAnsi="黑体" w:eastAsia="黑体"/>
          <w:szCs w:val="21"/>
        </w:rPr>
      </w:pPr>
    </w:p>
    <w:p>
      <w:pPr>
        <w:widowControl/>
        <w:jc w:val="both"/>
        <w:rPr>
          <w:sz w:val="72"/>
          <w:szCs w:val="72"/>
        </w:rPr>
        <w:sectPr>
          <w:pgSz w:w="16838" w:h="11906" w:orient="landscape"/>
          <w:pgMar w:top="720" w:right="720" w:bottom="720" w:left="720" w:header="851" w:footer="992" w:gutter="0"/>
          <w:cols w:space="425" w:num="1"/>
          <w:docGrid w:type="lines" w:linePitch="312" w:charSpace="0"/>
        </w:sectPr>
      </w:pPr>
      <w:r>
        <w:rPr>
          <w:rFonts w:ascii="黑体" w:hAnsi="黑体" w:eastAsia="黑体"/>
          <w:szCs w:val="21"/>
        </w:rPr>
        <w:br w:type="page"/>
      </w:r>
    </w:p>
    <w:p>
      <w:pPr>
        <w:pStyle w:val="15"/>
        <w:rPr>
          <w:sz w:val="72"/>
          <w:szCs w:val="72"/>
        </w:rPr>
      </w:pPr>
    </w:p>
    <w:p>
      <w:pPr>
        <w:pStyle w:val="15"/>
        <w:rPr>
          <w:sz w:val="72"/>
          <w:szCs w:val="72"/>
        </w:rPr>
      </w:pPr>
    </w:p>
    <w:p>
      <w:pPr>
        <w:pStyle w:val="15"/>
        <w:rPr>
          <w:sz w:val="72"/>
          <w:szCs w:val="72"/>
        </w:rPr>
      </w:pPr>
    </w:p>
    <w:p>
      <w:pPr>
        <w:pStyle w:val="15"/>
        <w:rPr>
          <w:sz w:val="72"/>
          <w:szCs w:val="72"/>
        </w:rPr>
      </w:pPr>
    </w:p>
    <w:p>
      <w:pPr>
        <w:pStyle w:val="15"/>
        <w:jc w:val="center"/>
        <w:rPr>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5"/>
        <w:jc w:val="center"/>
        <w:rPr>
          <w:rFonts w:hint="eastAsia" w:ascii="方正小标宋_GBK" w:hAnsi="方正小标宋_GBK" w:eastAsia="方正小标宋_GBK" w:cs="方正小标宋_GBK"/>
          <w:sz w:val="70"/>
          <w:szCs w:val="70"/>
        </w:rPr>
      </w:pPr>
    </w:p>
    <w:p>
      <w:pPr>
        <w:pStyle w:val="15"/>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pPr>
        <w:widowControl/>
        <w:jc w:val="left"/>
        <w:rPr>
          <w:rFonts w:asciiTheme="minorEastAsia" w:hAnsiTheme="minorEastAsia" w:eastAsiaTheme="minorEastAsia"/>
          <w:sz w:val="32"/>
          <w:szCs w:val="32"/>
        </w:rPr>
      </w:pPr>
      <w:r>
        <w:rPr>
          <w:rFonts w:hint="eastAsia" w:ascii="方正小标宋_GBK" w:hAnsi="方正小标宋_GBK" w:eastAsia="方正小标宋_GBK" w:cs="方正小标宋_GBK"/>
          <w:sz w:val="70"/>
          <w:szCs w:val="70"/>
        </w:rPr>
        <w:br w:type="page"/>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年度收、支总计2,048.12万元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与上年相比，减少96.81万元，减少4.51%，主要是</w:t>
      </w:r>
      <w:r>
        <w:rPr>
          <w:rFonts w:hint="eastAsia" w:ascii="Times New Roman" w:hAnsi="Times New Roman" w:eastAsia="仿宋_GB2312"/>
          <w:sz w:val="32"/>
          <w:szCs w:val="32"/>
          <w:highlight w:val="none"/>
        </w:rPr>
        <w:t>因为</w:t>
      </w:r>
      <w:r>
        <w:rPr>
          <w:rFonts w:hint="eastAsia" w:ascii="Times New Roman" w:hAnsi="Times New Roman" w:eastAsia="仿宋_GB2312"/>
          <w:sz w:val="32"/>
          <w:szCs w:val="32"/>
          <w:highlight w:val="none"/>
          <w:lang w:val="en-US" w:eastAsia="zh-CN"/>
        </w:rPr>
        <w:t>当年农业生产发</w:t>
      </w:r>
      <w:r>
        <w:rPr>
          <w:rFonts w:hint="eastAsia" w:ascii="Times New Roman" w:hAnsi="Times New Roman" w:eastAsia="仿宋_GB2312"/>
          <w:sz w:val="32"/>
          <w:szCs w:val="32"/>
          <w:lang w:val="en-US" w:eastAsia="zh-CN"/>
        </w:rPr>
        <w:t>展专项减少</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年度收入合计1,257.32万元，其中：财政拨款收入1,257.06万元，占99.98%；上级补助收入0.00万元，占</w:t>
      </w:r>
      <w:r>
        <w:rPr>
          <w:rFonts w:hint="eastAsia" w:ascii="Times New Roman" w:hAnsi="Times New Roman" w:eastAsia="仿宋_GB2312"/>
          <w:sz w:val="32"/>
          <w:szCs w:val="32"/>
          <w:lang w:eastAsia="zh-CN"/>
        </w:rPr>
        <w:t>本单位</w:t>
      </w:r>
      <w:r>
        <w:rPr>
          <w:rFonts w:hint="eastAsia" w:ascii="Times New Roman" w:hAnsi="Times New Roman" w:eastAsia="仿宋_GB2312"/>
          <w:sz w:val="32"/>
          <w:szCs w:val="32"/>
        </w:rPr>
        <w:t>0%；事业收入0.00万元，占</w:t>
      </w:r>
      <w:r>
        <w:rPr>
          <w:rFonts w:hint="eastAsia" w:ascii="Times New Roman" w:hAnsi="Times New Roman" w:eastAsia="仿宋_GB2312"/>
          <w:sz w:val="32"/>
          <w:szCs w:val="32"/>
          <w:lang w:eastAsia="zh-CN"/>
        </w:rPr>
        <w:t>本单位</w:t>
      </w:r>
      <w:r>
        <w:rPr>
          <w:rFonts w:hint="eastAsia" w:ascii="Times New Roman" w:hAnsi="Times New Roman" w:eastAsia="仿宋_GB2312"/>
          <w:sz w:val="32"/>
          <w:szCs w:val="32"/>
        </w:rPr>
        <w:t>0%；经营收入0.00万元，占</w:t>
      </w:r>
      <w:r>
        <w:rPr>
          <w:rFonts w:hint="eastAsia" w:ascii="Times New Roman" w:hAnsi="Times New Roman" w:eastAsia="仿宋_GB2312"/>
          <w:sz w:val="32"/>
          <w:szCs w:val="32"/>
          <w:lang w:eastAsia="zh-CN"/>
        </w:rPr>
        <w:t>本单位</w:t>
      </w:r>
      <w:r>
        <w:rPr>
          <w:rFonts w:hint="eastAsia" w:ascii="Times New Roman" w:hAnsi="Times New Roman" w:eastAsia="仿宋_GB2312"/>
          <w:sz w:val="32"/>
          <w:szCs w:val="32"/>
        </w:rPr>
        <w:t>0%；附属单位上缴收入0.00万元，占</w:t>
      </w:r>
      <w:r>
        <w:rPr>
          <w:rFonts w:hint="eastAsia" w:ascii="Times New Roman" w:hAnsi="Times New Roman" w:eastAsia="仿宋_GB2312"/>
          <w:sz w:val="32"/>
          <w:szCs w:val="32"/>
          <w:lang w:eastAsia="zh-CN"/>
        </w:rPr>
        <w:t>本单位</w:t>
      </w:r>
      <w:r>
        <w:rPr>
          <w:rFonts w:hint="eastAsia" w:ascii="Times New Roman" w:hAnsi="Times New Roman" w:eastAsia="仿宋_GB2312"/>
          <w:sz w:val="32"/>
          <w:szCs w:val="32"/>
        </w:rPr>
        <w:t>0%；其他收入0.26万元，占0.02%</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年度支出合计1,314.00万元，其中：基本支出703.91万元，占53.57%；项目支出610.08万元，占46.43%；上缴上级支出0.00万元；经营支出0.00万元，占</w:t>
      </w:r>
      <w:r>
        <w:rPr>
          <w:rFonts w:hint="eastAsia" w:ascii="Times New Roman" w:hAnsi="Times New Roman" w:eastAsia="仿宋_GB2312"/>
          <w:sz w:val="32"/>
          <w:szCs w:val="32"/>
          <w:lang w:eastAsia="zh-CN"/>
        </w:rPr>
        <w:t>本单位</w:t>
      </w:r>
      <w:r>
        <w:rPr>
          <w:rFonts w:hint="eastAsia" w:ascii="Times New Roman" w:hAnsi="Times New Roman" w:eastAsia="仿宋_GB2312"/>
          <w:sz w:val="32"/>
          <w:szCs w:val="32"/>
        </w:rPr>
        <w:t>0%；对附属单位补助支出0.00万元，占</w:t>
      </w:r>
      <w:r>
        <w:rPr>
          <w:rFonts w:hint="eastAsia" w:ascii="Times New Roman" w:hAnsi="Times New Roman" w:eastAsia="仿宋_GB2312"/>
          <w:sz w:val="32"/>
          <w:szCs w:val="32"/>
          <w:lang w:eastAsia="zh-CN"/>
        </w:rPr>
        <w:t>本单位</w:t>
      </w:r>
      <w:r>
        <w:rPr>
          <w:rFonts w:hint="eastAsia" w:ascii="Times New Roman" w:hAnsi="Times New Roman" w:eastAsia="仿宋_GB2312"/>
          <w:sz w:val="32"/>
          <w:szCs w:val="32"/>
        </w:rPr>
        <w:t>0%</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5"/>
        <w:keepNext w:val="0"/>
        <w:keepLines w:val="0"/>
        <w:pageBreakBefore w:val="0"/>
        <w:widowControl w:val="0"/>
        <w:kinsoku/>
        <w:wordWrap/>
        <w:overflowPunct/>
        <w:topLinePunct w:val="0"/>
        <w:bidi w:val="0"/>
        <w:snapToGrid/>
        <w:spacing w:line="600" w:lineRule="exact"/>
        <w:ind w:left="0" w:leftChars="0"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年度财政拨款收、支总计2,047.86万元，与上年相比，减少81.34万元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减少3.82%，主要是因为当年</w:t>
      </w:r>
      <w:r>
        <w:rPr>
          <w:rFonts w:hint="eastAsia" w:ascii="Times New Roman" w:hAnsi="Times New Roman" w:eastAsia="仿宋_GB2312"/>
          <w:sz w:val="32"/>
          <w:szCs w:val="32"/>
          <w:highlight w:val="none"/>
          <w:lang w:val="en-US" w:eastAsia="zh-CN"/>
        </w:rPr>
        <w:t>农业生产发</w:t>
      </w:r>
      <w:r>
        <w:rPr>
          <w:rFonts w:hint="eastAsia" w:ascii="Times New Roman" w:hAnsi="Times New Roman" w:eastAsia="仿宋_GB2312"/>
          <w:sz w:val="32"/>
          <w:szCs w:val="32"/>
          <w:lang w:val="en-US" w:eastAsia="zh-CN"/>
        </w:rPr>
        <w:t>展专项减少。</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（一）一般公共预算财政拨款支出决算总体情况</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年度财政拨款支出1,314.00万元，占本年支出合计的</w:t>
      </w:r>
      <w:r>
        <w:rPr>
          <w:rFonts w:hint="eastAsia" w:ascii="Times New Roman" w:hAnsi="Times New Roman" w:eastAsia="仿宋_GB2312"/>
          <w:sz w:val="32"/>
          <w:szCs w:val="32"/>
          <w:lang w:val="en-US" w:eastAsia="zh-CN"/>
        </w:rPr>
        <w:t>100.00</w:t>
      </w:r>
      <w:r>
        <w:rPr>
          <w:rFonts w:hint="eastAsia" w:ascii="Times New Roman" w:hAnsi="Times New Roman" w:eastAsia="仿宋_GB2312"/>
          <w:sz w:val="32"/>
          <w:szCs w:val="32"/>
        </w:rPr>
        <w:t>%，与上年相比，财政拨款支出减少5.34万元，减少0.40%</w:t>
      </w:r>
      <w:r>
        <w:rPr>
          <w:rFonts w:hint="eastAsia" w:ascii="Times New Roman" w:hAnsi="Times New Roman" w:eastAsia="仿宋_GB2312"/>
          <w:sz w:val="32"/>
          <w:szCs w:val="32"/>
          <w:lang w:val="en-US" w:eastAsia="zh-CN"/>
        </w:rPr>
        <w:t>。</w:t>
      </w:r>
    </w:p>
    <w:p>
      <w:pPr>
        <w:pStyle w:val="15"/>
        <w:keepNext w:val="0"/>
        <w:keepLines w:val="0"/>
        <w:pageBreakBefore w:val="0"/>
        <w:widowControl w:val="0"/>
        <w:kinsoku/>
        <w:wordWrap/>
        <w:overflowPunct/>
        <w:topLinePunct w:val="0"/>
        <w:bidi w:val="0"/>
        <w:snapToGrid/>
        <w:spacing w:line="600" w:lineRule="exact"/>
        <w:ind w:firstLine="480" w:firstLineChars="1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（二）一般公共预算财政拨款支出决算结构情况</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1,314.00万元，主要用于以下方面：一般公共服务（类）支出5.08万元，占0.39%；科学技术支出（类）支出25.00万元，占1.90%；社会保障和就业（类）支出39.17万元，占2.98%；农林水（类）支出1,244.74万元，占94.73%</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（三）一般公共预算财政拨款支出决算具体情况</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highlight w:val="none"/>
        </w:rPr>
        <w:t>年初预算数为</w:t>
      </w:r>
      <w:r>
        <w:rPr>
          <w:rFonts w:hint="eastAsia" w:ascii="Times New Roman" w:hAnsi="Times New Roman" w:eastAsia="仿宋_GB2312"/>
          <w:sz w:val="32"/>
          <w:szCs w:val="32"/>
          <w:highlight w:val="none"/>
          <w:lang w:eastAsia="zh-CN"/>
        </w:rPr>
        <w:t>1,061.37</w:t>
      </w:r>
      <w:r>
        <w:rPr>
          <w:rFonts w:hint="eastAsia" w:ascii="Times New Roman" w:hAnsi="Times New Roman" w:eastAsia="仿宋_GB2312"/>
          <w:sz w:val="32"/>
          <w:szCs w:val="32"/>
          <w:highlight w:val="none"/>
        </w:rPr>
        <w:t>万元，支</w:t>
      </w:r>
      <w:r>
        <w:rPr>
          <w:rFonts w:hint="eastAsia" w:ascii="Times New Roman" w:hAnsi="Times New Roman" w:eastAsia="仿宋_GB2312"/>
          <w:sz w:val="32"/>
          <w:szCs w:val="32"/>
        </w:rPr>
        <w:t>出决算数为1,314.00万元，完成年初预算的</w:t>
      </w:r>
      <w:r>
        <w:rPr>
          <w:rFonts w:hint="eastAsia" w:ascii="Times New Roman" w:hAnsi="Times New Roman" w:eastAsia="仿宋_GB2312"/>
          <w:sz w:val="32"/>
          <w:szCs w:val="32"/>
          <w:lang w:val="en-US" w:eastAsia="zh-CN"/>
        </w:rPr>
        <w:t>123.80</w:t>
      </w:r>
      <w:r>
        <w:rPr>
          <w:rFonts w:hint="eastAsia" w:ascii="Times New Roman" w:hAnsi="Times New Roman" w:eastAsia="仿宋_GB2312"/>
          <w:sz w:val="32"/>
          <w:szCs w:val="32"/>
        </w:rPr>
        <w:t>%，其中：</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1、一般公共服务（类）市场监督管理事务（款）其他市场监督管理事务（项）</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0.00</w:t>
      </w:r>
      <w:r>
        <w:rPr>
          <w:rFonts w:hint="eastAsia" w:ascii="Times New Roman" w:hAnsi="Times New Roman" w:eastAsia="仿宋_GB2312"/>
          <w:sz w:val="32"/>
          <w:szCs w:val="32"/>
        </w:rPr>
        <w:t>万元，支出决算为5.08万元，决算数大于年初预算数的主要原因是：年中追加省级市场监督管理专项专项资金</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2、科学技术支出（类）科技重大项目（款）重点研发计划（项）</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年初预算为0.00万元，支出决算为25.00万元，决算数大于年初预算数的主要原因是：年中追加创新型省份建设专项资金</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、社会保障和就业（类）行政事业单位养老（款）机关事业单位基本养老保险缴费支出（项）</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36</w:t>
      </w:r>
      <w:r>
        <w:rPr>
          <w:rFonts w:hint="eastAsia" w:ascii="Times New Roman" w:hAnsi="Times New Roman" w:eastAsia="仿宋_GB2312"/>
          <w:sz w:val="32"/>
          <w:szCs w:val="32"/>
        </w:rPr>
        <w:t>.00万元，支出决算为</w:t>
      </w:r>
      <w:r>
        <w:rPr>
          <w:rFonts w:hint="eastAsia" w:ascii="Times New Roman" w:hAnsi="Times New Roman" w:eastAsia="仿宋_GB2312"/>
          <w:sz w:val="32"/>
          <w:szCs w:val="32"/>
          <w:lang w:val="en-US" w:eastAsia="zh-CN"/>
        </w:rPr>
        <w:t>34.70</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96.39</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，决算数小于年初预算数的主要原因是：年底调整预算转出小部分资金</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社会保障和就业（类）抚恤（款）死亡抚恤（项）</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年初预算为0.00万元，支出决算为</w:t>
      </w:r>
      <w:r>
        <w:rPr>
          <w:rFonts w:hint="eastAsia" w:ascii="Times New Roman" w:hAnsi="Times New Roman" w:eastAsia="仿宋_GB2312"/>
          <w:sz w:val="32"/>
          <w:szCs w:val="32"/>
          <w:lang w:val="en-US" w:eastAsia="zh-CN"/>
        </w:rPr>
        <w:t>4.47</w:t>
      </w:r>
      <w:r>
        <w:rPr>
          <w:rFonts w:hint="eastAsia" w:ascii="Times New Roman" w:hAnsi="Times New Roman" w:eastAsia="仿宋_GB2312"/>
          <w:sz w:val="32"/>
          <w:szCs w:val="32"/>
        </w:rPr>
        <w:t>万元，决算数大于年初预算数的主要原因是：年中追加了抚恤金</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5、农林水支出（类）农业农村（款）行政运行（项）。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年初预算为0.00万元，支出决算为121.22万元，决算数大于年初预算数的主要原因是：年中追加部分人员经费。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6、农林水支出（类）农业农村（款）事业运行（项）。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年初预算为1,025.37万元，支出决算为1,011.72元，完成年初预算的98.67%，决算数小于年初预算数的主要原因是：厉行节约控制公用支出。</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7、农林水支出（类）农业农村（款）农产品质量安全（项）。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年初预算为0.00万元，支出决算为39.56万元，算数大于年初预算数的主要原因是：年中追加农产品质量安全专项资金。</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8、农林水支出（类）农业农村（款）农业生产发展（项）。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年初预算为0.00万元，支出决算为44.17万元，决算数大于年初预算数的主要原因是：有上年度结转农业生产发展项目资金。</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9、农林水支出（类）</w:t>
      </w:r>
      <w:r>
        <w:rPr>
          <w:rFonts w:hint="eastAsia" w:ascii="Times New Roman" w:hAnsi="Times New Roman" w:eastAsia="仿宋_GB2312"/>
          <w:sz w:val="32"/>
          <w:szCs w:val="32"/>
          <w:highlight w:val="none"/>
          <w:lang w:val="en-US" w:eastAsia="zh-CN"/>
        </w:rPr>
        <w:t>林业和草原支出</w:t>
      </w:r>
      <w:r>
        <w:rPr>
          <w:rFonts w:hint="eastAsia" w:ascii="Times New Roman" w:hAnsi="Times New Roman" w:eastAsia="仿宋_GB2312"/>
          <w:sz w:val="32"/>
          <w:szCs w:val="32"/>
          <w:lang w:val="en-US" w:eastAsia="zh-CN"/>
        </w:rPr>
        <w:t>（款）其他林业和草原支出（项）。</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年初预算为0.00万元，支出决算为28.08万元，完成年初预算的4.39%，决算数小于年初预算数的主要原因是：有上年度结转其他林业和草原支出专项资金。</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年度财政拨款基本支出703.91万元，其中：</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b w:val="0"/>
          <w:bCs w:val="0"/>
          <w:sz w:val="32"/>
          <w:szCs w:val="32"/>
          <w:lang w:eastAsia="zh-CN"/>
        </w:rPr>
      </w:pPr>
      <w:r>
        <w:rPr>
          <w:rFonts w:hint="eastAsia" w:ascii="Times New Roman" w:hAnsi="Times New Roman" w:eastAsia="仿宋_GB2312"/>
          <w:b w:val="0"/>
          <w:bCs w:val="0"/>
          <w:sz w:val="32"/>
          <w:szCs w:val="32"/>
        </w:rPr>
        <w:t>人员经费661.85万元，占基本支出的94.02%</w:t>
      </w:r>
      <w:r>
        <w:rPr>
          <w:rFonts w:hint="eastAsia" w:ascii="Times New Roman" w:hAnsi="Times New Roman" w:eastAsia="仿宋_GB2312"/>
          <w:b w:val="0"/>
          <w:bCs w:val="0"/>
          <w:sz w:val="32"/>
          <w:szCs w:val="32"/>
          <w:lang w:eastAsia="zh-CN"/>
        </w:rPr>
        <w:t>，</w:t>
      </w:r>
      <w:r>
        <w:rPr>
          <w:rFonts w:hint="eastAsia" w:ascii="Times New Roman" w:hAnsi="Times New Roman" w:eastAsia="仿宋_GB2312"/>
          <w:b w:val="0"/>
          <w:bCs w:val="0"/>
          <w:sz w:val="32"/>
          <w:szCs w:val="32"/>
        </w:rPr>
        <w:t>主要包括基本工资、津贴补贴、伙食补助费、绩效工资、机关事业单位基本养老保险缴费、住房公积金、其他工资福利支出、奖励金、其他对个人和家庭的补助支出等</w:t>
      </w:r>
      <w:r>
        <w:rPr>
          <w:rFonts w:hint="eastAsia" w:ascii="Times New Roman" w:hAnsi="Times New Roman" w:eastAsia="仿宋_GB2312"/>
          <w:b w:val="0"/>
          <w:bCs w:val="0"/>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b w:val="0"/>
          <w:bCs w:val="0"/>
          <w:sz w:val="32"/>
          <w:szCs w:val="32"/>
          <w:lang w:eastAsia="zh-CN"/>
        </w:rPr>
      </w:pPr>
      <w:r>
        <w:rPr>
          <w:rFonts w:hint="eastAsia" w:ascii="Times New Roman" w:hAnsi="Times New Roman" w:eastAsia="仿宋_GB2312"/>
          <w:b w:val="0"/>
          <w:bCs w:val="0"/>
          <w:sz w:val="32"/>
          <w:szCs w:val="32"/>
        </w:rPr>
        <w:t>公用经费42.06万元，占基本支出的5.98%，主要包括办公费、工会经费、其他交通费用、其他商品和服务支出等</w:t>
      </w:r>
      <w:r>
        <w:rPr>
          <w:rFonts w:hint="eastAsia" w:ascii="Times New Roman" w:hAnsi="Times New Roman" w:eastAsia="仿宋_GB2312"/>
          <w:b w:val="0"/>
          <w:bCs w:val="0"/>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ascii="黑体" w:hAnsi="黑体" w:eastAsia="黑体" w:cs="黑体"/>
          <w:b w:val="0"/>
          <w:bCs/>
          <w:sz w:val="32"/>
          <w:szCs w:val="32"/>
        </w:rPr>
        <w:t>七、财政拨款三公经费支出决算情况说明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5"/>
        <w:keepNext w:val="0"/>
        <w:keepLines w:val="0"/>
        <w:pageBreakBefore w:val="0"/>
        <w:widowControl w:val="0"/>
        <w:kinsoku/>
        <w:wordWrap/>
        <w:overflowPunct/>
        <w:topLinePunct w:val="0"/>
        <w:bidi w:val="0"/>
        <w:snapToGrid/>
        <w:spacing w:line="600" w:lineRule="exact"/>
        <w:ind w:left="0" w:leftChars="0"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5.00</w:t>
      </w:r>
      <w:r>
        <w:rPr>
          <w:rFonts w:hint="eastAsia" w:ascii="Times New Roman" w:hAnsi="Times New Roman" w:eastAsia="仿宋_GB2312"/>
          <w:sz w:val="32"/>
          <w:szCs w:val="32"/>
        </w:rPr>
        <w:t>万元，支出决算为2.05万元，完成预算的</w:t>
      </w:r>
      <w:r>
        <w:rPr>
          <w:rFonts w:hint="eastAsia" w:ascii="Times New Roman" w:hAnsi="Times New Roman" w:eastAsia="仿宋_GB2312"/>
          <w:sz w:val="32"/>
          <w:szCs w:val="32"/>
          <w:lang w:val="en-US" w:eastAsia="zh-CN"/>
        </w:rPr>
        <w:t>41.00</w:t>
      </w:r>
      <w:r>
        <w:rPr>
          <w:rFonts w:hint="eastAsia" w:ascii="Times New Roman" w:hAnsi="Times New Roman" w:eastAsia="仿宋_GB2312"/>
          <w:sz w:val="32"/>
          <w:szCs w:val="32"/>
        </w:rPr>
        <w:t>%，决算数小于预算数的主要原因是厉行节约从严控制经费开支</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与上年相比减少</w:t>
      </w:r>
      <w:r>
        <w:rPr>
          <w:rFonts w:hint="eastAsia" w:ascii="Times New Roman" w:hAnsi="Times New Roman" w:eastAsia="仿宋_GB2312"/>
          <w:sz w:val="32"/>
          <w:szCs w:val="32"/>
          <w:lang w:val="en-US" w:eastAsia="zh-CN"/>
        </w:rPr>
        <w:t>0.03</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1.44</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减少的主要原因是控制经费开支</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其中：</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因公出国（境）费支出预算为0.00万元，支出决算为0.00万元，与上年相比无变化</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公务接待费支出预算为</w:t>
      </w:r>
      <w:r>
        <w:rPr>
          <w:rFonts w:hint="eastAsia" w:ascii="Times New Roman" w:hAnsi="Times New Roman" w:eastAsia="仿宋_GB2312"/>
          <w:sz w:val="32"/>
          <w:szCs w:val="32"/>
          <w:lang w:val="en-US" w:eastAsia="zh-CN"/>
        </w:rPr>
        <w:t>2.00</w:t>
      </w:r>
      <w:r>
        <w:rPr>
          <w:rFonts w:hint="eastAsia" w:ascii="Times New Roman" w:hAnsi="Times New Roman" w:eastAsia="仿宋_GB2312"/>
          <w:sz w:val="32"/>
          <w:szCs w:val="32"/>
        </w:rPr>
        <w:t>万元，支出决算为0.18万元，完成预算的</w:t>
      </w:r>
      <w:r>
        <w:rPr>
          <w:rFonts w:hint="eastAsia" w:ascii="Times New Roman" w:hAnsi="Times New Roman" w:eastAsia="仿宋_GB2312"/>
          <w:sz w:val="32"/>
          <w:szCs w:val="32"/>
          <w:lang w:val="en-US" w:eastAsia="zh-CN"/>
        </w:rPr>
        <w:t>9.00</w:t>
      </w:r>
      <w:r>
        <w:rPr>
          <w:rFonts w:hint="eastAsia" w:ascii="Times New Roman" w:hAnsi="Times New Roman" w:eastAsia="仿宋_GB2312"/>
          <w:sz w:val="32"/>
          <w:szCs w:val="32"/>
        </w:rPr>
        <w:t>%，决算数小于预算数的主要原因是接待任务减少，厉行节约从严控制公务接待经费开支，与上年相比增加</w:t>
      </w:r>
      <w:r>
        <w:rPr>
          <w:rFonts w:hint="eastAsia" w:ascii="Times New Roman" w:hAnsi="Times New Roman" w:eastAsia="仿宋_GB2312"/>
          <w:sz w:val="32"/>
          <w:szCs w:val="32"/>
          <w:lang w:val="en-US" w:eastAsia="zh-CN"/>
        </w:rPr>
        <w:t>0.09</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112.5</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增长的主要原因是</w:t>
      </w:r>
      <w:r>
        <w:rPr>
          <w:rFonts w:hint="eastAsia" w:ascii="Times New Roman" w:hAnsi="Times New Roman" w:eastAsia="仿宋_GB2312"/>
          <w:sz w:val="32"/>
          <w:szCs w:val="32"/>
          <w:lang w:val="en-US" w:eastAsia="zh-CN"/>
        </w:rPr>
        <w:t>上年基数低只有0.08万元</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公务用车购置费支出预算为</w:t>
      </w:r>
      <w:r>
        <w:rPr>
          <w:rFonts w:hint="eastAsia" w:ascii="Times New Roman" w:hAnsi="Times New Roman" w:eastAsia="仿宋_GB2312"/>
          <w:sz w:val="32"/>
          <w:szCs w:val="32"/>
          <w:lang w:val="en-US" w:eastAsia="zh-CN"/>
        </w:rPr>
        <w:t>0.00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0.00</w:t>
      </w:r>
      <w:r>
        <w:rPr>
          <w:rFonts w:hint="eastAsia" w:ascii="Times New Roman" w:hAnsi="Times New Roman" w:eastAsia="仿宋_GB2312"/>
          <w:sz w:val="32"/>
          <w:szCs w:val="32"/>
        </w:rPr>
        <w:t>万元，与上年相比无变化</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公务用车运行维护费支出预算为</w:t>
      </w:r>
      <w:r>
        <w:rPr>
          <w:rFonts w:hint="eastAsia" w:ascii="Times New Roman" w:hAnsi="Times New Roman" w:eastAsia="仿宋_GB2312"/>
          <w:sz w:val="32"/>
          <w:szCs w:val="32"/>
          <w:lang w:val="en-US" w:eastAsia="zh-CN"/>
        </w:rPr>
        <w:t>3.00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1.87</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62.33</w:t>
      </w:r>
      <w:r>
        <w:rPr>
          <w:rFonts w:hint="eastAsia" w:ascii="Times New Roman" w:hAnsi="Times New Roman" w:eastAsia="仿宋_GB2312"/>
          <w:sz w:val="32"/>
          <w:szCs w:val="32"/>
        </w:rPr>
        <w:t>%，决算数小于预算数的主要原因是从严控制公务用车运行维护开支，与上年相比</w:t>
      </w:r>
      <w:r>
        <w:rPr>
          <w:rFonts w:hint="eastAsia" w:ascii="Times New Roman" w:hAnsi="Times New Roman" w:eastAsia="仿宋_GB2312"/>
          <w:sz w:val="32"/>
          <w:szCs w:val="32"/>
          <w:lang w:val="en-US" w:eastAsia="zh-CN"/>
        </w:rPr>
        <w:t>减少0.13</w:t>
      </w:r>
      <w:r>
        <w:rPr>
          <w:rFonts w:hint="eastAsia" w:ascii="Times New Roman" w:hAnsi="Times New Roman" w:eastAsia="仿宋_GB2312"/>
          <w:sz w:val="32"/>
          <w:szCs w:val="32"/>
        </w:rPr>
        <w:t>万元，</w:t>
      </w:r>
      <w:r>
        <w:rPr>
          <w:rFonts w:hint="eastAsia" w:ascii="Times New Roman" w:hAnsi="Times New Roman" w:eastAsia="仿宋_GB2312"/>
          <w:sz w:val="32"/>
          <w:szCs w:val="32"/>
          <w:lang w:val="en-US" w:eastAsia="zh-CN"/>
        </w:rPr>
        <w:t>减少6.50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减少</w:t>
      </w:r>
      <w:r>
        <w:rPr>
          <w:rFonts w:hint="eastAsia" w:ascii="Times New Roman" w:hAnsi="Times New Roman" w:eastAsia="仿宋_GB2312"/>
          <w:sz w:val="32"/>
          <w:szCs w:val="32"/>
        </w:rPr>
        <w:t>的主要原因是</w:t>
      </w:r>
      <w:r>
        <w:rPr>
          <w:rFonts w:hint="eastAsia" w:ascii="Times New Roman" w:hAnsi="Times New Roman" w:eastAsia="仿宋_GB2312"/>
          <w:sz w:val="32"/>
          <w:szCs w:val="32"/>
          <w:lang w:val="en-US" w:eastAsia="zh-CN"/>
        </w:rPr>
        <w:t>公务车辆维修费用压缩</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年度“三公”经费财政拨款支出决算中，公务接待费支出决算</w:t>
      </w:r>
      <w:r>
        <w:rPr>
          <w:rFonts w:hint="eastAsia" w:ascii="Times New Roman" w:hAnsi="Times New Roman" w:eastAsia="仿宋_GB2312"/>
          <w:sz w:val="32"/>
          <w:szCs w:val="32"/>
          <w:lang w:val="en-US" w:eastAsia="zh-CN"/>
        </w:rPr>
        <w:t>0.18</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8.78</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因公出国（境）费支出决算</w:t>
      </w:r>
      <w:r>
        <w:rPr>
          <w:rFonts w:hint="eastAsia" w:ascii="Times New Roman" w:hAnsi="Times New Roman" w:eastAsia="仿宋_GB2312"/>
          <w:sz w:val="32"/>
          <w:szCs w:val="32"/>
          <w:lang w:val="en-US" w:eastAsia="zh-CN"/>
        </w:rPr>
        <w:t>0.00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公务用车购置费及运行维护费支出决算</w:t>
      </w:r>
      <w:r>
        <w:rPr>
          <w:rFonts w:hint="eastAsia" w:ascii="Times New Roman" w:hAnsi="Times New Roman" w:eastAsia="仿宋_GB2312"/>
          <w:sz w:val="32"/>
          <w:szCs w:val="32"/>
          <w:lang w:val="en-US" w:eastAsia="zh-CN"/>
        </w:rPr>
        <w:t>1.87</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91.22</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其中：</w:t>
      </w:r>
    </w:p>
    <w:p>
      <w:pPr>
        <w:pStyle w:val="15"/>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因公出国（境）费支出决算为</w:t>
      </w:r>
      <w:r>
        <w:rPr>
          <w:rFonts w:hint="eastAsia" w:ascii="Times New Roman" w:hAnsi="Times New Roman" w:eastAsia="仿宋_GB2312"/>
          <w:sz w:val="32"/>
          <w:szCs w:val="32"/>
          <w:lang w:val="en-US" w:eastAsia="zh-CN"/>
        </w:rPr>
        <w:t>0.00</w:t>
      </w:r>
      <w:r>
        <w:rPr>
          <w:rFonts w:hint="eastAsia" w:ascii="Times New Roman" w:hAnsi="Times New Roman" w:eastAsia="仿宋_GB2312"/>
          <w:sz w:val="32"/>
          <w:szCs w:val="32"/>
        </w:rPr>
        <w:t>万元，全年安排因公出国（境）团组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个，累计</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人次</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2、公务接待费支出决算为</w:t>
      </w:r>
      <w:r>
        <w:rPr>
          <w:rFonts w:hint="eastAsia" w:ascii="Times New Roman" w:hAnsi="Times New Roman" w:eastAsia="仿宋_GB2312"/>
          <w:sz w:val="32"/>
          <w:szCs w:val="32"/>
          <w:lang w:val="en-US" w:eastAsia="zh-CN"/>
        </w:rPr>
        <w:t>0.18</w:t>
      </w:r>
      <w:r>
        <w:rPr>
          <w:rFonts w:hint="eastAsia" w:ascii="Times New Roman" w:hAnsi="Times New Roman" w:eastAsia="仿宋_GB2312"/>
          <w:sz w:val="32"/>
          <w:szCs w:val="32"/>
        </w:rPr>
        <w:t>万元，全年共接待来访团组</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13</w:t>
      </w:r>
      <w:r>
        <w:rPr>
          <w:rFonts w:hint="eastAsia" w:ascii="Times New Roman" w:hAnsi="Times New Roman" w:eastAsia="仿宋_GB2312"/>
          <w:sz w:val="32"/>
          <w:szCs w:val="32"/>
        </w:rPr>
        <w:t>人次，主要是</w:t>
      </w:r>
      <w:r>
        <w:rPr>
          <w:rFonts w:hint="eastAsia" w:ascii="Times New Roman" w:hAnsi="Times New Roman" w:eastAsia="仿宋_GB2312"/>
          <w:sz w:val="32"/>
          <w:szCs w:val="32"/>
          <w:lang w:val="en-US" w:eastAsia="zh-CN"/>
        </w:rPr>
        <w:t>兽药质量跟踪检验抽样及实验室建设与管理调研</w:t>
      </w:r>
      <w:r>
        <w:rPr>
          <w:rFonts w:hint="eastAsia" w:ascii="Times New Roman" w:hAnsi="Times New Roman" w:eastAsia="仿宋_GB2312"/>
          <w:sz w:val="32"/>
          <w:szCs w:val="32"/>
        </w:rPr>
        <w:t>发生的接待支出</w:t>
      </w:r>
      <w:r>
        <w:rPr>
          <w:rFonts w:hint="eastAsia" w:ascii="Times New Roman" w:hAnsi="Times New Roman" w:eastAsia="仿宋_GB2312"/>
          <w:sz w:val="32"/>
          <w:szCs w:val="32"/>
          <w:lang w:eastAsia="zh-CN"/>
        </w:rPr>
        <w:t>。</w:t>
      </w:r>
    </w:p>
    <w:p>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bCs/>
          <w:i/>
          <w:color w:val="auto"/>
          <w:kern w:val="0"/>
          <w:sz w:val="32"/>
          <w:szCs w:val="32"/>
          <w:highlight w:val="none"/>
          <w:lang w:val="en-US" w:eastAsia="zh-CN" w:bidi="ar-SA"/>
        </w:rPr>
      </w:pPr>
      <w:r>
        <w:rPr>
          <w:rFonts w:hint="eastAsia" w:ascii="Times New Roman" w:hAnsi="Times New Roman" w:eastAsia="仿宋_GB2312"/>
          <w:sz w:val="32"/>
          <w:szCs w:val="32"/>
          <w:highlight w:val="none"/>
        </w:rPr>
        <w:t>3、公务用车购置费及运行维护费支出决算为</w:t>
      </w:r>
      <w:r>
        <w:rPr>
          <w:rFonts w:hint="eastAsia" w:ascii="Times New Roman" w:hAnsi="Times New Roman" w:eastAsia="仿宋_GB2312"/>
          <w:sz w:val="32"/>
          <w:szCs w:val="32"/>
          <w:highlight w:val="none"/>
          <w:lang w:val="en-US" w:eastAsia="zh-CN"/>
        </w:rPr>
        <w:t>1.87</w:t>
      </w:r>
      <w:r>
        <w:rPr>
          <w:rFonts w:hint="eastAsia" w:ascii="Times New Roman" w:hAnsi="Times New Roman" w:eastAsia="仿宋_GB2312"/>
          <w:sz w:val="32"/>
          <w:szCs w:val="32"/>
          <w:highlight w:val="none"/>
        </w:rPr>
        <w:t>万元，其中：公务用车购置费</w:t>
      </w:r>
      <w:r>
        <w:rPr>
          <w:rFonts w:hint="eastAsia" w:ascii="Times New Roman" w:hAnsi="Times New Roman" w:eastAsia="仿宋_GB2312"/>
          <w:sz w:val="32"/>
          <w:szCs w:val="32"/>
          <w:highlight w:val="none"/>
          <w:lang w:val="en-US" w:eastAsia="zh-CN"/>
        </w:rPr>
        <w:t>0.00</w:t>
      </w:r>
      <w:r>
        <w:rPr>
          <w:rFonts w:hint="eastAsia" w:ascii="Times New Roman" w:hAnsi="Times New Roman" w:eastAsia="仿宋_GB2312"/>
          <w:sz w:val="32"/>
          <w:szCs w:val="32"/>
          <w:highlight w:val="none"/>
        </w:rPr>
        <w:t>万元</w:t>
      </w:r>
      <w:r>
        <w:rPr>
          <w:rFonts w:hint="eastAsia" w:ascii="Times New Roman" w:hAnsi="Times New Roman" w:eastAsia="仿宋_GB2312"/>
          <w:sz w:val="32"/>
          <w:szCs w:val="32"/>
          <w:highlight w:val="none"/>
          <w:lang w:eastAsia="zh-CN"/>
        </w:rPr>
        <w:t>，单位本级更新公务用车</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lang w:eastAsia="zh-CN"/>
        </w:rPr>
        <w:t>辆</w:t>
      </w:r>
      <w:r>
        <w:rPr>
          <w:rFonts w:hint="eastAsia" w:ascii="Times New Roman" w:hAnsi="Times New Roman" w:eastAsia="仿宋_GB2312"/>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sz w:val="32"/>
          <w:szCs w:val="32"/>
          <w:highlight w:val="none"/>
        </w:rPr>
        <w:t>公务用车运行维护费</w:t>
      </w:r>
      <w:r>
        <w:rPr>
          <w:rFonts w:hint="eastAsia" w:ascii="Times New Roman" w:hAnsi="Times New Roman" w:eastAsia="仿宋_GB2312"/>
          <w:sz w:val="32"/>
          <w:szCs w:val="32"/>
          <w:highlight w:val="none"/>
          <w:lang w:val="en-US" w:eastAsia="zh-CN"/>
        </w:rPr>
        <w:t>1.87</w:t>
      </w:r>
      <w:r>
        <w:rPr>
          <w:rFonts w:hint="eastAsia" w:ascii="Times New Roman" w:hAnsi="Times New Roman" w:eastAsia="仿宋_GB2312"/>
          <w:sz w:val="32"/>
          <w:szCs w:val="32"/>
          <w:highlight w:val="none"/>
        </w:rPr>
        <w:t>万元，主要是公务用车维修保养、保险、加油支出，截止202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年12月31日，我单位开支财政拨款的公务用车保有量为</w:t>
      </w:r>
      <w:r>
        <w:rPr>
          <w:rFonts w:hint="eastAsia" w:ascii="Times New Roman" w:hAnsi="Times New Roman" w:eastAsia="仿宋_GB2312"/>
          <w:sz w:val="32"/>
          <w:szCs w:val="32"/>
          <w:highlight w:val="none"/>
          <w:lang w:val="en-US" w:eastAsia="zh-CN"/>
        </w:rPr>
        <w:t>1</w:t>
      </w:r>
      <w:r>
        <w:rPr>
          <w:rFonts w:hint="eastAsia" w:ascii="Times New Roman" w:hAnsi="Times New Roman" w:eastAsia="仿宋_GB2312"/>
          <w:sz w:val="32"/>
          <w:szCs w:val="32"/>
          <w:highlight w:val="none"/>
        </w:rPr>
        <w:t>辆</w:t>
      </w:r>
      <w:r>
        <w:rPr>
          <w:rFonts w:hint="eastAsia" w:ascii="Times New Roman" w:hAnsi="Times New Roman" w:eastAsia="仿宋_GB2312"/>
          <w:sz w:val="32"/>
          <w:szCs w:val="32"/>
          <w:highlight w:val="none"/>
          <w:lang w:eastAsia="zh-CN"/>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八、政府性基金预算收入支出决算情况</w:t>
      </w:r>
    </w:p>
    <w:p>
      <w:pPr>
        <w:pStyle w:val="15"/>
        <w:keepNext w:val="0"/>
        <w:keepLines w:val="0"/>
        <w:pageBreakBefore w:val="0"/>
        <w:widowControl w:val="0"/>
        <w:kinsoku/>
        <w:wordWrap/>
        <w:overflowPunct/>
        <w:topLinePunct w:val="0"/>
        <w:bidi w:val="0"/>
        <w:snapToGrid/>
        <w:spacing w:line="60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本单位无政府性基金收支。</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rPr>
        <w:t>九、关于机关运行经费支出说明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楷体"/>
          <w:sz w:val="32"/>
          <w:szCs w:val="32"/>
          <w:lang w:eastAsia="zh-CN"/>
        </w:rPr>
      </w:pPr>
      <w:r>
        <w:rPr>
          <w:rFonts w:hint="eastAsia" w:ascii="Times New Roman" w:hAnsi="Times New Roman" w:eastAsia="仿宋_GB2312"/>
          <w:sz w:val="32"/>
          <w:szCs w:val="32"/>
          <w:lang w:eastAsia="zh-CN"/>
        </w:rPr>
        <w:t>本单位</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年度机关运行经费支出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与上年持平</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仿宋_GB2312" w:cs="楷体"/>
          <w:b/>
          <w:bCs/>
          <w:i/>
          <w:color w:val="auto"/>
          <w:kern w:val="0"/>
          <w:sz w:val="32"/>
          <w:szCs w:val="32"/>
          <w:lang w:val="en-US" w:eastAsia="zh-CN" w:bidi="ar-SA"/>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w:t>
      </w:r>
      <w:r>
        <w:rPr>
          <w:rFonts w:hint="eastAsia" w:ascii="Times New Roman" w:hAnsi="Times New Roman" w:eastAsia="仿宋_GB2312"/>
          <w:sz w:val="32"/>
          <w:szCs w:val="32"/>
          <w:lang w:eastAsia="zh-CN"/>
        </w:rPr>
        <w:t>本单位</w:t>
      </w:r>
      <w:r>
        <w:rPr>
          <w:rFonts w:hint="eastAsia" w:ascii="Times New Roman" w:hAnsi="Times New Roman" w:eastAsia="仿宋_GB2312"/>
          <w:sz w:val="32"/>
          <w:szCs w:val="32"/>
        </w:rPr>
        <w:t>开支会议费</w:t>
      </w:r>
      <w:r>
        <w:rPr>
          <w:rFonts w:hint="eastAsia" w:ascii="Times New Roman" w:hAnsi="Times New Roman" w:eastAsia="仿宋_GB2312"/>
          <w:sz w:val="32"/>
          <w:szCs w:val="32"/>
          <w:lang w:val="en-US" w:eastAsia="zh-CN"/>
        </w:rPr>
        <w:t>0.00</w:t>
      </w:r>
      <w:r>
        <w:rPr>
          <w:rFonts w:hint="eastAsia" w:ascii="Times New Roman" w:hAnsi="Times New Roman" w:eastAsia="仿宋_GB2312"/>
          <w:sz w:val="32"/>
          <w:szCs w:val="32"/>
        </w:rPr>
        <w:t>万元；开支培训费3.41万元，用于单位职工参加农业农村部及中国兽医药品监察所</w:t>
      </w:r>
      <w:r>
        <w:rPr>
          <w:rFonts w:hint="eastAsia" w:ascii="Times New Roman" w:hAnsi="Times New Roman" w:eastAsia="仿宋_GB2312"/>
          <w:sz w:val="32"/>
          <w:szCs w:val="32"/>
          <w:lang w:val="en-US" w:eastAsia="zh-CN"/>
        </w:rPr>
        <w:t>等单位</w:t>
      </w:r>
      <w:r>
        <w:rPr>
          <w:rFonts w:hint="eastAsia" w:ascii="Times New Roman" w:hAnsi="Times New Roman" w:eastAsia="仿宋_GB2312"/>
          <w:sz w:val="32"/>
          <w:szCs w:val="32"/>
        </w:rPr>
        <w:t>举办的业务培训</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人数21人</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节庆、晚会、论坛、赛事活动，开支</w:t>
      </w:r>
      <w:r>
        <w:rPr>
          <w:rFonts w:hint="eastAsia" w:ascii="Times New Roman" w:hAnsi="Times New Roman" w:eastAsia="仿宋_GB2312"/>
          <w:sz w:val="32"/>
          <w:szCs w:val="32"/>
          <w:lang w:val="en-US" w:eastAsia="zh-CN"/>
        </w:rPr>
        <w:t>0.00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color w:val="auto"/>
          <w:sz w:val="32"/>
          <w:szCs w:val="32"/>
          <w:highlight w:val="red"/>
          <w:lang w:eastAsia="zh-CN"/>
        </w:rPr>
      </w:pPr>
      <w:r>
        <w:rPr>
          <w:rFonts w:hint="eastAsia" w:ascii="Times New Roman" w:hAnsi="Times New Roman" w:eastAsia="仿宋_GB2312"/>
          <w:sz w:val="32"/>
          <w:szCs w:val="32"/>
          <w:lang w:eastAsia="zh-CN"/>
        </w:rPr>
        <w:t>本单位</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年度政府采购支出总额238.85万元，其中：政府采购货物支出238.85万元、政府采购工程支出</w:t>
      </w:r>
      <w:r>
        <w:rPr>
          <w:rFonts w:hint="eastAsia" w:ascii="Times New Roman" w:hAnsi="Times New Roman" w:eastAsia="仿宋_GB2312"/>
          <w:sz w:val="32"/>
          <w:szCs w:val="32"/>
          <w:lang w:val="en-US" w:eastAsia="zh-CN"/>
        </w:rPr>
        <w:t>0.00</w:t>
      </w:r>
      <w:r>
        <w:rPr>
          <w:rFonts w:hint="eastAsia" w:ascii="Times New Roman" w:hAnsi="Times New Roman" w:eastAsia="仿宋_GB2312"/>
          <w:sz w:val="32"/>
          <w:szCs w:val="32"/>
        </w:rPr>
        <w:t>万元、政府采购服务支出</w:t>
      </w:r>
      <w:r>
        <w:rPr>
          <w:rFonts w:hint="eastAsia" w:ascii="Times New Roman" w:hAnsi="Times New Roman" w:eastAsia="仿宋_GB2312"/>
          <w:sz w:val="32"/>
          <w:szCs w:val="32"/>
          <w:lang w:val="en-US" w:eastAsia="zh-CN"/>
        </w:rPr>
        <w:t>0.00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授予中小企业合同金额238.85万元，占政府采购支出总额的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%，其中：授予小微企业合同金额238.85万元，</w:t>
      </w:r>
      <w:r>
        <w:rPr>
          <w:rFonts w:hint="eastAsia" w:ascii="Times New Roman" w:hAnsi="Times New Roman" w:eastAsia="仿宋_GB2312"/>
          <w:color w:val="auto"/>
          <w:sz w:val="32"/>
          <w:szCs w:val="32"/>
        </w:rPr>
        <w:t>占</w:t>
      </w:r>
      <w:r>
        <w:rPr>
          <w:rFonts w:hint="eastAsia" w:ascii="Times New Roman" w:hAnsi="Times New Roman" w:eastAsia="仿宋_GB2312"/>
          <w:color w:val="auto"/>
          <w:sz w:val="32"/>
          <w:szCs w:val="32"/>
          <w:lang w:eastAsia="zh-CN"/>
        </w:rPr>
        <w:t>授予中小企业合同金额</w:t>
      </w:r>
      <w:r>
        <w:rPr>
          <w:rFonts w:hint="eastAsia" w:ascii="Times New Roman" w:hAnsi="Times New Roman" w:eastAsia="仿宋_GB2312"/>
          <w:color w:val="auto"/>
          <w:sz w:val="32"/>
          <w:szCs w:val="32"/>
        </w:rPr>
        <w:t>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货物采购授予中小企业合同金额占货物支出金额的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sz w:val="32"/>
          <w:szCs w:val="32"/>
          <w:highlight w:val="none"/>
          <w:lang w:eastAsia="zh-CN"/>
        </w:rPr>
        <w:t>。</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十二、关于国有资产占用情况说明</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rPr>
        <w:t>截至202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年12月31日，</w:t>
      </w:r>
      <w:r>
        <w:rPr>
          <w:rFonts w:hint="eastAsia" w:ascii="Times New Roman" w:hAnsi="Times New Roman" w:eastAsia="仿宋_GB2312"/>
          <w:color w:val="auto"/>
          <w:sz w:val="32"/>
          <w:szCs w:val="32"/>
          <w:lang w:eastAsia="zh-CN"/>
        </w:rPr>
        <w:t>单位</w:t>
      </w:r>
      <w:r>
        <w:rPr>
          <w:rFonts w:hint="eastAsia" w:ascii="Times New Roman" w:hAnsi="Times New Roman" w:eastAsia="仿宋_GB2312"/>
          <w:color w:val="auto"/>
          <w:sz w:val="32"/>
          <w:szCs w:val="32"/>
        </w:rPr>
        <w:t>共有车辆</w:t>
      </w:r>
      <w:r>
        <w:rPr>
          <w:rFonts w:hint="eastAsia" w:ascii="Times New Roman" w:hAnsi="Times New Roman" w:eastAsia="仿宋_GB2312"/>
          <w:color w:val="auto"/>
          <w:sz w:val="32"/>
          <w:szCs w:val="32"/>
          <w:lang w:val="en-US" w:eastAsia="zh-CN"/>
        </w:rPr>
        <w:t>4</w:t>
      </w:r>
      <w:r>
        <w:rPr>
          <w:rFonts w:hint="eastAsia" w:ascii="Times New Roman" w:hAnsi="Times New Roman" w:eastAsia="仿宋_GB2312"/>
          <w:color w:val="auto"/>
          <w:sz w:val="32"/>
          <w:szCs w:val="32"/>
        </w:rPr>
        <w:t>辆，其中</w:t>
      </w:r>
      <w:r>
        <w:rPr>
          <w:rFonts w:hint="eastAsia" w:ascii="Times New Roman" w:hAnsi="Times New Roman" w:eastAsia="仿宋_GB2312"/>
          <w:color w:val="auto"/>
          <w:sz w:val="32"/>
          <w:szCs w:val="32"/>
          <w:lang w:eastAsia="zh-CN"/>
        </w:rPr>
        <w:t>，副部（省）级及以上领导用车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主要</w:t>
      </w:r>
      <w:r>
        <w:rPr>
          <w:rFonts w:hint="eastAsia" w:ascii="Times New Roman" w:hAnsi="Times New Roman" w:eastAsia="仿宋_GB2312"/>
          <w:color w:val="auto"/>
          <w:sz w:val="32"/>
          <w:szCs w:val="32"/>
          <w:lang w:eastAsia="zh-CN"/>
        </w:rPr>
        <w:t>负责人</w:t>
      </w:r>
      <w:r>
        <w:rPr>
          <w:rFonts w:hint="eastAsia" w:ascii="Times New Roman" w:hAnsi="Times New Roman" w:eastAsia="仿宋_GB2312"/>
          <w:color w:val="auto"/>
          <w:sz w:val="32"/>
          <w:szCs w:val="32"/>
        </w:rPr>
        <w:t>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机要通信用车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辆、应急保障用车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辆、执法执勤用车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辆、特种专业技术用车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离退休干部服务用车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辆、其他用车</w:t>
      </w:r>
      <w:r>
        <w:rPr>
          <w:rFonts w:hint="eastAsia" w:ascii="Times New Roman" w:hAnsi="Times New Roman" w:eastAsia="仿宋_GB2312"/>
          <w:color w:val="auto"/>
          <w:sz w:val="32"/>
          <w:szCs w:val="32"/>
          <w:lang w:val="en-US" w:eastAsia="zh-CN"/>
        </w:rPr>
        <w:t>4</w:t>
      </w:r>
      <w:r>
        <w:rPr>
          <w:rFonts w:hint="eastAsia" w:ascii="Times New Roman" w:hAnsi="Times New Roman" w:eastAsia="仿宋_GB2312"/>
          <w:color w:val="auto"/>
          <w:sz w:val="32"/>
          <w:szCs w:val="32"/>
        </w:rPr>
        <w:t>辆，其他用车中3辆车已报废在办理相关手续，1辆车为单位抽样用车；单位价值100万元以上设备</w:t>
      </w:r>
      <w:r>
        <w:rPr>
          <w:rFonts w:hint="eastAsia" w:ascii="Times New Roman" w:hAnsi="Times New Roman" w:eastAsia="仿宋_GB2312"/>
          <w:color w:val="auto"/>
          <w:sz w:val="32"/>
          <w:szCs w:val="32"/>
          <w:lang w:eastAsia="zh-CN"/>
        </w:rPr>
        <w:t>（不含车辆）</w:t>
      </w:r>
      <w:r>
        <w:rPr>
          <w:rFonts w:hint="eastAsia" w:ascii="Times New Roman" w:hAnsi="Times New Roman" w:eastAsia="仿宋_GB2312"/>
          <w:color w:val="auto"/>
          <w:sz w:val="32"/>
          <w:szCs w:val="32"/>
          <w:lang w:val="en-US" w:eastAsia="zh-CN"/>
        </w:rPr>
        <w:t>5</w:t>
      </w:r>
      <w:r>
        <w:rPr>
          <w:rFonts w:hint="eastAsia" w:ascii="Times New Roman" w:hAnsi="Times New Roman" w:eastAsia="仿宋_GB2312"/>
          <w:color w:val="auto"/>
          <w:sz w:val="32"/>
          <w:szCs w:val="32"/>
        </w:rPr>
        <w:t>台（套）</w:t>
      </w:r>
      <w:r>
        <w:rPr>
          <w:rFonts w:hint="eastAsia" w:ascii="Times New Roman" w:hAnsi="Times New Roman" w:eastAsia="仿宋_GB2312"/>
          <w:color w:val="auto"/>
          <w:sz w:val="32"/>
          <w:szCs w:val="32"/>
          <w:lang w:eastAsia="zh-CN"/>
        </w:rPr>
        <w:t>。</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十三、关于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pPr>
        <w:ind w:left="0" w:leftChars="0" w:firstLine="729" w:firstLineChars="228"/>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1．运行成本方面。</w:t>
      </w:r>
      <w:r>
        <w:rPr>
          <w:rFonts w:hint="eastAsia" w:ascii="仿宋_GB2312" w:hAnsi="仿宋_GB2312" w:eastAsia="仿宋_GB2312" w:cs="仿宋_GB2312"/>
          <w:sz w:val="32"/>
          <w:szCs w:val="32"/>
          <w:lang w:val="en-US" w:eastAsia="zh-CN"/>
        </w:rPr>
        <w:t>2023年度我所进一步规范管理，建立健全各项管理制度，组织学习了《湖南省省级评审专家劳务费管理办法（试行）》《湖南省省直机关会议费管理办法》等多项制度，为工作稳定有序地开展提供了有力的制度保障；同时认真贯彻《公共机构节能条例》积极推动单位节能降耗工作；按照“精打细算、勤俭节约、过紧日子”本单位的原则，严格控制运行成本，“三公”经费财政拨款支出预算及支出都较上年度有下降。</w:t>
      </w:r>
    </w:p>
    <w:p>
      <w:pPr>
        <w:snapToGrid w:val="0"/>
        <w:spacing w:line="520" w:lineRule="exact"/>
        <w:ind w:firstLine="640" w:firstLineChars="200"/>
        <w:rPr>
          <w:rFonts w:hint="eastAsia" w:ascii="楷体" w:hAnsi="楷体" w:eastAsia="楷体" w:cs="楷体"/>
          <w:b/>
          <w:bCs/>
          <w:sz w:val="32"/>
          <w:szCs w:val="32"/>
          <w:lang w:eastAsia="zh-CN"/>
        </w:rPr>
      </w:pPr>
      <w:r>
        <w:rPr>
          <w:rFonts w:hint="eastAsia" w:ascii="仿宋_GB2312" w:hAnsi="仿宋_GB2312" w:eastAsia="仿宋_GB2312" w:cs="仿宋_GB2312"/>
          <w:sz w:val="32"/>
          <w:szCs w:val="32"/>
          <w:lang w:val="en-US" w:eastAsia="zh-CN"/>
        </w:rPr>
        <w:t>2.履职效能。</w:t>
      </w:r>
      <w:r>
        <w:rPr>
          <w:rFonts w:hint="eastAsia" w:ascii="仿宋_GB2312" w:hAnsi="仿宋_GB2312" w:eastAsia="仿宋_GB2312" w:cs="仿宋_GB2312"/>
          <w:sz w:val="32"/>
          <w:szCs w:val="32"/>
        </w:rPr>
        <w:t>2023年，我所在厅党组的领导下，以习近平新时代中国特色社会主义思想为指引，坚持党建引领，抓好主题教育工作，完善各项内部管理制度，不断提高所内业务管</w:t>
      </w:r>
      <w:r>
        <w:rPr>
          <w:rFonts w:hint="eastAsia" w:ascii="仿宋_GB2312" w:hAnsi="仿宋_GB2312" w:eastAsia="仿宋_GB2312" w:cs="仿宋_GB2312"/>
          <w:b w:val="0"/>
          <w:bCs w:val="0"/>
          <w:sz w:val="32"/>
          <w:szCs w:val="32"/>
        </w:rPr>
        <w:t>理水平，扎实推进平安建设和安全生产责任落实，顺利完成了全年工作任务。</w:t>
      </w:r>
      <w:r>
        <w:rPr>
          <w:rFonts w:hint="eastAsia" w:ascii="楷体_GB2312" w:hAnsi="仿宋" w:eastAsia="楷体_GB2312" w:cs="Times New Roman"/>
          <w:b w:val="0"/>
          <w:bCs w:val="0"/>
          <w:sz w:val="32"/>
          <w:szCs w:val="32"/>
        </w:rPr>
        <w:t>1</w:t>
      </w:r>
      <w:r>
        <w:rPr>
          <w:rFonts w:hint="eastAsia" w:ascii="楷体_GB2312" w:hAnsi="仿宋" w:eastAsia="楷体_GB2312" w:cs="Times New Roman"/>
          <w:b w:val="0"/>
          <w:bCs w:val="0"/>
          <w:sz w:val="32"/>
          <w:szCs w:val="32"/>
          <w:lang w:val="en-US" w:eastAsia="zh-CN"/>
        </w:rPr>
        <w:t>.</w:t>
      </w:r>
      <w:r>
        <w:rPr>
          <w:rFonts w:hint="eastAsia" w:ascii="楷体_GB2312" w:hAnsi="仿宋" w:eastAsia="楷体_GB2312" w:cs="Times New Roman"/>
          <w:b w:val="0"/>
          <w:bCs w:val="0"/>
          <w:sz w:val="32"/>
          <w:szCs w:val="32"/>
        </w:rPr>
        <w:t>高质量完成检测任务。</w:t>
      </w:r>
      <w:r>
        <w:rPr>
          <w:rFonts w:hint="eastAsia" w:ascii="仿宋_GB2312" w:hAnsi="仿宋_GB2312" w:eastAsia="仿宋_GB2312" w:cs="仿宋_GB2312"/>
          <w:b w:val="0"/>
          <w:bCs w:val="0"/>
          <w:color w:val="auto"/>
          <w:sz w:val="32"/>
          <w:szCs w:val="32"/>
        </w:rPr>
        <w:t>全年共完成兽药、畜禽产品（含生鲜乳）、饲料等</w:t>
      </w:r>
      <w:r>
        <w:rPr>
          <w:rFonts w:hint="eastAsia" w:ascii="仿宋_GB2312" w:hAnsi="仿宋_GB2312" w:eastAsia="仿宋_GB2312" w:cs="仿宋_GB2312"/>
          <w:b w:val="0"/>
          <w:bCs w:val="0"/>
          <w:color w:val="auto"/>
          <w:sz w:val="32"/>
          <w:szCs w:val="32"/>
          <w:lang w:val="en-US" w:eastAsia="zh-CN"/>
        </w:rPr>
        <w:t>四类产品共六大项13小项检验监测任务7925</w:t>
      </w:r>
      <w:r>
        <w:rPr>
          <w:rFonts w:hint="eastAsia" w:ascii="仿宋_GB2312" w:hAnsi="仿宋_GB2312" w:eastAsia="仿宋_GB2312" w:cs="仿宋_GB2312"/>
          <w:b w:val="0"/>
          <w:bCs w:val="0"/>
          <w:color w:val="auto"/>
          <w:sz w:val="32"/>
          <w:szCs w:val="32"/>
        </w:rPr>
        <w:t>批次</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报送检验报告近8000份、检验数据超10万条，检验样品覆盖全省14个市州122个县市区</w:t>
      </w:r>
      <w:r>
        <w:rPr>
          <w:rFonts w:hint="eastAsia" w:ascii="仿宋_GB2312" w:hAnsi="仿宋_GB2312" w:eastAsia="仿宋_GB2312" w:cs="仿宋_GB2312"/>
          <w:b w:val="0"/>
          <w:bCs w:val="0"/>
          <w:color w:val="auto"/>
          <w:sz w:val="32"/>
          <w:szCs w:val="32"/>
        </w:rPr>
        <w:t>。</w:t>
      </w:r>
      <w:r>
        <w:rPr>
          <w:rFonts w:hint="eastAsia" w:ascii="楷体_GB2312" w:hAnsi="仿宋" w:eastAsia="楷体_GB2312" w:cs="Times New Roman"/>
          <w:b w:val="0"/>
          <w:bCs w:val="0"/>
          <w:sz w:val="32"/>
          <w:szCs w:val="32"/>
          <w:lang w:val="en-US" w:eastAsia="zh-CN"/>
        </w:rPr>
        <w:t>2.</w:t>
      </w:r>
      <w:r>
        <w:rPr>
          <w:rFonts w:hint="eastAsia" w:ascii="楷体_GB2312" w:hAnsi="仿宋" w:eastAsia="楷体_GB2312" w:cs="Times New Roman"/>
          <w:b w:val="0"/>
          <w:bCs w:val="0"/>
          <w:sz w:val="32"/>
          <w:szCs w:val="32"/>
        </w:rPr>
        <w:t>推进技术研究，提升业务水平。</w:t>
      </w:r>
      <w:r>
        <w:rPr>
          <w:rFonts w:hint="eastAsia" w:ascii="仿宋_GB2312" w:hAnsi="仿宋_GB2312" w:eastAsia="仿宋_GB2312" w:cs="仿宋_GB2312"/>
          <w:b w:val="0"/>
          <w:bCs w:val="0"/>
          <w:sz w:val="32"/>
          <w:szCs w:val="32"/>
        </w:rPr>
        <w:t>一是积极参加行业标准制修订。今年，完成兽药国家标准巴胺磷，巴胺磷溶液等4个标准的制修订，完成2025版中国兽药典中地塞米松磷酸钠注射液、氢化可的松等13个标准复核，完成《饲料中非法添加药物的筛查方法》地方标准制定工作。二是积极承担</w:t>
      </w:r>
      <w:r>
        <w:rPr>
          <w:rFonts w:hint="eastAsia" w:ascii="仿宋_GB2312" w:hAnsi="仿宋_GB2312" w:eastAsia="仿宋_GB2312" w:cs="仿宋_GB2312"/>
          <w:b w:val="0"/>
          <w:bCs w:val="0"/>
          <w:sz w:val="32"/>
          <w:szCs w:val="32"/>
          <w:lang w:val="en-US" w:eastAsia="zh-CN"/>
        </w:rPr>
        <w:t>技术研究</w:t>
      </w:r>
      <w:r>
        <w:rPr>
          <w:rFonts w:hint="eastAsia" w:ascii="仿宋_GB2312" w:hAnsi="仿宋_GB2312" w:eastAsia="仿宋_GB2312" w:cs="仿宋_GB2312"/>
          <w:b w:val="0"/>
          <w:bCs w:val="0"/>
          <w:sz w:val="32"/>
          <w:szCs w:val="32"/>
        </w:rPr>
        <w:t>。主持省自然科学基金《复合氨基酸产品创制及营养代谢通路和高效利用技术研究》和《兽药饲料中非法添加物快速筛查方法学研究与应用》项目研究；所内</w:t>
      </w:r>
      <w:r>
        <w:rPr>
          <w:rFonts w:hint="eastAsia" w:ascii="仿宋_GB2312" w:hAnsi="仿宋_GB2312" w:eastAsia="仿宋_GB2312" w:cs="仿宋_GB2312"/>
          <w:b w:val="0"/>
          <w:bCs w:val="0"/>
          <w:color w:val="auto"/>
          <w:sz w:val="32"/>
          <w:szCs w:val="32"/>
        </w:rPr>
        <w:t>支撑项目</w:t>
      </w:r>
      <w:r>
        <w:rPr>
          <w:rFonts w:hint="eastAsia" w:ascii="仿宋_GB2312" w:hAnsi="仿宋_GB2312" w:eastAsia="仿宋_GB2312" w:cs="仿宋_GB2312"/>
          <w:b w:val="0"/>
          <w:bCs w:val="0"/>
          <w:color w:val="auto"/>
          <w:sz w:val="32"/>
          <w:szCs w:val="32"/>
          <w:lang w:val="en-US" w:eastAsia="zh-CN"/>
        </w:rPr>
        <w:t>有</w:t>
      </w:r>
      <w:r>
        <w:rPr>
          <w:rFonts w:hint="eastAsia" w:ascii="仿宋_GB2312" w:hAnsi="仿宋_GB2312" w:eastAsia="仿宋_GB2312" w:cs="仿宋_GB2312"/>
          <w:b w:val="0"/>
          <w:bCs w:val="0"/>
          <w:color w:val="auto"/>
          <w:sz w:val="32"/>
          <w:szCs w:val="32"/>
        </w:rPr>
        <w:t>《艾条熏蒸对猪肺炎支原体消毒效果的研究》；撰写论</w:t>
      </w:r>
      <w:r>
        <w:rPr>
          <w:rFonts w:hint="eastAsia" w:ascii="仿宋_GB2312" w:hAnsi="仿宋_GB2312" w:eastAsia="仿宋_GB2312" w:cs="仿宋_GB2312"/>
          <w:b w:val="0"/>
          <w:bCs w:val="0"/>
          <w:sz w:val="32"/>
          <w:szCs w:val="32"/>
        </w:rPr>
        <w:t>文11篇，编写著作2部。</w:t>
      </w:r>
      <w:r>
        <w:rPr>
          <w:rFonts w:hint="eastAsia" w:ascii="楷体_GB2312" w:hAnsi="仿宋" w:eastAsia="楷体_GB2312" w:cs="Times New Roman"/>
          <w:b w:val="0"/>
          <w:bCs w:val="0"/>
          <w:sz w:val="32"/>
          <w:szCs w:val="32"/>
        </w:rPr>
        <w:t>3</w:t>
      </w:r>
      <w:r>
        <w:rPr>
          <w:rFonts w:hint="eastAsia" w:ascii="楷体_GB2312" w:hAnsi="仿宋" w:eastAsia="楷体_GB2312" w:cs="Times New Roman"/>
          <w:b w:val="0"/>
          <w:bCs w:val="0"/>
          <w:sz w:val="32"/>
          <w:szCs w:val="32"/>
          <w:lang w:val="en-US" w:eastAsia="zh-CN"/>
        </w:rPr>
        <w:t>.</w:t>
      </w:r>
      <w:r>
        <w:rPr>
          <w:rFonts w:hint="eastAsia" w:ascii="楷体_GB2312" w:hAnsi="仿宋" w:eastAsia="楷体_GB2312" w:cs="Times New Roman"/>
          <w:b w:val="0"/>
          <w:bCs w:val="0"/>
          <w:sz w:val="32"/>
          <w:szCs w:val="32"/>
        </w:rPr>
        <w:t>强化能力考核，培养实战人才。</w:t>
      </w:r>
      <w:r>
        <w:rPr>
          <w:rFonts w:hint="eastAsia" w:ascii="仿宋_GB2312" w:hAnsi="仿宋_GB2312" w:eastAsia="仿宋_GB2312" w:cs="仿宋_GB2312"/>
          <w:b w:val="0"/>
          <w:bCs w:val="0"/>
          <w:sz w:val="32"/>
          <w:szCs w:val="32"/>
        </w:rPr>
        <w:t>全年参加农业农村部、省市场监督管理局等部门组织的有关兽药、饲料、畜产品能力验证8次20项，结果均为满意或合格；</w:t>
      </w:r>
      <w:r>
        <w:rPr>
          <w:rFonts w:hint="eastAsia" w:ascii="仿宋_GB2312" w:hAnsi="仿宋_GB2312" w:eastAsia="仿宋_GB2312" w:cs="仿宋_GB2312"/>
          <w:b w:val="0"/>
          <w:bCs w:val="0"/>
          <w:sz w:val="32"/>
          <w:szCs w:val="32"/>
          <w:lang w:val="en-US" w:eastAsia="zh-CN"/>
        </w:rPr>
        <w:t>圆满完成</w:t>
      </w:r>
      <w:r>
        <w:rPr>
          <w:rFonts w:hint="eastAsia" w:ascii="仿宋_GB2312" w:hAnsi="仿宋_GB2312" w:eastAsia="仿宋_GB2312" w:cs="仿宋_GB2312"/>
          <w:b w:val="0"/>
          <w:bCs w:val="0"/>
          <w:sz w:val="32"/>
          <w:szCs w:val="32"/>
        </w:rPr>
        <w:t>全省32家检验检测机构畜禽产品类检测项目能力验证组织工作</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rPr>
        <w:t>通过线上和线下的方式，对新版《中华人民共和国农产品质量安全法》、《检验检测资质认定评审准则》等法律法规进行培训；选派专家</w:t>
      </w:r>
      <w:r>
        <w:rPr>
          <w:rFonts w:hint="eastAsia" w:ascii="仿宋_GB2312" w:hAnsi="仿宋_GB2312" w:eastAsia="仿宋_GB2312" w:cs="仿宋_GB2312"/>
          <w:b w:val="0"/>
          <w:bCs w:val="0"/>
          <w:sz w:val="32"/>
          <w:szCs w:val="32"/>
          <w:lang w:val="en-US" w:eastAsia="zh-CN"/>
        </w:rPr>
        <w:t>为</w:t>
      </w:r>
      <w:r>
        <w:rPr>
          <w:rFonts w:hint="eastAsia" w:ascii="仿宋_GB2312" w:hAnsi="仿宋_GB2312" w:eastAsia="仿宋_GB2312" w:cs="仿宋_GB2312"/>
          <w:b w:val="0"/>
          <w:bCs w:val="0"/>
          <w:sz w:val="32"/>
          <w:szCs w:val="32"/>
        </w:rPr>
        <w:t>国家级</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省级</w:t>
      </w:r>
      <w:r>
        <w:rPr>
          <w:rFonts w:hint="eastAsia" w:ascii="仿宋_GB2312" w:hAnsi="仿宋_GB2312" w:eastAsia="仿宋_GB2312" w:cs="仿宋_GB2312"/>
          <w:b w:val="0"/>
          <w:bCs w:val="0"/>
          <w:sz w:val="32"/>
          <w:szCs w:val="32"/>
        </w:rPr>
        <w:t>专业技术培训</w:t>
      </w:r>
      <w:r>
        <w:rPr>
          <w:rFonts w:hint="eastAsia" w:ascii="仿宋_GB2312" w:hAnsi="仿宋_GB2312" w:eastAsia="仿宋_GB2312" w:cs="仿宋_GB2312"/>
          <w:b w:val="0"/>
          <w:bCs w:val="0"/>
          <w:sz w:val="32"/>
          <w:szCs w:val="32"/>
          <w:lang w:val="en-US" w:eastAsia="zh-CN"/>
        </w:rPr>
        <w:t>授课；</w:t>
      </w:r>
      <w:r>
        <w:rPr>
          <w:rFonts w:hint="eastAsia" w:ascii="仿宋_GB2312" w:hAnsi="仿宋_GB2312" w:eastAsia="仿宋_GB2312" w:cs="仿宋_GB2312"/>
          <w:b w:val="0"/>
          <w:bCs w:val="0"/>
          <w:sz w:val="32"/>
          <w:szCs w:val="32"/>
        </w:rPr>
        <w:t>培训选送</w:t>
      </w:r>
      <w:r>
        <w:rPr>
          <w:rFonts w:hint="eastAsia" w:ascii="仿宋_GB2312" w:hAnsi="仿宋_GB2312" w:eastAsia="仿宋_GB2312" w:cs="仿宋_GB2312"/>
          <w:b w:val="0"/>
          <w:bCs w:val="0"/>
          <w:sz w:val="32"/>
          <w:szCs w:val="32"/>
          <w:lang w:val="en-US" w:eastAsia="zh-CN"/>
        </w:rPr>
        <w:t>省内</w:t>
      </w:r>
      <w:r>
        <w:rPr>
          <w:rFonts w:hint="eastAsia" w:ascii="仿宋_GB2312" w:hAnsi="仿宋_GB2312" w:eastAsia="仿宋_GB2312" w:cs="仿宋_GB2312"/>
          <w:b w:val="0"/>
          <w:bCs w:val="0"/>
          <w:sz w:val="32"/>
          <w:szCs w:val="32"/>
        </w:rPr>
        <w:t>选手</w:t>
      </w:r>
      <w:r>
        <w:rPr>
          <w:rFonts w:hint="eastAsia" w:ascii="仿宋_GB2312" w:hAnsi="仿宋_GB2312" w:eastAsia="仿宋_GB2312" w:cs="仿宋_GB2312"/>
          <w:b w:val="0"/>
          <w:bCs w:val="0"/>
          <w:sz w:val="32"/>
          <w:szCs w:val="32"/>
          <w:lang w:val="en-US" w:eastAsia="zh-CN"/>
        </w:rPr>
        <w:t>参加</w:t>
      </w:r>
      <w:r>
        <w:rPr>
          <w:rFonts w:hint="eastAsia" w:ascii="仿宋_GB2312" w:hAnsi="仿宋_GB2312" w:eastAsia="仿宋_GB2312" w:cs="仿宋_GB2312"/>
          <w:b w:val="0"/>
          <w:bCs w:val="0"/>
          <w:sz w:val="32"/>
          <w:szCs w:val="32"/>
        </w:rPr>
        <w:t>“第五届全国农产品质量安全检测技能竞赛决赛”</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获</w:t>
      </w:r>
      <w:r>
        <w:rPr>
          <w:rFonts w:hint="eastAsia" w:ascii="仿宋_GB2312" w:hAnsi="仿宋_GB2312" w:eastAsia="仿宋_GB2312" w:cs="仿宋_GB2312"/>
          <w:b w:val="0"/>
          <w:bCs w:val="0"/>
          <w:sz w:val="32"/>
          <w:szCs w:val="32"/>
        </w:rPr>
        <w:t>“全国农业技术能手”称号。</w:t>
      </w:r>
      <w:r>
        <w:rPr>
          <w:rFonts w:hint="eastAsia" w:ascii="楷体_GB2312" w:hAnsi="仿宋" w:eastAsia="楷体_GB2312" w:cs="Times New Roman"/>
          <w:b w:val="0"/>
          <w:bCs w:val="0"/>
          <w:sz w:val="32"/>
          <w:szCs w:val="32"/>
        </w:rPr>
        <w:t>4</w:t>
      </w:r>
      <w:r>
        <w:rPr>
          <w:rFonts w:hint="eastAsia" w:ascii="楷体_GB2312" w:hAnsi="仿宋" w:eastAsia="楷体_GB2312" w:cs="Times New Roman"/>
          <w:b w:val="0"/>
          <w:bCs w:val="0"/>
          <w:sz w:val="32"/>
          <w:szCs w:val="32"/>
          <w:lang w:val="en-US" w:eastAsia="zh-CN"/>
        </w:rPr>
        <w:t>.</w:t>
      </w:r>
      <w:r>
        <w:rPr>
          <w:rFonts w:hint="eastAsia" w:ascii="楷体_GB2312" w:hAnsi="仿宋" w:eastAsia="楷体_GB2312" w:cs="Times New Roman"/>
          <w:b w:val="0"/>
          <w:bCs w:val="0"/>
          <w:sz w:val="32"/>
          <w:szCs w:val="32"/>
        </w:rPr>
        <w:t>完善体系建设，提升管理水平。</w:t>
      </w:r>
      <w:r>
        <w:rPr>
          <w:rFonts w:hint="eastAsia" w:ascii="仿宋_GB2312" w:hAnsi="仿宋_GB2312" w:eastAsia="仿宋_GB2312" w:cs="仿宋_GB2312"/>
          <w:b w:val="0"/>
          <w:bCs w:val="0"/>
          <w:sz w:val="32"/>
          <w:szCs w:val="32"/>
        </w:rPr>
        <w:t>一是完善实验室质量体系建设。修订完善《质量手册》、《程序文件》、《作业指导书》等质量体系文件；编制年度</w:t>
      </w:r>
      <w:r>
        <w:rPr>
          <w:rFonts w:hint="eastAsia" w:ascii="仿宋_GB2312" w:hAnsi="仿宋_GB2312" w:eastAsia="仿宋_GB2312" w:cs="仿宋_GB2312"/>
          <w:b w:val="0"/>
          <w:bCs w:val="0"/>
          <w:sz w:val="32"/>
          <w:szCs w:val="32"/>
          <w:lang w:val="en-US" w:eastAsia="zh-CN"/>
        </w:rPr>
        <w:t>监督</w:t>
      </w:r>
      <w:r>
        <w:rPr>
          <w:rFonts w:hint="eastAsia" w:ascii="仿宋_GB2312" w:hAnsi="仿宋_GB2312" w:eastAsia="仿宋_GB2312" w:cs="仿宋_GB2312"/>
          <w:b w:val="0"/>
          <w:bCs w:val="0"/>
          <w:sz w:val="32"/>
          <w:szCs w:val="32"/>
        </w:rPr>
        <w:t>抽检、质量监督、培训等6项计划，并如期完成；更新检测标准564项。二是持续推进质量管理工作。组织开展了机构内部审核</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机构自查自纠工作。三是顺利通过省级检验检测机构资质复查与扩项评审工作</w:t>
      </w:r>
      <w:r>
        <w:rPr>
          <w:rFonts w:hint="eastAsia" w:ascii="仿宋_GB2312" w:hAnsi="仿宋_GB2312" w:eastAsia="仿宋_GB2312" w:cs="仿宋_GB2312"/>
          <w:b w:val="0"/>
          <w:bCs w:val="0"/>
          <w:sz w:val="32"/>
          <w:szCs w:val="32"/>
          <w:lang w:val="en-US" w:eastAsia="zh-CN"/>
        </w:rPr>
        <w:t>。</w:t>
      </w:r>
      <w:r>
        <w:rPr>
          <w:rFonts w:hint="eastAsia" w:ascii="楷体_GB2312" w:hAnsi="仿宋" w:eastAsia="楷体_GB2312" w:cs="Times New Roman"/>
          <w:b w:val="0"/>
          <w:bCs w:val="0"/>
          <w:sz w:val="32"/>
          <w:szCs w:val="32"/>
        </w:rPr>
        <w:t>5</w:t>
      </w:r>
      <w:r>
        <w:rPr>
          <w:rFonts w:hint="eastAsia" w:ascii="楷体_GB2312" w:hAnsi="仿宋" w:eastAsia="楷体_GB2312" w:cs="Times New Roman"/>
          <w:b w:val="0"/>
          <w:bCs w:val="0"/>
          <w:sz w:val="32"/>
          <w:szCs w:val="32"/>
          <w:lang w:val="en-US" w:eastAsia="zh-CN"/>
        </w:rPr>
        <w:t>.</w:t>
      </w:r>
      <w:r>
        <w:rPr>
          <w:rFonts w:hint="eastAsia" w:ascii="楷体_GB2312" w:hAnsi="仿宋" w:eastAsia="楷体_GB2312" w:cs="Times New Roman"/>
          <w:b w:val="0"/>
          <w:bCs w:val="0"/>
          <w:sz w:val="32"/>
          <w:szCs w:val="32"/>
        </w:rPr>
        <w:t>坚持防范教育，守住安全底线。</w:t>
      </w:r>
      <w:r>
        <w:rPr>
          <w:rFonts w:hint="eastAsia" w:ascii="仿宋_GB2312" w:hAnsi="仿宋_GB2312" w:eastAsia="仿宋_GB2312" w:cs="仿宋_GB2312"/>
          <w:b w:val="0"/>
          <w:bCs w:val="0"/>
          <w:sz w:val="32"/>
          <w:szCs w:val="32"/>
        </w:rPr>
        <w:t>为推动单位平安创建工作，制定</w:t>
      </w:r>
      <w:r>
        <w:rPr>
          <w:rFonts w:hint="eastAsia" w:ascii="仿宋_GB2312" w:hAnsi="仿宋_GB2312" w:eastAsia="仿宋_GB2312" w:cs="仿宋_GB2312"/>
          <w:b w:val="0"/>
          <w:bCs w:val="0"/>
          <w:sz w:val="32"/>
          <w:szCs w:val="32"/>
          <w:lang w:val="en-US" w:eastAsia="zh-CN"/>
        </w:rPr>
        <w:t>和修改</w:t>
      </w:r>
      <w:r>
        <w:rPr>
          <w:rFonts w:hint="eastAsia" w:ascii="仿宋_GB2312" w:hAnsi="仿宋_GB2312" w:eastAsia="仿宋_GB2312" w:cs="仿宋_GB2312"/>
          <w:b w:val="0"/>
          <w:bCs w:val="0"/>
          <w:sz w:val="32"/>
          <w:szCs w:val="32"/>
        </w:rPr>
        <w:t>了《值班制度》、《实验室安全管理制度》、《易制毒品和危险物品管理制度》等6项制度；集中开展了消防培训、信访教育、</w:t>
      </w:r>
      <w:r>
        <w:rPr>
          <w:rFonts w:hint="eastAsia" w:ascii="仿宋_GB2312" w:hAnsi="仿宋_GB2312" w:eastAsia="仿宋_GB2312" w:cs="仿宋_GB2312"/>
          <w:sz w:val="32"/>
          <w:szCs w:val="32"/>
        </w:rPr>
        <w:t>保密教育等安全防范教育11余次，本年度，我所未发生一例安全责任事故。</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highlight w:val="none"/>
        </w:rPr>
      </w:pPr>
      <w:r>
        <w:rPr>
          <w:rFonts w:hint="eastAsia" w:ascii="楷体" w:hAnsi="楷体" w:eastAsia="楷体" w:cs="楷体"/>
          <w:b/>
          <w:bCs/>
          <w:sz w:val="32"/>
          <w:szCs w:val="32"/>
          <w:highlight w:val="none"/>
          <w:lang w:eastAsia="zh-CN"/>
        </w:rPr>
        <w:t>（二）</w:t>
      </w:r>
      <w:r>
        <w:rPr>
          <w:rFonts w:hint="eastAsia" w:ascii="楷体" w:hAnsi="楷体" w:eastAsia="楷体" w:cs="楷体"/>
          <w:b/>
          <w:bCs/>
          <w:sz w:val="32"/>
          <w:szCs w:val="32"/>
          <w:highlight w:val="none"/>
        </w:rPr>
        <w:t>部门</w:t>
      </w:r>
      <w:r>
        <w:rPr>
          <w:rFonts w:hint="eastAsia" w:ascii="楷体" w:hAnsi="楷体" w:eastAsia="楷体" w:cs="楷体"/>
          <w:b/>
          <w:bCs/>
          <w:sz w:val="32"/>
          <w:szCs w:val="32"/>
          <w:highlight w:val="none"/>
          <w:lang w:eastAsia="zh-CN"/>
        </w:rPr>
        <w:t>（单位）</w:t>
      </w:r>
      <w:r>
        <w:rPr>
          <w:rFonts w:hint="eastAsia" w:ascii="楷体" w:hAnsi="楷体" w:eastAsia="楷体" w:cs="楷体"/>
          <w:b/>
          <w:bCs/>
          <w:sz w:val="32"/>
          <w:szCs w:val="32"/>
          <w:highlight w:val="none"/>
        </w:rPr>
        <w:t>整体支出绩效情况</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highlight w:val="yellow"/>
          <w:lang w:eastAsia="zh-CN"/>
        </w:rPr>
      </w:pPr>
      <w:r>
        <w:rPr>
          <w:rFonts w:hint="eastAsia" w:ascii="Times New Roman" w:hAnsi="Times New Roman" w:eastAsia="仿宋_GB2312"/>
          <w:sz w:val="32"/>
          <w:szCs w:val="32"/>
          <w:highlight w:val="none"/>
          <w:lang w:val="en-US" w:eastAsia="zh-CN"/>
        </w:rPr>
        <w:t>2023年本单位</w:t>
      </w:r>
      <w:r>
        <w:rPr>
          <w:rFonts w:hint="eastAsia" w:ascii="Times New Roman" w:hAnsi="Times New Roman" w:eastAsia="仿宋_GB2312"/>
          <w:sz w:val="32"/>
          <w:szCs w:val="32"/>
          <w:highlight w:val="none"/>
        </w:rPr>
        <w:t>坚持“质量第一、科学公正、准确高效”的质量方针，根据各级畜牧水产管理部门和兽药、饲料及畜产品生产经营企业不断增长的质量要求，为各级畜牧水产行政执法及兽药、饲料、畜禽产品生产经营活动提供及时、科学的技术支撑。</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年预算整体执行率偏低，执行率有待提高，主要原因是当年基建投资预算项目资金640万元，该项目为</w:t>
      </w:r>
      <w:r>
        <w:rPr>
          <w:rFonts w:hint="eastAsia" w:ascii="Times New Roman" w:hAnsi="Times New Roman" w:eastAsia="仿宋_GB2312"/>
          <w:sz w:val="32"/>
          <w:szCs w:val="32"/>
          <w:lang w:val="en-US" w:eastAsia="zh-CN"/>
        </w:rPr>
        <w:t>多</w:t>
      </w:r>
      <w:r>
        <w:rPr>
          <w:rFonts w:hint="eastAsia" w:ascii="Times New Roman" w:hAnsi="Times New Roman" w:eastAsia="仿宋_GB2312"/>
          <w:sz w:val="32"/>
          <w:szCs w:val="32"/>
        </w:rPr>
        <w:t>年期项目</w:t>
      </w:r>
      <w:r>
        <w:rPr>
          <w:rFonts w:hint="eastAsia" w:ascii="Times New Roman" w:hAnsi="Times New Roman" w:eastAsia="仿宋_GB2312"/>
          <w:sz w:val="32"/>
          <w:szCs w:val="32"/>
          <w:lang w:val="en-US" w:eastAsia="zh-CN"/>
        </w:rPr>
        <w:t>正在执行中</w:t>
      </w:r>
      <w:r>
        <w:rPr>
          <w:rFonts w:hint="eastAsia" w:ascii="Times New Roman" w:hAnsi="Times New Roman" w:eastAsia="仿宋_GB2312"/>
          <w:sz w:val="32"/>
          <w:szCs w:val="32"/>
        </w:rPr>
        <w:t>，另有信息网络更新项目资金100万元，该项目到202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底还在审批阶段未能开工，造成了财政资金执行率偏低的问题。下一步改进措施：加快项目完成进度，提高预算资金执行率。具体措施：加大项目实施力度，加强与各相关部门的沟通协调争取尽早完成项目审批程序；针对跨年项目要合理计划，把工作往前赶，争取早日保质保量完成项目任务。确实保障预算安全高效执行到位</w:t>
      </w:r>
      <w:r>
        <w:rPr>
          <w:rFonts w:hint="eastAsia" w:ascii="Times New Roman" w:hAnsi="Times New Roman" w:eastAsia="仿宋_GB2312"/>
          <w:sz w:val="32"/>
          <w:szCs w:val="32"/>
          <w:lang w:eastAsia="zh-CN"/>
        </w:rPr>
        <w:t>。</w:t>
      </w:r>
    </w:p>
    <w:p>
      <w:pPr>
        <w:rPr>
          <w:sz w:val="72"/>
          <w:szCs w:val="72"/>
        </w:rPr>
      </w:pPr>
      <w:r>
        <w:rPr>
          <w:sz w:val="72"/>
          <w:szCs w:val="72"/>
        </w:rPr>
        <w:br w:type="page"/>
      </w:r>
    </w:p>
    <w:p>
      <w:pPr>
        <w:pStyle w:val="15"/>
        <w:jc w:val="both"/>
        <w:rPr>
          <w:sz w:val="72"/>
          <w:szCs w:val="72"/>
        </w:rPr>
      </w:pPr>
    </w:p>
    <w:p>
      <w:pPr>
        <w:pStyle w:val="15"/>
        <w:jc w:val="center"/>
        <w:rPr>
          <w:sz w:val="72"/>
          <w:szCs w:val="72"/>
        </w:rPr>
      </w:pPr>
    </w:p>
    <w:p>
      <w:pPr>
        <w:pStyle w:val="15"/>
        <w:jc w:val="center"/>
        <w:rPr>
          <w:sz w:val="72"/>
          <w:szCs w:val="72"/>
        </w:rPr>
      </w:pPr>
    </w:p>
    <w:p>
      <w:pPr>
        <w:pStyle w:val="15"/>
        <w:jc w:val="both"/>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p>
    <w:p>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rPr>
          <w:rFonts w:hint="eastAsia" w:ascii="方正小标宋_GBK" w:hAnsi="方正小标宋_GBK" w:eastAsia="方正小标宋_GBK" w:cs="方正小标宋_GBK"/>
          <w:color w:val="000000"/>
          <w:kern w:val="0"/>
          <w:sz w:val="70"/>
          <w:szCs w:val="70"/>
        </w:rPr>
        <w:br w:type="page"/>
      </w:r>
    </w:p>
    <w:p>
      <w:pPr>
        <w:widowControl/>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一、财政拨款收入：指省财政当年拨付的资金。</w:t>
      </w:r>
    </w:p>
    <w:p>
      <w:pPr>
        <w:widowControl/>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二、农林水支出（类）农业（款）行政运行（项）：指行政单位（包括实行公务员管理的事业单位）的基本支出。</w:t>
      </w:r>
    </w:p>
    <w:p>
      <w:pPr>
        <w:widowControl/>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三、农林水支出（类）农业（款）一般行政管理事务（项）：指行政单位（包括实行公务员管理的事业单位）未单独设置项级科目的其他项目支出。</w:t>
      </w:r>
    </w:p>
    <w:p>
      <w:pPr>
        <w:widowControl/>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四、农林水支出（类）农业（款）其他农林水（项）：反映除化解债务支出以外其他用于农林水主方面的支出。</w:t>
      </w:r>
    </w:p>
    <w:p>
      <w:pPr>
        <w:widowControl/>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五、社会保障和就业（类）行政事业单位离退休（款）归口管理的行政单位离退休（项）：指财政部离退休干部局统一管理的部机关离退休人员的支出，以及财政部驻各地财政监察专员办事处离退休人员的支出。</w:t>
      </w:r>
    </w:p>
    <w:p>
      <w:pPr>
        <w:widowControl/>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六、住房保障（类）住房改革支出（款）住房公积金（项）：指按照《住房公积金管理条例》的规定，由单位及其在职职工缴存的长期住房储金。该项政策始于上世纪九十年代中期，在全国机关、企事业单位在职职工中普遍实施，缴存比例最低不低于5%，最高不超过12%，缴存基数为职工本人上年工资，目前已实施约20年时间。行政单位缴存基数包括国家统一规定的公务员职务工资、级别工资、机关工人岗位工资和技术等级（职务）工资、年终一次性奖金、特殊岗位津贴、艰苦边远地区津贴，规范后发放的工作性津贴、生活性补贴等；事业单位缴存基数包括国家统一规定的岗位工资、薪级工资、绩效工资、艰苦边远地区津贴、特殊岗位津贴等。</w:t>
      </w:r>
    </w:p>
    <w:p>
      <w:pPr>
        <w:widowControl/>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七、住房保障（类）住房改革支出（款）住房补贴（项）：指按房改政策规定，行政事业单位向符合条件职工（含离退休人员）、军队（含武警）向转役复员离退休人员发放的用于购买住房的补贴。</w:t>
      </w:r>
    </w:p>
    <w:p>
      <w:pPr>
        <w:widowControl/>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八、基本支出：指为保障机构正常运转、完成日常工作任务而发生的人员支出和公用支出。</w:t>
      </w:r>
    </w:p>
    <w:p>
      <w:pPr>
        <w:widowControl/>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九、项目支出：指在基本支出之外为完成特定行政任务和事业发展目标所发生的支出。</w:t>
      </w:r>
    </w:p>
    <w:p>
      <w:pPr>
        <w:widowControl/>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十、“三公”经费：纳入中央财政预决算管理的“三公”经费，是指中央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十一、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十二、年初结转和结余：是指以前年度尚未完成、结转到本年按有关规定继续使用的资金。</w:t>
      </w:r>
    </w:p>
    <w:p>
      <w:pPr>
        <w:widowControl/>
        <w:ind w:firstLine="640" w:firstLineChars="200"/>
        <w:jc w:val="left"/>
        <w:rPr>
          <w:sz w:val="72"/>
          <w:szCs w:val="72"/>
        </w:rPr>
      </w:pPr>
      <w:r>
        <w:rPr>
          <w:rFonts w:hint="eastAsia" w:cs="黑体" w:asciiTheme="minorEastAsia" w:hAnsiTheme="minorEastAsia"/>
          <w:color w:val="000000"/>
          <w:kern w:val="0"/>
          <w:sz w:val="32"/>
          <w:szCs w:val="32"/>
        </w:rPr>
        <w:t>十三、年末结转和结余：指本年度或以前年度预算安排、因客观条件发生变化无法按原计划实施，需要延迟到以后年度按有关规定继续使用的资金。</w:t>
      </w:r>
    </w:p>
    <w:p>
      <w:pPr>
        <w:rPr>
          <w:rFonts w:hint="eastAsia" w:ascii="方正小标宋_GBK" w:hAnsi="方正小标宋_GBK" w:eastAsia="方正小标宋_GBK" w:cs="方正小标宋_GBK"/>
          <w:sz w:val="72"/>
          <w:szCs w:val="72"/>
        </w:rPr>
      </w:pPr>
    </w:p>
    <w:p>
      <w:pPr>
        <w:rPr>
          <w:rFonts w:hint="eastAsia" w:ascii="方正小标宋_GBK" w:hAnsi="方正小标宋_GBK" w:eastAsia="方正小标宋_GBK" w:cs="方正小标宋_GBK"/>
          <w:sz w:val="24"/>
          <w:szCs w:val="24"/>
        </w:rPr>
      </w:pP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方正小标宋_GBK" w:hAnsi="方正小标宋_GBK" w:eastAsia="方正小标宋_GBK" w:cs="方正小标宋_GBK"/>
          <w:sz w:val="72"/>
          <w:szCs w:val="72"/>
        </w:rPr>
      </w:pPr>
      <w:r>
        <w:rPr>
          <w:rFonts w:hint="eastAsia" w:ascii="楷体" w:hAnsi="楷体" w:eastAsia="楷体" w:cs="楷体"/>
          <w:b/>
          <w:bCs/>
          <w:sz w:val="32"/>
          <w:szCs w:val="32"/>
          <w:lang w:eastAsia="zh-CN"/>
        </w:rPr>
        <w:t>一、</w:t>
      </w:r>
      <w:r>
        <w:rPr>
          <w:rFonts w:hint="eastAsia" w:ascii="Times New Roman" w:hAnsi="Times New Roman" w:eastAsia="仿宋_GB2312"/>
          <w:sz w:val="32"/>
          <w:szCs w:val="32"/>
          <w:lang w:val="en-US" w:eastAsia="zh-CN"/>
        </w:rPr>
        <w:t>2023年度单位整体支出绩效自评报告。</w:t>
      </w:r>
    </w:p>
    <w:p>
      <w:pPr>
        <w:pStyle w:val="2"/>
        <w:rPr>
          <w:rFonts w:hint="eastAsia" w:ascii="方正小标宋简体" w:hAnsi="方正小标宋简体" w:eastAsia="方正小标宋简体" w:cs="方正小标宋简体"/>
          <w:spacing w:val="-8"/>
          <w:lang w:val="en-US" w:eastAsia="zh-CN"/>
        </w:rPr>
      </w:pPr>
      <w:r>
        <w:rPr>
          <w:rFonts w:hint="eastAsia" w:ascii="方正小标宋简体" w:hAnsi="方正小标宋简体" w:eastAsia="方正小标宋简体" w:cs="方正小标宋简体"/>
          <w:spacing w:val="-8"/>
          <w:lang w:val="en-US" w:eastAsia="zh-CN"/>
        </w:rPr>
        <w:t>2023年度湖南省兽药饲料监察所</w:t>
      </w:r>
    </w:p>
    <w:p>
      <w:pPr>
        <w:pStyle w:val="2"/>
        <w:rPr>
          <w:rFonts w:hint="eastAsia" w:ascii="方正小标宋简体" w:hAnsi="方正小标宋简体" w:eastAsia="方正小标宋简体" w:cs="方正小标宋简体"/>
          <w:spacing w:val="-8"/>
        </w:rPr>
      </w:pPr>
      <w:r>
        <w:rPr>
          <w:rFonts w:hint="eastAsia" w:ascii="方正小标宋简体" w:hAnsi="方正小标宋简体" w:eastAsia="方正小标宋简体" w:cs="方正小标宋简体"/>
          <w:spacing w:val="-8"/>
        </w:rPr>
        <w:t>整体支出绩效自评报告</w:t>
      </w:r>
    </w:p>
    <w:p>
      <w:pPr>
        <w:pStyle w:val="3"/>
        <w:spacing w:line="560" w:lineRule="atLeast"/>
        <w:ind w:firstLine="640"/>
      </w:pPr>
    </w:p>
    <w:p>
      <w:pPr>
        <w:pStyle w:val="3"/>
        <w:spacing w:line="560" w:lineRule="atLeast"/>
        <w:ind w:firstLine="640"/>
        <w:rPr>
          <w:rFonts w:hint="eastAsia" w:ascii="华文细黑" w:hAnsi="华文细黑" w:eastAsia="华文细黑" w:cs="华文细黑"/>
          <w:sz w:val="32"/>
          <w:szCs w:val="32"/>
        </w:rPr>
      </w:pPr>
      <w:r>
        <w:rPr>
          <w:rFonts w:hint="eastAsia" w:ascii="华文细黑" w:hAnsi="华文细黑" w:eastAsia="华文细黑" w:cs="华文细黑"/>
          <w:sz w:val="32"/>
          <w:szCs w:val="32"/>
        </w:rPr>
        <w:t>一、单位基本情况</w:t>
      </w:r>
    </w:p>
    <w:p>
      <w:pPr>
        <w:spacing w:line="560" w:lineRule="atLeas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湖南省兽药饲料监察所主要承担农业部门和有关部门指定的畜禽等动物性产品及兽药、饲料产品质量的监督抽查检验、残留物质分析检验、优质产品的评选和复查检验；受农业部门或有关部门的委托，对实施生产许可证和质量认证的畜禽等动物性产品及兽药、饲料产品进行检验，以及对重要新产品、新品种投产和科研成果鉴定检验；承担畜禽等动物性产品及兽药、饲料产品质量考核检验、产品质量分等分级检验；承担畜禽等动物性产品及兽药、饲料产品质量仲裁检验和委托检验；对省内同类产品质量检验机构进行技术指导和人员培训；负责研究新的检验技术和方法，承担或参与国家标准、行业标准的制修订和有关标准试验验证工作。</w:t>
      </w:r>
    </w:p>
    <w:p>
      <w:pPr>
        <w:spacing w:line="560" w:lineRule="atLeas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机构情况，湖南省兽药饲料监察所是隶属于湖南省农业农村厅的财政全额拨款正处级二级预算单位，单位内设检验一室、检验二室、检验三室、业务办公室、综合科（人事科）、财务科。</w:t>
      </w:r>
    </w:p>
    <w:p>
      <w:pPr>
        <w:spacing w:line="560" w:lineRule="atLeas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人员情况，2023年末有在职干部职工21人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退休人员9人。</w:t>
      </w:r>
    </w:p>
    <w:p>
      <w:pPr>
        <w:pStyle w:val="3"/>
        <w:spacing w:line="560" w:lineRule="atLeast"/>
        <w:ind w:firstLine="640"/>
        <w:rPr>
          <w:rFonts w:hint="eastAsia" w:ascii="华文细黑" w:hAnsi="华文细黑" w:eastAsia="华文细黑" w:cs="华文细黑"/>
          <w:sz w:val="32"/>
          <w:szCs w:val="32"/>
        </w:rPr>
      </w:pPr>
      <w:r>
        <w:rPr>
          <w:rFonts w:hint="eastAsia" w:ascii="华文细黑" w:hAnsi="华文细黑" w:eastAsia="华文细黑" w:cs="华文细黑"/>
          <w:sz w:val="32"/>
          <w:szCs w:val="32"/>
        </w:rPr>
        <w:t>二、一般公共预算支出情况</w:t>
      </w:r>
    </w:p>
    <w:p>
      <w:pPr>
        <w:spacing w:line="560" w:lineRule="atLeas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（一）基本支出情况</w:t>
      </w:r>
    </w:p>
    <w:p>
      <w:pPr>
        <w:spacing w:line="560" w:lineRule="atLeas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2023年度财政拨款基本支出703.91万元，其中：</w:t>
      </w:r>
    </w:p>
    <w:p>
      <w:pPr>
        <w:spacing w:line="560" w:lineRule="atLeas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人员经费661.85万元，占基本支出的94.02%，主要包括基本工资、津贴补贴、伙食补助费、绩效工资、机关事业单位基本养老保险缴费、住房公积金、其他工资福利支出、奖励金、其他对个人和家庭的补助支出等。</w:t>
      </w:r>
    </w:p>
    <w:p>
      <w:pPr>
        <w:spacing w:line="560" w:lineRule="atLeas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公用经费42.06万元，占基本支出的5.98%，主要包括办公费、工会经费、其他交通费用、其他商品和服务支出等。</w:t>
      </w:r>
    </w:p>
    <w:p>
      <w:pPr>
        <w:spacing w:line="560" w:lineRule="atLeas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（二）项目支出情况</w:t>
      </w:r>
    </w:p>
    <w:p>
      <w:pPr>
        <w:spacing w:line="560" w:lineRule="atLeas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项目资金共安排资金1,340.80万元，使用610.08万元。省级专项资金安排700.80万元，其中主要有：现代农业发展、农业生产发展及重要农产品稳产保供专项收入565.80万元、创新型省份建设专项25.00万元、省级市场监督管理专项10.00万元、软件购置专项100.00万元。</w:t>
      </w:r>
    </w:p>
    <w:p>
      <w:pPr>
        <w:spacing w:line="560" w:lineRule="atLeast"/>
        <w:ind w:firstLine="64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现代农业发展、农业生产发展及重要农产品稳产保供专项收入565.80万元，支出551.92万元，支出率97.55%，主要用于开展了兽药、饲料、兽药残留及畜禽产品的质量安全监测和科研工作，完成各项工作任务，为主管部门、各级畜牧水产行政执法及兽药、饲料、畜禽产品生产经营活动提供及时、科学的技术支撑。主要指标有完成兽药、兽药残留、饲料、生鲜乳、屠宰环节畜禽产品质量安全监测6100批次，细菌耐药性分离菌株500株，兽药企业GMP认证5家，有关检验方法学及相关研究3项，市县畜禽产品检验检测机构、兽药饲料企业等质量质检人员培训60人次。全年共完成兽药、畜禽产品（含生鲜乳）、饲料等四类产品共六大项13小项检验监测任务7925批次，对省内养殖场（屠宰场）细菌耐药性监测样本，分离、鉴定细菌523株，完成兽药企业GMP认证5家，组织培训34人次，培训选送省内选手参加“第五届全国农产品质量安全检测技能竞赛决赛”，获“全国农业技术能手”称号，培训人次少于原定指标，主要是改进教学方法多采用线上方式进行培训，实际线下人次减少。</w:t>
      </w:r>
    </w:p>
    <w:p>
      <w:pPr>
        <w:spacing w:line="560" w:lineRule="atLeas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创新型省份建设专项收入25.00万元，支出25.00万元。项目主要研究内容有：1.畜禽绿色无害化处理设备技术参数优化与全程智能化研究；2.畜禽无害化处理产物营养成分分析与有效性和安全性评价；3.畜禽无害化处理副产物肉骨渣深加工设备工艺优化与复合氨基酸制备研究。项目攻克病死畜禽无害智能化设备在高效率、绿色排放以及低成本运行的问题，并对资源安全再利用的课题进行研究和探索，如安全性评价、资源化再利用和深加工等，最终形成畜禽绿色无害化处理及资源安全利用关键技术研发与示范。项目完成制定技术规范湖南省地方标准2项，企业标准2项，并申报了农业农村部农机行业标准1项；发表了三篇科技论文，其中二篇被SCI收录；申请相关专利14项，获批专利13项；获批计算机软件著作权1项；研制了成套日处理能力≥30吨的病死动物无害化处理集成设备。项目已完成验收，获得湖南省科技创新计划项目验收证书。</w:t>
      </w:r>
    </w:p>
    <w:p>
      <w:pPr>
        <w:spacing w:line="560" w:lineRule="atLeas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场监督管理专项收入10.00万元，支出5.08万元。项目主要用于兽药饲料中非法添加物快速筛查方法学研究与应用，以建立兽药饲料中非法添加物快速筛查方法和标准，实现对兽药饲料中药物进行快捷、准确和全面的筛查，为兽药饲料及动物源性食品安全监管提供技术支撑。项目实施期限为2024年12月，目前项目正在执行中。</w:t>
      </w:r>
    </w:p>
    <w:p>
      <w:pPr>
        <w:spacing w:line="560" w:lineRule="atLeast"/>
        <w:ind w:firstLine="64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软件购置</w:t>
      </w:r>
      <w:r>
        <w:rPr>
          <w:rFonts w:hint="eastAsia" w:ascii="仿宋_GB2312" w:hAnsi="仿宋_GB2312" w:eastAsia="仿宋_GB2312" w:cs="仿宋_GB2312"/>
          <w:sz w:val="32"/>
          <w:szCs w:val="32"/>
          <w:lang w:val="en-US" w:eastAsia="zh-CN"/>
        </w:rPr>
        <w:t>专项收入100.00万元，支出0.00万元。项目主要用于湖南省兽药饲料监察所实验室信息管理系统建设，因项目列入省厅信息化项目整体打包后，前置审查一直未结原因，暂未能启动。</w:t>
      </w:r>
    </w:p>
    <w:p>
      <w:pPr>
        <w:spacing w:line="560" w:lineRule="atLeast"/>
        <w:ind w:firstLine="64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央专项资金动植物保护能力提升工程项目专项收入640.00万元，支出28.08万元。项目主要用于湖南省兽药质量及兽药残留检测实验室改建，改造检验检测实验室，购置相关仪器设备16台（套）。项目于2023年3月完成项目评审，12月按程序完成了政府采购招标及部分合同签订，项目正在执行中。</w:t>
      </w:r>
    </w:p>
    <w:p>
      <w:pPr>
        <w:pStyle w:val="3"/>
        <w:spacing w:line="560" w:lineRule="atLeast"/>
        <w:ind w:firstLine="640"/>
        <w:rPr>
          <w:rFonts w:hint="eastAsia" w:ascii="华文细黑" w:hAnsi="华文细黑" w:eastAsia="华文细黑" w:cs="华文细黑"/>
          <w:sz w:val="32"/>
          <w:szCs w:val="32"/>
        </w:rPr>
      </w:pPr>
      <w:r>
        <w:rPr>
          <w:rFonts w:hint="eastAsia" w:ascii="华文细黑" w:hAnsi="华文细黑" w:eastAsia="华文细黑" w:cs="华文细黑"/>
          <w:sz w:val="32"/>
          <w:szCs w:val="32"/>
        </w:rPr>
        <w:t>三、部门整体支出绩效情况</w:t>
      </w:r>
    </w:p>
    <w:p>
      <w:pPr>
        <w:spacing w:line="560" w:lineRule="atLeast"/>
        <w:ind w:firstLine="64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202</w:t>
      </w: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年度我所进一步规范管理，建立健全各项管理制度，组织修订了《湖南省兽药饲料监察所</w:t>
      </w:r>
      <w:r>
        <w:rPr>
          <w:rFonts w:hint="eastAsia" w:ascii="仿宋_GB2312" w:hAnsi="仿宋_GB2312" w:eastAsia="仿宋_GB2312" w:cs="仿宋_GB2312"/>
          <w:sz w:val="32"/>
          <w:szCs w:val="32"/>
          <w:lang w:val="en-US" w:eastAsia="zh-CN"/>
        </w:rPr>
        <w:t>差旅费</w:t>
      </w:r>
      <w:r>
        <w:rPr>
          <w:rFonts w:hint="default" w:ascii="仿宋_GB2312" w:hAnsi="仿宋_GB2312" w:eastAsia="仿宋_GB2312" w:cs="仿宋_GB2312"/>
          <w:sz w:val="32"/>
          <w:szCs w:val="32"/>
          <w:lang w:val="en-US" w:eastAsia="zh-CN"/>
        </w:rPr>
        <w:t>管理办法》等制度，为工作稳定有序地开展提供了有力的制度保障；同时认真贯彻《公共机构节能条例》积极推动单位节能降耗工作；按照“精打细算、勤俭节约、过紧日子”的原则，严格控制运行成本，“三公”经费财政拨款支出较上年有下降。202</w:t>
      </w: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年部门财政拨款收入年初预算1,852.17</w:t>
      </w:r>
      <w:r>
        <w:rPr>
          <w:rFonts w:hint="eastAsia" w:ascii="仿宋_GB2312" w:hAnsi="仿宋_GB2312" w:eastAsia="仿宋_GB2312" w:cs="仿宋_GB2312"/>
          <w:sz w:val="32"/>
          <w:szCs w:val="32"/>
          <w:lang w:val="en-US" w:eastAsia="zh-CN"/>
        </w:rPr>
        <w:t>万元</w:t>
      </w:r>
      <w:r>
        <w:rPr>
          <w:rFonts w:hint="default" w:ascii="仿宋_GB2312" w:hAnsi="仿宋_GB2312" w:eastAsia="仿宋_GB2312" w:cs="仿宋_GB2312"/>
          <w:sz w:val="32"/>
          <w:szCs w:val="32"/>
          <w:lang w:val="en-US" w:eastAsia="zh-CN"/>
        </w:rPr>
        <w:t>，其中基本支出预算581.37万元，实际支出703.91万元，预算执行率为121.08%，单位在职人员数2</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人，编制数2</w:t>
      </w:r>
      <w:r>
        <w:rPr>
          <w:rFonts w:hint="eastAsia" w:ascii="仿宋_GB2312" w:hAnsi="仿宋_GB2312" w:eastAsia="仿宋_GB2312" w:cs="仿宋_GB2312"/>
          <w:sz w:val="32"/>
          <w:szCs w:val="32"/>
          <w:lang w:val="en-US" w:eastAsia="zh-CN"/>
        </w:rPr>
        <w:t>5</w:t>
      </w:r>
      <w:r>
        <w:rPr>
          <w:rFonts w:hint="default" w:ascii="仿宋_GB2312" w:hAnsi="仿宋_GB2312" w:eastAsia="仿宋_GB2312" w:cs="仿宋_GB2312"/>
          <w:sz w:val="32"/>
          <w:szCs w:val="32"/>
          <w:lang w:val="en-US" w:eastAsia="zh-CN"/>
        </w:rPr>
        <w:t>人，控制率为8</w:t>
      </w: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%，在职人员在编制控制范围内。</w:t>
      </w:r>
    </w:p>
    <w:p>
      <w:pPr>
        <w:spacing w:line="560" w:lineRule="atLeas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我所整体支出绩效主要指标有：1.兽药、兽药残留、饲料、生鲜乳、屠宰环节畜禽产品质量安全监测6100批次，全年共完成兽药、畜禽产品（含生鲜乳）、饲料等四类产品共六大项13小项检验监测任务7925批次，完成任务指标；2.细菌耐药性分离菌株500株，全年我所对省内养殖场（屠宰场）细菌耐药性监测样本，分离、鉴定细菌523株，完成任务指标；3.兽药企业GMP认证5家，全年我所完成兽药企业GMP认证5家，完成任务指标；4.有关检验方法学及相关研究3项，全年我所共完成4个兽药国家标准的制修订，完成13个标准复核，完成《饲料中非法添加药物的筛查方法》地方标准制定工作，完成任务指标；5.市县畜禽产品检验检测机构、兽药饲料企业等质量质检人员培训60人次，全年我所组织培训34人次，培训选送省内选手参加“第五届全国农产品质量安全检测技能竞赛决赛”，获“全国农业技术能手”称号。</w:t>
      </w:r>
    </w:p>
    <w:p>
      <w:pPr>
        <w:spacing w:line="560" w:lineRule="atLeas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2023年度，我所坚持“质量第一、科学公正、准确高效”的质量方针，根据各级畜牧水产管理部门和兽药、饲料及畜产品生产经营企业不断增长的质量要求，为各级畜牧水产行政执法及兽药、饲料、畜禽产品生产经营活动提供及时、科学的技术支撑。</w:t>
      </w:r>
    </w:p>
    <w:p>
      <w:pPr>
        <w:pStyle w:val="3"/>
        <w:spacing w:line="560" w:lineRule="atLeast"/>
        <w:ind w:firstLine="640"/>
        <w:rPr>
          <w:rFonts w:hint="eastAsia" w:ascii="华文细黑" w:hAnsi="华文细黑" w:eastAsia="华文细黑" w:cs="华文细黑"/>
          <w:sz w:val="32"/>
          <w:szCs w:val="32"/>
        </w:rPr>
      </w:pPr>
      <w:r>
        <w:rPr>
          <w:rFonts w:hint="eastAsia" w:ascii="华文细黑" w:hAnsi="华文细黑" w:eastAsia="华文细黑" w:cs="华文细黑"/>
          <w:sz w:val="32"/>
          <w:szCs w:val="32"/>
        </w:rPr>
        <w:t>四、存在的问题及原因分析</w:t>
      </w:r>
    </w:p>
    <w:p>
      <w:pPr>
        <w:spacing w:line="560" w:lineRule="atLeas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绩效目标执行偏离</w:t>
      </w:r>
      <w:r>
        <w:rPr>
          <w:rFonts w:hint="eastAsia" w:ascii="仿宋_GB2312" w:hAnsi="仿宋_GB2312" w:eastAsia="仿宋_GB2312" w:cs="仿宋_GB2312"/>
          <w:sz w:val="32"/>
          <w:szCs w:val="32"/>
          <w:lang w:val="en-US" w:eastAsia="zh-CN"/>
        </w:rPr>
        <w:t>主要是</w:t>
      </w:r>
      <w:r>
        <w:rPr>
          <w:rFonts w:hint="eastAsia" w:ascii="仿宋_GB2312" w:hAnsi="仿宋_GB2312" w:eastAsia="仿宋_GB2312" w:cs="仿宋_GB2312"/>
          <w:sz w:val="32"/>
          <w:szCs w:val="32"/>
        </w:rPr>
        <w:t>市县畜禽产品检验检测机构、兽药饲料企业等质量质检人员培训60人次，</w:t>
      </w:r>
      <w:r>
        <w:rPr>
          <w:rFonts w:hint="eastAsia" w:ascii="仿宋_GB2312" w:hAnsi="仿宋_GB2312" w:eastAsia="仿宋_GB2312" w:cs="仿宋_GB2312"/>
          <w:sz w:val="32"/>
          <w:szCs w:val="32"/>
          <w:lang w:val="en-US" w:eastAsia="zh-CN"/>
        </w:rPr>
        <w:t>实际执行</w:t>
      </w:r>
      <w:r>
        <w:rPr>
          <w:rFonts w:hint="eastAsia" w:ascii="仿宋_GB2312" w:hAnsi="仿宋_GB2312" w:eastAsia="仿宋_GB2312" w:cs="仿宋_GB2312"/>
          <w:sz w:val="32"/>
          <w:szCs w:val="32"/>
        </w:rPr>
        <w:t>全年组织培训34人次，</w:t>
      </w:r>
      <w:r>
        <w:rPr>
          <w:rFonts w:hint="eastAsia" w:ascii="仿宋_GB2312" w:hAnsi="仿宋_GB2312" w:eastAsia="仿宋_GB2312" w:cs="仿宋_GB2312"/>
          <w:sz w:val="32"/>
          <w:szCs w:val="32"/>
          <w:lang w:val="en-US" w:eastAsia="zh-CN"/>
        </w:rPr>
        <w:t>造成目标偏离的主要原因是：改进了教学方法，多采用线上方式进行培训，实际线下人次减少，以此提升了培训质量，我所</w:t>
      </w:r>
      <w:r>
        <w:rPr>
          <w:rFonts w:hint="eastAsia" w:ascii="仿宋_GB2312" w:hAnsi="仿宋_GB2312" w:eastAsia="仿宋_GB2312" w:cs="仿宋_GB2312"/>
          <w:sz w:val="32"/>
          <w:szCs w:val="32"/>
        </w:rPr>
        <w:t>培训选送省内选手参加“第五届全国农产品质量安全检测技能竞赛决赛”，获“全国农业技术能手”称号。</w:t>
      </w:r>
    </w:p>
    <w:p>
      <w:pPr>
        <w:sectPr>
          <w:pgSz w:w="11906" w:h="16838"/>
          <w:pgMar w:top="720" w:right="720" w:bottom="720" w:left="720" w:header="851" w:footer="992" w:gutter="0"/>
          <w:cols w:space="425" w:num="1"/>
          <w:docGrid w:type="linesAndChars" w:linePitch="312" w:charSpace="0"/>
        </w:sectPr>
      </w:pPr>
    </w:p>
    <w:p>
      <w:bookmarkStart w:id="1" w:name="_GoBack"/>
      <w:bookmarkEnd w:id="1"/>
    </w:p>
    <w:p>
      <w:pPr>
        <w:keepNext w:val="0"/>
        <w:keepLines w:val="0"/>
        <w:pageBreakBefore w:val="0"/>
        <w:widowControl w:val="0"/>
        <w:kinsoku/>
        <w:wordWrap/>
        <w:overflowPunct/>
        <w:topLinePunct w:val="0"/>
        <w:autoSpaceDE/>
        <w:autoSpaceDN/>
        <w:bidi w:val="0"/>
        <w:adjustRightInd/>
        <w:snapToGrid/>
        <w:spacing w:after="120" w:afterLines="50" w:line="440" w:lineRule="exact"/>
        <w:ind w:firstLine="1080" w:firstLineChars="300"/>
        <w:jc w:val="both"/>
        <w:textAlignment w:val="auto"/>
        <w:rPr>
          <w:rFonts w:hint="default" w:ascii="Times New Roman" w:hAnsi="Times New Roman" w:eastAsia="仿宋_GB2312" w:cs="Times New Roman"/>
          <w:sz w:val="24"/>
        </w:rPr>
      </w:pPr>
      <w:r>
        <w:rPr>
          <w:rFonts w:hint="eastAsia" w:ascii="仿宋" w:hAnsi="仿宋" w:eastAsia="仿宋" w:cs="仿宋"/>
          <w:sz w:val="36"/>
          <w:szCs w:val="36"/>
        </w:rPr>
        <w:t>2023年度部门整体支出绩效评价基础数据表</w:t>
      </w:r>
    </w:p>
    <w:tbl>
      <w:tblPr>
        <w:tblStyle w:val="10"/>
        <w:tblW w:w="9673" w:type="dxa"/>
        <w:jc w:val="center"/>
        <w:tblInd w:w="0" w:type="dxa"/>
        <w:tblLayout w:type="fixed"/>
        <w:tblCellMar>
          <w:top w:w="0" w:type="dxa"/>
          <w:left w:w="108" w:type="dxa"/>
          <w:bottom w:w="0" w:type="dxa"/>
          <w:right w:w="108" w:type="dxa"/>
        </w:tblCellMar>
      </w:tblPr>
      <w:tblGrid>
        <w:gridCol w:w="3604"/>
        <w:gridCol w:w="1017"/>
        <w:gridCol w:w="917"/>
        <w:gridCol w:w="983"/>
        <w:gridCol w:w="1111"/>
        <w:gridCol w:w="1022"/>
        <w:gridCol w:w="1019"/>
      </w:tblGrid>
      <w:tr>
        <w:tblPrEx>
          <w:tblLayout w:type="fixed"/>
          <w:tblCellMar>
            <w:top w:w="0" w:type="dxa"/>
            <w:left w:w="108" w:type="dxa"/>
            <w:bottom w:w="0" w:type="dxa"/>
            <w:right w:w="108" w:type="dxa"/>
          </w:tblCellMar>
        </w:tblPrEx>
        <w:trPr>
          <w:trHeight w:val="0" w:hRule="atLeast"/>
          <w:jc w:val="center"/>
        </w:trPr>
        <w:tc>
          <w:tcPr>
            <w:tcW w:w="3604"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财政供养人员情况（人）</w:t>
            </w:r>
          </w:p>
        </w:tc>
        <w:tc>
          <w:tcPr>
            <w:tcW w:w="1934"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编制数</w:t>
            </w:r>
          </w:p>
        </w:tc>
        <w:tc>
          <w:tcPr>
            <w:tcW w:w="2094"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hint="default" w:ascii="Times New Roman" w:hAnsi="Times New Roman" w:eastAsia="仿宋_GB2312" w:cs="Times New Roman"/>
                <w:b/>
                <w:bCs/>
                <w:sz w:val="20"/>
                <w:szCs w:val="20"/>
              </w:rPr>
              <w:t>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控制率</w:t>
            </w:r>
          </w:p>
        </w:tc>
      </w:tr>
      <w:tr>
        <w:tblPrEx>
          <w:tblLayout w:type="fixed"/>
          <w:tblCellMar>
            <w:top w:w="0" w:type="dxa"/>
            <w:left w:w="108" w:type="dxa"/>
            <w:bottom w:w="0" w:type="dxa"/>
            <w:right w:w="108" w:type="dxa"/>
          </w:tblCellMar>
        </w:tblPrEx>
        <w:trPr>
          <w:trHeight w:val="0" w:hRule="atLeast"/>
          <w:jc w:val="center"/>
        </w:trPr>
        <w:tc>
          <w:tcPr>
            <w:tcW w:w="360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仿宋_GB2312" w:cs="Times New Roman"/>
                <w:sz w:val="20"/>
                <w:szCs w:val="20"/>
              </w:rPr>
            </w:pPr>
          </w:p>
        </w:tc>
        <w:tc>
          <w:tcPr>
            <w:tcW w:w="1934"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25</w:t>
            </w:r>
          </w:p>
        </w:tc>
        <w:tc>
          <w:tcPr>
            <w:tcW w:w="2094"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21</w:t>
            </w:r>
          </w:p>
        </w:tc>
        <w:tc>
          <w:tcPr>
            <w:tcW w:w="2041"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84%</w:t>
            </w:r>
          </w:p>
        </w:tc>
      </w:tr>
      <w:tr>
        <w:tblPrEx>
          <w:tblLayout w:type="fixed"/>
          <w:tblCellMar>
            <w:top w:w="0" w:type="dxa"/>
            <w:left w:w="108" w:type="dxa"/>
            <w:bottom w:w="0" w:type="dxa"/>
            <w:right w:w="108" w:type="dxa"/>
          </w:tblCellMar>
        </w:tblPrEx>
        <w:trPr>
          <w:trHeight w:val="0" w:hRule="atLeast"/>
          <w:jc w:val="center"/>
        </w:trPr>
        <w:tc>
          <w:tcPr>
            <w:tcW w:w="360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经费控制情况（万元）</w:t>
            </w:r>
          </w:p>
        </w:tc>
        <w:tc>
          <w:tcPr>
            <w:tcW w:w="193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2</w:t>
            </w:r>
            <w:r>
              <w:rPr>
                <w:rFonts w:hint="default" w:ascii="Times New Roman" w:hAnsi="Times New Roman" w:eastAsia="仿宋_GB2312" w:cs="Times New Roman"/>
                <w:b/>
                <w:bCs/>
                <w:sz w:val="20"/>
                <w:szCs w:val="20"/>
              </w:rPr>
              <w:t>年决算数</w:t>
            </w:r>
          </w:p>
        </w:tc>
        <w:tc>
          <w:tcPr>
            <w:tcW w:w="209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hint="default" w:ascii="Times New Roman" w:hAnsi="Times New Roman" w:eastAsia="仿宋_GB2312" w:cs="Times New Roman"/>
                <w:b/>
                <w:bCs/>
                <w:sz w:val="20"/>
                <w:szCs w:val="20"/>
              </w:rPr>
              <w:t>年预算数</w:t>
            </w:r>
          </w:p>
        </w:tc>
        <w:tc>
          <w:tcPr>
            <w:tcW w:w="204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hint="default" w:ascii="Times New Roman" w:hAnsi="Times New Roman" w:eastAsia="仿宋_GB2312" w:cs="Times New Roman"/>
                <w:b/>
                <w:bCs/>
                <w:sz w:val="20"/>
                <w:szCs w:val="20"/>
              </w:rPr>
              <w:t>年决算数</w:t>
            </w:r>
          </w:p>
        </w:tc>
      </w:tr>
      <w:tr>
        <w:tblPrEx>
          <w:tblLayout w:type="fixed"/>
          <w:tblCellMar>
            <w:top w:w="0" w:type="dxa"/>
            <w:left w:w="108" w:type="dxa"/>
            <w:bottom w:w="0" w:type="dxa"/>
            <w:right w:w="108" w:type="dxa"/>
          </w:tblCellMar>
        </w:tblPrEx>
        <w:trPr>
          <w:trHeight w:val="0" w:hRule="atLeast"/>
          <w:jc w:val="center"/>
        </w:trPr>
        <w:tc>
          <w:tcPr>
            <w:tcW w:w="360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三公经费</w:t>
            </w:r>
            <w:r>
              <w:rPr>
                <w:rFonts w:hint="eastAsia" w:ascii="Times New Roman" w:hAnsi="Times New Roman" w:eastAsia="仿宋_GB2312" w:cs="Times New Roman"/>
                <w:sz w:val="20"/>
                <w:szCs w:val="20"/>
                <w:lang w:val="en-US" w:eastAsia="zh-CN"/>
              </w:rPr>
              <w:t>:</w:t>
            </w:r>
          </w:p>
        </w:tc>
        <w:tc>
          <w:tcPr>
            <w:tcW w:w="193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2.08</w:t>
            </w:r>
          </w:p>
        </w:tc>
        <w:tc>
          <w:tcPr>
            <w:tcW w:w="209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5.00</w:t>
            </w:r>
          </w:p>
        </w:tc>
        <w:tc>
          <w:tcPr>
            <w:tcW w:w="204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2.05</w:t>
            </w:r>
          </w:p>
        </w:tc>
      </w:tr>
      <w:tr>
        <w:tblPrEx>
          <w:tblLayout w:type="fixed"/>
          <w:tblCellMar>
            <w:top w:w="0" w:type="dxa"/>
            <w:left w:w="108" w:type="dxa"/>
            <w:bottom w:w="0" w:type="dxa"/>
            <w:right w:w="108" w:type="dxa"/>
          </w:tblCellMar>
        </w:tblPrEx>
        <w:trPr>
          <w:trHeight w:val="0" w:hRule="atLeast"/>
          <w:jc w:val="center"/>
        </w:trPr>
        <w:tc>
          <w:tcPr>
            <w:tcW w:w="360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leftChars="0" w:firstLine="220" w:firstLineChars="110"/>
              <w:jc w:val="left"/>
              <w:textAlignment w:val="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1、公务用车购置和维护经费</w:t>
            </w:r>
          </w:p>
        </w:tc>
        <w:tc>
          <w:tcPr>
            <w:tcW w:w="193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2.00</w:t>
            </w:r>
          </w:p>
        </w:tc>
        <w:tc>
          <w:tcPr>
            <w:tcW w:w="209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3.00</w:t>
            </w:r>
          </w:p>
        </w:tc>
        <w:tc>
          <w:tcPr>
            <w:tcW w:w="204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1.87</w:t>
            </w:r>
          </w:p>
        </w:tc>
      </w:tr>
      <w:tr>
        <w:tblPrEx>
          <w:tblLayout w:type="fixed"/>
          <w:tblCellMar>
            <w:top w:w="0" w:type="dxa"/>
            <w:left w:w="108" w:type="dxa"/>
            <w:bottom w:w="0" w:type="dxa"/>
            <w:right w:w="108" w:type="dxa"/>
          </w:tblCellMar>
        </w:tblPrEx>
        <w:trPr>
          <w:trHeight w:val="0" w:hRule="atLeast"/>
          <w:jc w:val="center"/>
        </w:trPr>
        <w:tc>
          <w:tcPr>
            <w:tcW w:w="360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leftChars="0" w:firstLine="640" w:firstLineChars="320"/>
              <w:jc w:val="left"/>
              <w:textAlignment w:val="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其中：公车购置</w:t>
            </w:r>
          </w:p>
        </w:tc>
        <w:tc>
          <w:tcPr>
            <w:tcW w:w="193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0.00</w:t>
            </w:r>
          </w:p>
        </w:tc>
        <w:tc>
          <w:tcPr>
            <w:tcW w:w="209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0.00</w:t>
            </w:r>
          </w:p>
        </w:tc>
        <w:tc>
          <w:tcPr>
            <w:tcW w:w="204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0.00</w:t>
            </w:r>
          </w:p>
        </w:tc>
      </w:tr>
      <w:tr>
        <w:tblPrEx>
          <w:tblLayout w:type="fixed"/>
          <w:tblCellMar>
            <w:top w:w="0" w:type="dxa"/>
            <w:left w:w="108" w:type="dxa"/>
            <w:bottom w:w="0" w:type="dxa"/>
            <w:right w:w="108" w:type="dxa"/>
          </w:tblCellMar>
        </w:tblPrEx>
        <w:trPr>
          <w:trHeight w:val="0" w:hRule="atLeast"/>
          <w:jc w:val="center"/>
        </w:trPr>
        <w:tc>
          <w:tcPr>
            <w:tcW w:w="360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leftChars="0" w:firstLine="1260" w:firstLineChars="630"/>
              <w:jc w:val="left"/>
              <w:textAlignment w:val="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公车运行维护</w:t>
            </w:r>
          </w:p>
        </w:tc>
        <w:tc>
          <w:tcPr>
            <w:tcW w:w="193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2.00</w:t>
            </w:r>
          </w:p>
        </w:tc>
        <w:tc>
          <w:tcPr>
            <w:tcW w:w="209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3.00</w:t>
            </w:r>
          </w:p>
        </w:tc>
        <w:tc>
          <w:tcPr>
            <w:tcW w:w="204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1.87</w:t>
            </w:r>
          </w:p>
        </w:tc>
      </w:tr>
      <w:tr>
        <w:tblPrEx>
          <w:tblLayout w:type="fixed"/>
          <w:tblCellMar>
            <w:top w:w="0" w:type="dxa"/>
            <w:left w:w="108" w:type="dxa"/>
            <w:bottom w:w="0" w:type="dxa"/>
            <w:right w:w="108" w:type="dxa"/>
          </w:tblCellMar>
        </w:tblPrEx>
        <w:trPr>
          <w:trHeight w:val="0" w:hRule="atLeast"/>
          <w:jc w:val="center"/>
        </w:trPr>
        <w:tc>
          <w:tcPr>
            <w:tcW w:w="360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leftChars="0" w:firstLine="220" w:firstLineChars="110"/>
              <w:jc w:val="left"/>
              <w:textAlignment w:val="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2、出国经费</w:t>
            </w:r>
          </w:p>
        </w:tc>
        <w:tc>
          <w:tcPr>
            <w:tcW w:w="193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0.00</w:t>
            </w:r>
          </w:p>
        </w:tc>
        <w:tc>
          <w:tcPr>
            <w:tcW w:w="209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0.00</w:t>
            </w:r>
          </w:p>
        </w:tc>
        <w:tc>
          <w:tcPr>
            <w:tcW w:w="204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0.00</w:t>
            </w:r>
          </w:p>
        </w:tc>
      </w:tr>
      <w:tr>
        <w:tblPrEx>
          <w:tblLayout w:type="fixed"/>
          <w:tblCellMar>
            <w:top w:w="0" w:type="dxa"/>
            <w:left w:w="108" w:type="dxa"/>
            <w:bottom w:w="0" w:type="dxa"/>
            <w:right w:w="108" w:type="dxa"/>
          </w:tblCellMar>
        </w:tblPrEx>
        <w:trPr>
          <w:trHeight w:val="0" w:hRule="atLeast"/>
          <w:jc w:val="center"/>
        </w:trPr>
        <w:tc>
          <w:tcPr>
            <w:tcW w:w="360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leftChars="0" w:firstLine="220" w:firstLineChars="110"/>
              <w:jc w:val="left"/>
              <w:textAlignment w:val="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3、公务接待</w:t>
            </w:r>
          </w:p>
        </w:tc>
        <w:tc>
          <w:tcPr>
            <w:tcW w:w="193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0.08</w:t>
            </w:r>
          </w:p>
        </w:tc>
        <w:tc>
          <w:tcPr>
            <w:tcW w:w="209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2.00</w:t>
            </w:r>
          </w:p>
        </w:tc>
        <w:tc>
          <w:tcPr>
            <w:tcW w:w="204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0.18</w:t>
            </w:r>
          </w:p>
        </w:tc>
      </w:tr>
      <w:tr>
        <w:tblPrEx>
          <w:tblLayout w:type="fixed"/>
          <w:tblCellMar>
            <w:top w:w="0" w:type="dxa"/>
            <w:left w:w="108" w:type="dxa"/>
            <w:bottom w:w="0" w:type="dxa"/>
            <w:right w:w="108" w:type="dxa"/>
          </w:tblCellMar>
        </w:tblPrEx>
        <w:trPr>
          <w:trHeight w:val="0" w:hRule="atLeast"/>
          <w:jc w:val="center"/>
        </w:trPr>
        <w:tc>
          <w:tcPr>
            <w:tcW w:w="360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项目支出：</w:t>
            </w:r>
          </w:p>
        </w:tc>
        <w:tc>
          <w:tcPr>
            <w:tcW w:w="193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692.17</w:t>
            </w:r>
          </w:p>
        </w:tc>
        <w:tc>
          <w:tcPr>
            <w:tcW w:w="209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1,340.80</w:t>
            </w:r>
          </w:p>
        </w:tc>
        <w:tc>
          <w:tcPr>
            <w:tcW w:w="204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610.08</w:t>
            </w:r>
          </w:p>
        </w:tc>
      </w:tr>
      <w:tr>
        <w:tblPrEx>
          <w:tblLayout w:type="fixed"/>
          <w:tblCellMar>
            <w:top w:w="0" w:type="dxa"/>
            <w:left w:w="108" w:type="dxa"/>
            <w:bottom w:w="0" w:type="dxa"/>
            <w:right w:w="108" w:type="dxa"/>
          </w:tblCellMar>
        </w:tblPrEx>
        <w:trPr>
          <w:trHeight w:val="0" w:hRule="atLeast"/>
          <w:jc w:val="center"/>
        </w:trPr>
        <w:tc>
          <w:tcPr>
            <w:tcW w:w="360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leftChars="0" w:firstLine="220" w:firstLineChars="110"/>
              <w:jc w:val="left"/>
              <w:textAlignment w:val="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1、业务工作经费</w:t>
            </w:r>
          </w:p>
        </w:tc>
        <w:tc>
          <w:tcPr>
            <w:tcW w:w="193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0.00</w:t>
            </w:r>
          </w:p>
        </w:tc>
        <w:tc>
          <w:tcPr>
            <w:tcW w:w="209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0.00</w:t>
            </w:r>
          </w:p>
        </w:tc>
        <w:tc>
          <w:tcPr>
            <w:tcW w:w="204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0.00</w:t>
            </w:r>
          </w:p>
        </w:tc>
      </w:tr>
      <w:tr>
        <w:tblPrEx>
          <w:tblLayout w:type="fixed"/>
          <w:tblCellMar>
            <w:top w:w="0" w:type="dxa"/>
            <w:left w:w="108" w:type="dxa"/>
            <w:bottom w:w="0" w:type="dxa"/>
            <w:right w:w="108" w:type="dxa"/>
          </w:tblCellMar>
        </w:tblPrEx>
        <w:trPr>
          <w:trHeight w:val="0" w:hRule="atLeast"/>
          <w:jc w:val="center"/>
        </w:trPr>
        <w:tc>
          <w:tcPr>
            <w:tcW w:w="360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leftChars="0" w:firstLine="220" w:firstLineChars="110"/>
              <w:jc w:val="left"/>
              <w:textAlignment w:val="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2、运行维护经费</w:t>
            </w:r>
          </w:p>
        </w:tc>
        <w:tc>
          <w:tcPr>
            <w:tcW w:w="193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0.00</w:t>
            </w:r>
          </w:p>
        </w:tc>
        <w:tc>
          <w:tcPr>
            <w:tcW w:w="209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0.00</w:t>
            </w:r>
          </w:p>
        </w:tc>
        <w:tc>
          <w:tcPr>
            <w:tcW w:w="204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0.00</w:t>
            </w:r>
          </w:p>
        </w:tc>
      </w:tr>
      <w:tr>
        <w:tblPrEx>
          <w:tblLayout w:type="fixed"/>
          <w:tblCellMar>
            <w:top w:w="0" w:type="dxa"/>
            <w:left w:w="108" w:type="dxa"/>
            <w:bottom w:w="0" w:type="dxa"/>
            <w:right w:w="108" w:type="dxa"/>
          </w:tblCellMar>
        </w:tblPrEx>
        <w:trPr>
          <w:trHeight w:val="0" w:hRule="atLeast"/>
          <w:jc w:val="center"/>
        </w:trPr>
        <w:tc>
          <w:tcPr>
            <w:tcW w:w="360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leftChars="0" w:firstLine="220" w:firstLineChars="110"/>
              <w:jc w:val="left"/>
              <w:textAlignment w:val="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3、省级专项资金（</w:t>
            </w:r>
            <w:r>
              <w:rPr>
                <w:rFonts w:hint="eastAsia" w:ascii="Times New Roman" w:hAnsi="Times New Roman" w:eastAsia="仿宋_GB2312" w:cs="Times New Roman"/>
                <w:sz w:val="20"/>
                <w:szCs w:val="20"/>
                <w:lang w:eastAsia="zh-CN"/>
              </w:rPr>
              <w:t>每</w:t>
            </w:r>
            <w:r>
              <w:rPr>
                <w:rFonts w:hint="default" w:ascii="Times New Roman" w:hAnsi="Times New Roman" w:eastAsia="仿宋_GB2312" w:cs="Times New Roman"/>
                <w:sz w:val="20"/>
                <w:szCs w:val="20"/>
              </w:rPr>
              <w:t>个专项一行）</w:t>
            </w:r>
          </w:p>
        </w:tc>
        <w:tc>
          <w:tcPr>
            <w:tcW w:w="193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662.25</w:t>
            </w:r>
          </w:p>
        </w:tc>
        <w:tc>
          <w:tcPr>
            <w:tcW w:w="209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rPr>
            </w:pPr>
            <w:r>
              <w:rPr>
                <w:rFonts w:hint="eastAsia" w:ascii="Times New Roman" w:hAnsi="Times New Roman" w:eastAsia="仿宋_GB2312" w:cs="Times New Roman"/>
                <w:sz w:val="20"/>
                <w:szCs w:val="20"/>
                <w:lang w:val="en-US" w:eastAsia="zh-CN"/>
              </w:rPr>
              <w:t>700.80</w:t>
            </w:r>
          </w:p>
        </w:tc>
        <w:tc>
          <w:tcPr>
            <w:tcW w:w="204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610.08</w:t>
            </w:r>
          </w:p>
        </w:tc>
      </w:tr>
      <w:tr>
        <w:tblPrEx>
          <w:tblLayout w:type="fixed"/>
          <w:tblCellMar>
            <w:top w:w="0" w:type="dxa"/>
            <w:left w:w="108" w:type="dxa"/>
            <w:bottom w:w="0" w:type="dxa"/>
            <w:right w:w="108" w:type="dxa"/>
          </w:tblCellMar>
        </w:tblPrEx>
        <w:trPr>
          <w:trHeight w:val="0" w:hRule="atLeast"/>
          <w:jc w:val="center"/>
        </w:trPr>
        <w:tc>
          <w:tcPr>
            <w:tcW w:w="360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leftChars="0" w:firstLine="418" w:firstLineChars="209"/>
              <w:jc w:val="left"/>
              <w:textAlignment w:val="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现代农业发展专项</w:t>
            </w:r>
          </w:p>
        </w:tc>
        <w:tc>
          <w:tcPr>
            <w:tcW w:w="193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228.05</w:t>
            </w:r>
          </w:p>
        </w:tc>
        <w:tc>
          <w:tcPr>
            <w:tcW w:w="209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480.00</w:t>
            </w:r>
          </w:p>
        </w:tc>
        <w:tc>
          <w:tcPr>
            <w:tcW w:w="204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468.20</w:t>
            </w:r>
          </w:p>
        </w:tc>
      </w:tr>
      <w:tr>
        <w:tblPrEx>
          <w:tblLayout w:type="fixed"/>
          <w:tblCellMar>
            <w:top w:w="0" w:type="dxa"/>
            <w:left w:w="108" w:type="dxa"/>
            <w:bottom w:w="0" w:type="dxa"/>
            <w:right w:w="108" w:type="dxa"/>
          </w:tblCellMar>
        </w:tblPrEx>
        <w:trPr>
          <w:trHeight w:val="0" w:hRule="atLeast"/>
          <w:jc w:val="center"/>
        </w:trPr>
        <w:tc>
          <w:tcPr>
            <w:tcW w:w="3604"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leftChars="0" w:firstLine="418" w:firstLineChars="209"/>
              <w:jc w:val="left"/>
              <w:textAlignment w:val="auto"/>
              <w:rPr>
                <w:rFonts w:hint="default" w:ascii="Times New Roman" w:hAnsi="Times New Roman" w:eastAsia="仿宋_GB2312" w:cs="Times New Roman"/>
                <w:kern w:val="2"/>
                <w:sz w:val="20"/>
                <w:szCs w:val="20"/>
                <w:lang w:val="en-US" w:eastAsia="zh-CN" w:bidi="ar-SA"/>
              </w:rPr>
            </w:pPr>
            <w:r>
              <w:rPr>
                <w:rFonts w:hint="default" w:ascii="Times New Roman" w:hAnsi="Times New Roman" w:eastAsia="仿宋_GB2312" w:cs="Times New Roman"/>
                <w:sz w:val="20"/>
                <w:szCs w:val="20"/>
              </w:rPr>
              <w:t>农业生产发展项目</w:t>
            </w:r>
          </w:p>
        </w:tc>
        <w:tc>
          <w:tcPr>
            <w:tcW w:w="1934" w:type="dxa"/>
            <w:gridSpan w:val="2"/>
            <w:tcBorders>
              <w:top w:val="single" w:color="auto" w:sz="4" w:space="0"/>
              <w:left w:val="nil"/>
              <w:bottom w:val="single" w:color="auto" w:sz="4" w:space="0"/>
              <w:right w:val="single" w:color="000000"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kern w:val="2"/>
                <w:sz w:val="20"/>
                <w:szCs w:val="20"/>
                <w:lang w:val="en-US" w:eastAsia="zh-CN" w:bidi="ar-SA"/>
              </w:rPr>
            </w:pPr>
            <w:r>
              <w:rPr>
                <w:rFonts w:hint="eastAsia" w:ascii="Times New Roman" w:hAnsi="Times New Roman" w:eastAsia="仿宋_GB2312" w:cs="Times New Roman"/>
                <w:sz w:val="20"/>
                <w:szCs w:val="20"/>
                <w:lang w:val="en-US" w:eastAsia="zh-CN"/>
              </w:rPr>
              <w:t>374.24</w:t>
            </w:r>
          </w:p>
        </w:tc>
        <w:tc>
          <w:tcPr>
            <w:tcW w:w="2094" w:type="dxa"/>
            <w:gridSpan w:val="2"/>
            <w:tcBorders>
              <w:top w:val="single" w:color="auto" w:sz="4" w:space="0"/>
              <w:left w:val="nil"/>
              <w:bottom w:val="single" w:color="auto" w:sz="4" w:space="0"/>
              <w:right w:val="single" w:color="000000"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kern w:val="2"/>
                <w:sz w:val="20"/>
                <w:szCs w:val="20"/>
                <w:lang w:val="en-US" w:eastAsia="zh-CN" w:bidi="ar-SA"/>
              </w:rPr>
            </w:pPr>
            <w:r>
              <w:rPr>
                <w:rFonts w:hint="eastAsia" w:ascii="Times New Roman" w:hAnsi="Times New Roman" w:eastAsia="仿宋_GB2312" w:cs="Times New Roman"/>
                <w:sz w:val="20"/>
                <w:szCs w:val="20"/>
                <w:lang w:val="en-US" w:eastAsia="zh-CN"/>
              </w:rPr>
              <w:t>45.76</w:t>
            </w:r>
          </w:p>
        </w:tc>
        <w:tc>
          <w:tcPr>
            <w:tcW w:w="2041" w:type="dxa"/>
            <w:gridSpan w:val="2"/>
            <w:tcBorders>
              <w:top w:val="single" w:color="auto" w:sz="4" w:space="0"/>
              <w:left w:val="nil"/>
              <w:bottom w:val="single" w:color="auto" w:sz="4" w:space="0"/>
              <w:right w:val="single" w:color="000000"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kern w:val="2"/>
                <w:sz w:val="20"/>
                <w:szCs w:val="20"/>
                <w:lang w:val="en-US" w:eastAsia="zh-CN" w:bidi="ar-SA"/>
              </w:rPr>
            </w:pPr>
            <w:r>
              <w:rPr>
                <w:rFonts w:hint="default" w:ascii="Times New Roman" w:hAnsi="Times New Roman" w:eastAsia="仿宋_GB2312" w:cs="Times New Roman"/>
                <w:sz w:val="20"/>
                <w:szCs w:val="20"/>
              </w:rPr>
              <w:t>44.17</w:t>
            </w:r>
          </w:p>
        </w:tc>
      </w:tr>
      <w:tr>
        <w:tblPrEx>
          <w:tblLayout w:type="fixed"/>
          <w:tblCellMar>
            <w:top w:w="0" w:type="dxa"/>
            <w:left w:w="108" w:type="dxa"/>
            <w:bottom w:w="0" w:type="dxa"/>
            <w:right w:w="108" w:type="dxa"/>
          </w:tblCellMar>
        </w:tblPrEx>
        <w:trPr>
          <w:trHeight w:val="0" w:hRule="atLeast"/>
          <w:jc w:val="center"/>
        </w:trPr>
        <w:tc>
          <w:tcPr>
            <w:tcW w:w="3604"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leftChars="0" w:firstLine="418" w:firstLineChars="209"/>
              <w:jc w:val="left"/>
              <w:textAlignment w:val="auto"/>
              <w:rPr>
                <w:rFonts w:hint="default" w:ascii="Times New Roman" w:hAnsi="Times New Roman" w:eastAsia="仿宋_GB2312" w:cs="Times New Roman"/>
                <w:kern w:val="2"/>
                <w:sz w:val="20"/>
                <w:szCs w:val="20"/>
                <w:lang w:val="en-US" w:eastAsia="zh-CN" w:bidi="ar-SA"/>
              </w:rPr>
            </w:pPr>
            <w:r>
              <w:rPr>
                <w:rFonts w:hint="default" w:ascii="Times New Roman" w:hAnsi="Times New Roman" w:eastAsia="仿宋_GB2312" w:cs="Times New Roman"/>
                <w:sz w:val="20"/>
                <w:szCs w:val="20"/>
              </w:rPr>
              <w:t>重要农产品稳产保供</w:t>
            </w:r>
          </w:p>
        </w:tc>
        <w:tc>
          <w:tcPr>
            <w:tcW w:w="1934" w:type="dxa"/>
            <w:gridSpan w:val="2"/>
            <w:tcBorders>
              <w:top w:val="single" w:color="auto" w:sz="4" w:space="0"/>
              <w:left w:val="nil"/>
              <w:bottom w:val="single" w:color="auto" w:sz="4" w:space="0"/>
              <w:right w:val="single" w:color="000000"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kern w:val="2"/>
                <w:sz w:val="20"/>
                <w:szCs w:val="20"/>
                <w:lang w:val="en-US" w:eastAsia="zh-CN" w:bidi="ar-SA"/>
              </w:rPr>
            </w:pPr>
            <w:r>
              <w:rPr>
                <w:rFonts w:hint="eastAsia" w:ascii="Times New Roman" w:hAnsi="Times New Roman" w:eastAsia="仿宋_GB2312" w:cs="Times New Roman"/>
                <w:sz w:val="20"/>
                <w:szCs w:val="20"/>
                <w:lang w:val="en-US" w:eastAsia="zh-CN"/>
              </w:rPr>
              <w:t>0.00</w:t>
            </w:r>
          </w:p>
        </w:tc>
        <w:tc>
          <w:tcPr>
            <w:tcW w:w="2094" w:type="dxa"/>
            <w:gridSpan w:val="2"/>
            <w:tcBorders>
              <w:top w:val="single" w:color="auto" w:sz="4" w:space="0"/>
              <w:left w:val="nil"/>
              <w:bottom w:val="single" w:color="auto" w:sz="4" w:space="0"/>
              <w:right w:val="single" w:color="000000"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kern w:val="2"/>
                <w:sz w:val="20"/>
                <w:szCs w:val="20"/>
                <w:lang w:val="en-US" w:eastAsia="zh-CN" w:bidi="ar-SA"/>
              </w:rPr>
            </w:pPr>
            <w:r>
              <w:rPr>
                <w:rFonts w:hint="eastAsia" w:ascii="Times New Roman" w:hAnsi="Times New Roman" w:eastAsia="仿宋_GB2312" w:cs="Times New Roman"/>
                <w:sz w:val="20"/>
                <w:szCs w:val="20"/>
                <w:lang w:val="en-US" w:eastAsia="zh-CN"/>
              </w:rPr>
              <w:t>40.00</w:t>
            </w:r>
          </w:p>
        </w:tc>
        <w:tc>
          <w:tcPr>
            <w:tcW w:w="2041" w:type="dxa"/>
            <w:gridSpan w:val="2"/>
            <w:tcBorders>
              <w:top w:val="single" w:color="auto" w:sz="4" w:space="0"/>
              <w:left w:val="nil"/>
              <w:bottom w:val="single" w:color="auto" w:sz="4" w:space="0"/>
              <w:right w:val="single" w:color="000000"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kern w:val="2"/>
                <w:sz w:val="20"/>
                <w:szCs w:val="20"/>
                <w:lang w:val="en-US" w:eastAsia="zh-CN" w:bidi="ar-SA"/>
              </w:rPr>
            </w:pPr>
            <w:r>
              <w:rPr>
                <w:rFonts w:hint="default" w:ascii="Times New Roman" w:hAnsi="Times New Roman" w:eastAsia="仿宋_GB2312" w:cs="Times New Roman"/>
                <w:sz w:val="20"/>
                <w:szCs w:val="20"/>
              </w:rPr>
              <w:t>39.51</w:t>
            </w:r>
          </w:p>
        </w:tc>
      </w:tr>
      <w:tr>
        <w:tblPrEx>
          <w:tblLayout w:type="fixed"/>
          <w:tblCellMar>
            <w:top w:w="0" w:type="dxa"/>
            <w:left w:w="108" w:type="dxa"/>
            <w:bottom w:w="0" w:type="dxa"/>
            <w:right w:w="108" w:type="dxa"/>
          </w:tblCellMar>
        </w:tblPrEx>
        <w:trPr>
          <w:trHeight w:val="0" w:hRule="atLeast"/>
          <w:jc w:val="center"/>
        </w:trPr>
        <w:tc>
          <w:tcPr>
            <w:tcW w:w="360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leftChars="0" w:firstLine="418" w:firstLineChars="209"/>
              <w:jc w:val="left"/>
              <w:textAlignment w:val="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农产品质量安全监管</w:t>
            </w:r>
          </w:p>
        </w:tc>
        <w:tc>
          <w:tcPr>
            <w:tcW w:w="193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59.96</w:t>
            </w:r>
          </w:p>
        </w:tc>
        <w:tc>
          <w:tcPr>
            <w:tcW w:w="209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0.04</w:t>
            </w:r>
          </w:p>
        </w:tc>
        <w:tc>
          <w:tcPr>
            <w:tcW w:w="204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0.04</w:t>
            </w:r>
          </w:p>
        </w:tc>
      </w:tr>
      <w:tr>
        <w:tblPrEx>
          <w:tblLayout w:type="fixed"/>
          <w:tblCellMar>
            <w:top w:w="0" w:type="dxa"/>
            <w:left w:w="108" w:type="dxa"/>
            <w:bottom w:w="0" w:type="dxa"/>
            <w:right w:w="108" w:type="dxa"/>
          </w:tblCellMar>
        </w:tblPrEx>
        <w:trPr>
          <w:trHeight w:val="0" w:hRule="atLeast"/>
          <w:jc w:val="center"/>
        </w:trPr>
        <w:tc>
          <w:tcPr>
            <w:tcW w:w="360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leftChars="0" w:firstLine="418" w:firstLineChars="209"/>
              <w:jc w:val="left"/>
              <w:textAlignment w:val="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创新型省份建设</w:t>
            </w:r>
          </w:p>
        </w:tc>
        <w:tc>
          <w:tcPr>
            <w:tcW w:w="193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0.00</w:t>
            </w:r>
          </w:p>
        </w:tc>
        <w:tc>
          <w:tcPr>
            <w:tcW w:w="209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25.00</w:t>
            </w:r>
          </w:p>
        </w:tc>
        <w:tc>
          <w:tcPr>
            <w:tcW w:w="204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25.00</w:t>
            </w:r>
          </w:p>
        </w:tc>
      </w:tr>
      <w:tr>
        <w:tblPrEx>
          <w:tblLayout w:type="fixed"/>
          <w:tblCellMar>
            <w:top w:w="0" w:type="dxa"/>
            <w:left w:w="108" w:type="dxa"/>
            <w:bottom w:w="0" w:type="dxa"/>
            <w:right w:w="108" w:type="dxa"/>
          </w:tblCellMar>
        </w:tblPrEx>
        <w:trPr>
          <w:trHeight w:val="0" w:hRule="atLeast"/>
          <w:jc w:val="center"/>
        </w:trPr>
        <w:tc>
          <w:tcPr>
            <w:tcW w:w="3604"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leftChars="0" w:firstLine="418" w:firstLineChars="209"/>
              <w:jc w:val="left"/>
              <w:textAlignment w:val="auto"/>
              <w:rPr>
                <w:rFonts w:hint="default" w:ascii="Times New Roman" w:hAnsi="Times New Roman" w:eastAsia="仿宋_GB2312" w:cs="Times New Roman"/>
                <w:kern w:val="2"/>
                <w:sz w:val="20"/>
                <w:szCs w:val="20"/>
                <w:lang w:val="en-US" w:eastAsia="zh-CN" w:bidi="ar-SA"/>
              </w:rPr>
            </w:pPr>
            <w:r>
              <w:rPr>
                <w:rFonts w:hint="default" w:ascii="Times New Roman" w:hAnsi="Times New Roman" w:eastAsia="仿宋_GB2312" w:cs="Times New Roman"/>
                <w:sz w:val="20"/>
                <w:szCs w:val="20"/>
              </w:rPr>
              <w:t>市场监督管理专项</w:t>
            </w:r>
          </w:p>
        </w:tc>
        <w:tc>
          <w:tcPr>
            <w:tcW w:w="1934" w:type="dxa"/>
            <w:gridSpan w:val="2"/>
            <w:tcBorders>
              <w:top w:val="single" w:color="auto" w:sz="4" w:space="0"/>
              <w:left w:val="nil"/>
              <w:bottom w:val="single" w:color="auto" w:sz="4" w:space="0"/>
              <w:right w:val="single" w:color="000000"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Times New Roman"/>
                <w:kern w:val="2"/>
                <w:sz w:val="20"/>
                <w:szCs w:val="20"/>
                <w:lang w:val="en-US" w:eastAsia="zh-CN" w:bidi="ar-SA"/>
              </w:rPr>
            </w:pPr>
            <w:r>
              <w:rPr>
                <w:rFonts w:hint="eastAsia" w:ascii="Times New Roman" w:hAnsi="Times New Roman" w:eastAsia="仿宋_GB2312" w:cs="Times New Roman"/>
                <w:sz w:val="20"/>
                <w:szCs w:val="20"/>
                <w:lang w:val="en-US" w:eastAsia="zh-CN"/>
              </w:rPr>
              <w:t>0.00</w:t>
            </w:r>
          </w:p>
        </w:tc>
        <w:tc>
          <w:tcPr>
            <w:tcW w:w="2094" w:type="dxa"/>
            <w:gridSpan w:val="2"/>
            <w:tcBorders>
              <w:top w:val="single" w:color="auto" w:sz="4" w:space="0"/>
              <w:left w:val="nil"/>
              <w:bottom w:val="single" w:color="auto" w:sz="4" w:space="0"/>
              <w:right w:val="single" w:color="000000"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Times New Roman"/>
                <w:kern w:val="2"/>
                <w:sz w:val="20"/>
                <w:szCs w:val="20"/>
                <w:lang w:val="en-US" w:eastAsia="zh-CN" w:bidi="ar-SA"/>
              </w:rPr>
            </w:pPr>
            <w:r>
              <w:rPr>
                <w:rFonts w:hint="eastAsia" w:ascii="Times New Roman" w:hAnsi="Times New Roman" w:eastAsia="仿宋_GB2312" w:cs="Times New Roman"/>
                <w:sz w:val="20"/>
                <w:szCs w:val="20"/>
                <w:lang w:val="en-US" w:eastAsia="zh-CN"/>
              </w:rPr>
              <w:t>10.00</w:t>
            </w:r>
          </w:p>
        </w:tc>
        <w:tc>
          <w:tcPr>
            <w:tcW w:w="2041" w:type="dxa"/>
            <w:gridSpan w:val="2"/>
            <w:tcBorders>
              <w:top w:val="single" w:color="auto" w:sz="4" w:space="0"/>
              <w:left w:val="nil"/>
              <w:bottom w:val="single" w:color="auto" w:sz="4" w:space="0"/>
              <w:right w:val="single" w:color="000000"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kern w:val="2"/>
                <w:sz w:val="20"/>
                <w:szCs w:val="20"/>
                <w:lang w:val="en-US" w:eastAsia="zh-CN" w:bidi="ar-SA"/>
              </w:rPr>
            </w:pPr>
            <w:r>
              <w:rPr>
                <w:rFonts w:hint="eastAsia" w:ascii="Times New Roman" w:hAnsi="Times New Roman" w:eastAsia="仿宋_GB2312" w:cs="Times New Roman"/>
                <w:sz w:val="20"/>
                <w:szCs w:val="20"/>
                <w:lang w:val="en-US" w:eastAsia="zh-CN"/>
              </w:rPr>
              <w:t>5.08</w:t>
            </w:r>
          </w:p>
        </w:tc>
      </w:tr>
      <w:tr>
        <w:tblPrEx>
          <w:tblLayout w:type="fixed"/>
          <w:tblCellMar>
            <w:top w:w="0" w:type="dxa"/>
            <w:left w:w="108" w:type="dxa"/>
            <w:bottom w:w="0" w:type="dxa"/>
            <w:right w:w="108" w:type="dxa"/>
          </w:tblCellMar>
        </w:tblPrEx>
        <w:trPr>
          <w:trHeight w:val="0" w:hRule="atLeast"/>
          <w:jc w:val="center"/>
        </w:trPr>
        <w:tc>
          <w:tcPr>
            <w:tcW w:w="360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leftChars="0" w:firstLine="418" w:firstLineChars="209"/>
              <w:jc w:val="left"/>
              <w:textAlignment w:val="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软件购置</w:t>
            </w:r>
          </w:p>
        </w:tc>
        <w:tc>
          <w:tcPr>
            <w:tcW w:w="193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0.00</w:t>
            </w:r>
          </w:p>
        </w:tc>
        <w:tc>
          <w:tcPr>
            <w:tcW w:w="209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100.00</w:t>
            </w:r>
          </w:p>
        </w:tc>
        <w:tc>
          <w:tcPr>
            <w:tcW w:w="204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0.00</w:t>
            </w:r>
          </w:p>
        </w:tc>
      </w:tr>
      <w:tr>
        <w:tblPrEx>
          <w:tblLayout w:type="fixed"/>
          <w:tblCellMar>
            <w:top w:w="0" w:type="dxa"/>
            <w:left w:w="108" w:type="dxa"/>
            <w:bottom w:w="0" w:type="dxa"/>
            <w:right w:w="108" w:type="dxa"/>
          </w:tblCellMar>
        </w:tblPrEx>
        <w:trPr>
          <w:trHeight w:val="0" w:hRule="atLeast"/>
          <w:jc w:val="center"/>
        </w:trPr>
        <w:tc>
          <w:tcPr>
            <w:tcW w:w="360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公用经费</w:t>
            </w:r>
          </w:p>
        </w:tc>
        <w:tc>
          <w:tcPr>
            <w:tcW w:w="193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34.28</w:t>
            </w:r>
          </w:p>
        </w:tc>
        <w:tc>
          <w:tcPr>
            <w:tcW w:w="209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45.03</w:t>
            </w:r>
          </w:p>
        </w:tc>
        <w:tc>
          <w:tcPr>
            <w:tcW w:w="204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42.06</w:t>
            </w:r>
          </w:p>
        </w:tc>
      </w:tr>
      <w:tr>
        <w:tblPrEx>
          <w:tblLayout w:type="fixed"/>
          <w:tblCellMar>
            <w:top w:w="0" w:type="dxa"/>
            <w:left w:w="108" w:type="dxa"/>
            <w:bottom w:w="0" w:type="dxa"/>
            <w:right w:w="108" w:type="dxa"/>
          </w:tblCellMar>
        </w:tblPrEx>
        <w:trPr>
          <w:trHeight w:val="0" w:hRule="atLeast"/>
          <w:jc w:val="center"/>
        </w:trPr>
        <w:tc>
          <w:tcPr>
            <w:tcW w:w="360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leftChars="0" w:firstLine="220" w:firstLineChars="110"/>
              <w:jc w:val="left"/>
              <w:textAlignment w:val="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其中：办公经费</w:t>
            </w:r>
          </w:p>
        </w:tc>
        <w:tc>
          <w:tcPr>
            <w:tcW w:w="193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1.44</w:t>
            </w:r>
          </w:p>
        </w:tc>
        <w:tc>
          <w:tcPr>
            <w:tcW w:w="209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1.00</w:t>
            </w:r>
          </w:p>
        </w:tc>
        <w:tc>
          <w:tcPr>
            <w:tcW w:w="204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1.00</w:t>
            </w:r>
          </w:p>
        </w:tc>
      </w:tr>
      <w:tr>
        <w:tblPrEx>
          <w:tblLayout w:type="fixed"/>
          <w:tblCellMar>
            <w:top w:w="0" w:type="dxa"/>
            <w:left w:w="108" w:type="dxa"/>
            <w:bottom w:w="0" w:type="dxa"/>
            <w:right w:w="108" w:type="dxa"/>
          </w:tblCellMar>
        </w:tblPrEx>
        <w:trPr>
          <w:trHeight w:val="0" w:hRule="atLeast"/>
          <w:jc w:val="center"/>
        </w:trPr>
        <w:tc>
          <w:tcPr>
            <w:tcW w:w="360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leftChars="0" w:firstLine="640" w:firstLineChars="320"/>
              <w:jc w:val="left"/>
              <w:textAlignment w:val="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水费、电费、差旅费</w:t>
            </w:r>
          </w:p>
        </w:tc>
        <w:tc>
          <w:tcPr>
            <w:tcW w:w="193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0.00</w:t>
            </w:r>
          </w:p>
        </w:tc>
        <w:tc>
          <w:tcPr>
            <w:tcW w:w="209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0.00</w:t>
            </w:r>
          </w:p>
        </w:tc>
        <w:tc>
          <w:tcPr>
            <w:tcW w:w="204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0.00</w:t>
            </w:r>
          </w:p>
        </w:tc>
      </w:tr>
      <w:tr>
        <w:tblPrEx>
          <w:tblLayout w:type="fixed"/>
          <w:tblCellMar>
            <w:top w:w="0" w:type="dxa"/>
            <w:left w:w="108" w:type="dxa"/>
            <w:bottom w:w="0" w:type="dxa"/>
            <w:right w:w="108" w:type="dxa"/>
          </w:tblCellMar>
        </w:tblPrEx>
        <w:trPr>
          <w:trHeight w:val="0" w:hRule="atLeast"/>
          <w:jc w:val="center"/>
        </w:trPr>
        <w:tc>
          <w:tcPr>
            <w:tcW w:w="360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ind w:left="0" w:leftChars="0" w:firstLine="640" w:firstLineChars="320"/>
              <w:jc w:val="left"/>
              <w:textAlignment w:val="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会议费、培训费</w:t>
            </w:r>
          </w:p>
        </w:tc>
        <w:tc>
          <w:tcPr>
            <w:tcW w:w="193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0.00</w:t>
            </w:r>
          </w:p>
        </w:tc>
        <w:tc>
          <w:tcPr>
            <w:tcW w:w="209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0.00</w:t>
            </w:r>
          </w:p>
        </w:tc>
        <w:tc>
          <w:tcPr>
            <w:tcW w:w="204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color w:val="auto"/>
                <w:sz w:val="20"/>
                <w:szCs w:val="20"/>
                <w:lang w:val="en-US" w:eastAsia="zh-CN"/>
              </w:rPr>
            </w:pPr>
            <w:r>
              <w:rPr>
                <w:rFonts w:hint="eastAsia" w:ascii="Times New Roman" w:hAnsi="Times New Roman" w:eastAsia="仿宋_GB2312" w:cs="Times New Roman"/>
                <w:color w:val="auto"/>
                <w:sz w:val="20"/>
                <w:szCs w:val="20"/>
                <w:lang w:val="en-US" w:eastAsia="zh-CN"/>
              </w:rPr>
              <w:t>0.00</w:t>
            </w:r>
          </w:p>
        </w:tc>
      </w:tr>
      <w:tr>
        <w:tblPrEx>
          <w:tblLayout w:type="fixed"/>
          <w:tblCellMar>
            <w:top w:w="0" w:type="dxa"/>
            <w:left w:w="108" w:type="dxa"/>
            <w:bottom w:w="0" w:type="dxa"/>
            <w:right w:w="108" w:type="dxa"/>
          </w:tblCellMar>
        </w:tblPrEx>
        <w:trPr>
          <w:trHeight w:val="0" w:hRule="atLeast"/>
          <w:jc w:val="center"/>
        </w:trPr>
        <w:tc>
          <w:tcPr>
            <w:tcW w:w="360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政府采购金额</w:t>
            </w:r>
          </w:p>
        </w:tc>
        <w:tc>
          <w:tcPr>
            <w:tcW w:w="193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w:t>
            </w:r>
          </w:p>
        </w:tc>
        <w:tc>
          <w:tcPr>
            <w:tcW w:w="209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238.85</w:t>
            </w:r>
          </w:p>
        </w:tc>
      </w:tr>
      <w:tr>
        <w:tblPrEx>
          <w:tblLayout w:type="fixed"/>
          <w:tblCellMar>
            <w:top w:w="0" w:type="dxa"/>
            <w:left w:w="108" w:type="dxa"/>
            <w:bottom w:w="0" w:type="dxa"/>
            <w:right w:w="108" w:type="dxa"/>
          </w:tblCellMar>
        </w:tblPrEx>
        <w:trPr>
          <w:trHeight w:val="0" w:hRule="atLeast"/>
          <w:jc w:val="center"/>
        </w:trPr>
        <w:tc>
          <w:tcPr>
            <w:tcW w:w="360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部门基本支出预算调整 </w:t>
            </w:r>
          </w:p>
        </w:tc>
        <w:tc>
          <w:tcPr>
            <w:tcW w:w="193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w:t>
            </w:r>
          </w:p>
        </w:tc>
        <w:tc>
          <w:tcPr>
            <w:tcW w:w="2094"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0.00</w:t>
            </w:r>
          </w:p>
        </w:tc>
        <w:tc>
          <w:tcPr>
            <w:tcW w:w="2041"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0.00</w:t>
            </w:r>
          </w:p>
        </w:tc>
      </w:tr>
      <w:tr>
        <w:tblPrEx>
          <w:tblLayout w:type="fixed"/>
          <w:tblCellMar>
            <w:top w:w="0" w:type="dxa"/>
            <w:left w:w="108" w:type="dxa"/>
            <w:bottom w:w="0" w:type="dxa"/>
            <w:right w:w="108" w:type="dxa"/>
          </w:tblCellMar>
        </w:tblPrEx>
        <w:trPr>
          <w:trHeight w:val="586" w:hRule="atLeast"/>
          <w:jc w:val="center"/>
        </w:trPr>
        <w:tc>
          <w:tcPr>
            <w:tcW w:w="3604"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楼堂馆所控制情况</w:t>
            </w:r>
            <w:r>
              <w:rPr>
                <w:rFonts w:hint="default" w:ascii="Times New Roman" w:hAnsi="Times New Roman" w:eastAsia="仿宋_GB2312" w:cs="Times New Roman"/>
                <w:sz w:val="20"/>
                <w:szCs w:val="20"/>
              </w:rPr>
              <w:br w:type="textWrapping"/>
            </w:r>
            <w:r>
              <w:rPr>
                <w:rFonts w:hint="default" w:ascii="Times New Roman" w:hAnsi="Times New Roman" w:eastAsia="仿宋_GB2312" w:cs="Times New Roman"/>
                <w:sz w:val="20"/>
                <w:szCs w:val="20"/>
              </w:rPr>
              <w:t>（202</w:t>
            </w:r>
            <w:r>
              <w:rPr>
                <w:rFonts w:hint="eastAsia" w:ascii="Times New Roman" w:hAnsi="Times New Roman" w:eastAsia="仿宋_GB2312" w:cs="Times New Roman"/>
                <w:sz w:val="20"/>
                <w:szCs w:val="20"/>
                <w:lang w:val="en-US" w:eastAsia="zh-CN"/>
              </w:rPr>
              <w:t>3</w:t>
            </w:r>
            <w:r>
              <w:rPr>
                <w:rFonts w:hint="default" w:ascii="Times New Roman" w:hAnsi="Times New Roman" w:eastAsia="仿宋_GB2312" w:cs="Times New Roman"/>
                <w:sz w:val="20"/>
                <w:szCs w:val="20"/>
              </w:rPr>
              <w:t>年完工项目）</w:t>
            </w:r>
          </w:p>
        </w:tc>
        <w:tc>
          <w:tcPr>
            <w:tcW w:w="10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批复规模</w:t>
            </w:r>
            <w:r>
              <w:rPr>
                <w:rFonts w:hint="default" w:ascii="Times New Roman" w:hAnsi="Times New Roman" w:eastAsia="仿宋_GB2312" w:cs="Times New Roman"/>
                <w:bCs/>
                <w:sz w:val="20"/>
                <w:szCs w:val="20"/>
              </w:rPr>
              <w:br w:type="textWrapping"/>
            </w:r>
            <w:r>
              <w:rPr>
                <w:rFonts w:hint="default" w:ascii="Times New Roman" w:hAnsi="Times New Roman" w:eastAsia="仿宋_GB2312" w:cs="Times New Roman"/>
                <w:bCs/>
                <w:sz w:val="20"/>
                <w:szCs w:val="20"/>
              </w:rPr>
              <w:t>（</w:t>
            </w:r>
            <w:r>
              <w:rPr>
                <w:rFonts w:hint="default" w:ascii="Times New Roman" w:hAnsi="Times New Roman" w:cs="Times New Roman"/>
                <w:bCs/>
                <w:sz w:val="20"/>
                <w:szCs w:val="20"/>
              </w:rPr>
              <w:t>㎡</w:t>
            </w:r>
            <w:r>
              <w:rPr>
                <w:rFonts w:hint="default" w:ascii="Times New Roman" w:hAnsi="Times New Roman" w:eastAsia="仿宋_GB2312" w:cs="Times New Roman"/>
                <w:bCs/>
                <w:sz w:val="20"/>
                <w:szCs w:val="20"/>
              </w:rPr>
              <w:t>）</w:t>
            </w:r>
          </w:p>
        </w:tc>
        <w:tc>
          <w:tcPr>
            <w:tcW w:w="9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实际规模（</w:t>
            </w:r>
            <w:r>
              <w:rPr>
                <w:rFonts w:hint="default" w:ascii="Times New Roman" w:hAnsi="Times New Roman" w:cs="Times New Roman"/>
                <w:bCs/>
                <w:sz w:val="20"/>
                <w:szCs w:val="20"/>
              </w:rPr>
              <w:t>㎡</w:t>
            </w:r>
            <w:r>
              <w:rPr>
                <w:rFonts w:hint="default" w:ascii="Times New Roman" w:hAnsi="Times New Roman" w:eastAsia="仿宋_GB2312" w:cs="Times New Roman"/>
                <w:bCs/>
                <w:sz w:val="20"/>
                <w:szCs w:val="20"/>
              </w:rPr>
              <w:t>）</w:t>
            </w:r>
          </w:p>
        </w:tc>
        <w:tc>
          <w:tcPr>
            <w:tcW w:w="98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规模控制率</w:t>
            </w:r>
          </w:p>
        </w:tc>
        <w:tc>
          <w:tcPr>
            <w:tcW w:w="111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预算投资（万元）</w:t>
            </w:r>
          </w:p>
        </w:tc>
        <w:tc>
          <w:tcPr>
            <w:tcW w:w="102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实际投资（万元）</w:t>
            </w:r>
          </w:p>
        </w:tc>
        <w:tc>
          <w:tcPr>
            <w:tcW w:w="10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投资概算控制率</w:t>
            </w:r>
          </w:p>
        </w:tc>
      </w:tr>
      <w:tr>
        <w:tblPrEx>
          <w:tblLayout w:type="fixed"/>
          <w:tblCellMar>
            <w:top w:w="0" w:type="dxa"/>
            <w:left w:w="108" w:type="dxa"/>
            <w:bottom w:w="0" w:type="dxa"/>
            <w:right w:w="108" w:type="dxa"/>
          </w:tblCellMar>
        </w:tblPrEx>
        <w:trPr>
          <w:trHeight w:val="0" w:hRule="atLeast"/>
          <w:jc w:val="center"/>
        </w:trPr>
        <w:tc>
          <w:tcPr>
            <w:tcW w:w="3604"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仿宋_GB2312" w:cs="Times New Roman"/>
                <w:sz w:val="20"/>
                <w:szCs w:val="20"/>
              </w:rPr>
            </w:pPr>
          </w:p>
        </w:tc>
        <w:tc>
          <w:tcPr>
            <w:tcW w:w="10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Times New Roman" w:hAnsi="Times New Roman" w:eastAsia="仿宋_GB2312" w:cs="Times New Roman"/>
                <w:sz w:val="20"/>
                <w:szCs w:val="20"/>
                <w:lang w:eastAsia="zh-CN"/>
              </w:rPr>
            </w:pPr>
            <w:r>
              <w:rPr>
                <w:rFonts w:hint="eastAsia" w:ascii="Times New Roman" w:hAnsi="Times New Roman" w:eastAsia="仿宋_GB2312" w:cs="Times New Roman"/>
                <w:sz w:val="20"/>
                <w:szCs w:val="20"/>
                <w:lang w:val="en-US" w:eastAsia="zh-CN"/>
              </w:rPr>
              <w:t>0</w:t>
            </w:r>
          </w:p>
        </w:tc>
        <w:tc>
          <w:tcPr>
            <w:tcW w:w="9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imes New Roman" w:hAnsi="Times New Roman" w:eastAsia="仿宋_GB2312" w:cs="Times New Roman"/>
                <w:sz w:val="20"/>
                <w:szCs w:val="20"/>
                <w:lang w:eastAsia="zh-CN"/>
              </w:rPr>
            </w:pPr>
            <w:r>
              <w:rPr>
                <w:rFonts w:hint="eastAsia" w:ascii="Times New Roman" w:hAnsi="Times New Roman" w:eastAsia="仿宋_GB2312" w:cs="Times New Roman"/>
                <w:sz w:val="20"/>
                <w:szCs w:val="20"/>
                <w:lang w:val="en-US" w:eastAsia="zh-CN"/>
              </w:rPr>
              <w:t>0</w:t>
            </w:r>
          </w:p>
        </w:tc>
        <w:tc>
          <w:tcPr>
            <w:tcW w:w="98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imes New Roman" w:hAnsi="Times New Roman" w:eastAsia="仿宋_GB2312" w:cs="Times New Roman"/>
                <w:sz w:val="20"/>
                <w:szCs w:val="20"/>
                <w:lang w:eastAsia="zh-CN"/>
              </w:rPr>
            </w:pPr>
            <w:r>
              <w:rPr>
                <w:rFonts w:hint="eastAsia" w:ascii="Times New Roman" w:hAnsi="Times New Roman" w:eastAsia="仿宋_GB2312" w:cs="Times New Roman"/>
                <w:sz w:val="20"/>
                <w:szCs w:val="20"/>
                <w:lang w:val="en-US" w:eastAsia="zh-CN"/>
              </w:rPr>
              <w:t>0</w:t>
            </w:r>
          </w:p>
        </w:tc>
        <w:tc>
          <w:tcPr>
            <w:tcW w:w="111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imes New Roman" w:hAnsi="Times New Roman" w:eastAsia="仿宋_GB2312" w:cs="Times New Roman"/>
                <w:sz w:val="20"/>
                <w:szCs w:val="20"/>
                <w:lang w:eastAsia="zh-CN"/>
              </w:rPr>
            </w:pPr>
            <w:r>
              <w:rPr>
                <w:rFonts w:hint="eastAsia" w:ascii="Times New Roman" w:hAnsi="Times New Roman" w:eastAsia="仿宋_GB2312" w:cs="Times New Roman"/>
                <w:sz w:val="20"/>
                <w:szCs w:val="20"/>
                <w:lang w:val="en-US" w:eastAsia="zh-CN"/>
              </w:rPr>
              <w:t>0</w:t>
            </w:r>
          </w:p>
        </w:tc>
        <w:tc>
          <w:tcPr>
            <w:tcW w:w="102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imes New Roman" w:hAnsi="Times New Roman" w:eastAsia="仿宋_GB2312" w:cs="Times New Roman"/>
                <w:sz w:val="20"/>
                <w:szCs w:val="20"/>
                <w:lang w:eastAsia="zh-CN"/>
              </w:rPr>
            </w:pPr>
            <w:r>
              <w:rPr>
                <w:rFonts w:hint="eastAsia" w:ascii="Times New Roman" w:hAnsi="Times New Roman" w:eastAsia="仿宋_GB2312" w:cs="Times New Roman"/>
                <w:sz w:val="20"/>
                <w:szCs w:val="20"/>
                <w:lang w:val="en-US" w:eastAsia="zh-CN"/>
              </w:rPr>
              <w:t>0</w:t>
            </w:r>
          </w:p>
        </w:tc>
        <w:tc>
          <w:tcPr>
            <w:tcW w:w="10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imes New Roman" w:hAnsi="Times New Roman" w:eastAsia="仿宋_GB2312" w:cs="Times New Roman"/>
                <w:sz w:val="20"/>
                <w:szCs w:val="20"/>
                <w:lang w:eastAsia="zh-CN"/>
              </w:rPr>
            </w:pPr>
            <w:r>
              <w:rPr>
                <w:rFonts w:hint="eastAsia" w:ascii="Times New Roman" w:hAnsi="Times New Roman" w:eastAsia="仿宋_GB2312" w:cs="Times New Roman"/>
                <w:sz w:val="20"/>
                <w:szCs w:val="20"/>
                <w:lang w:val="en-US" w:eastAsia="zh-CN"/>
              </w:rPr>
              <w:t>0</w:t>
            </w:r>
          </w:p>
        </w:tc>
      </w:tr>
      <w:tr>
        <w:tblPrEx>
          <w:tblLayout w:type="fixed"/>
          <w:tblCellMar>
            <w:top w:w="0" w:type="dxa"/>
            <w:left w:w="108" w:type="dxa"/>
            <w:bottom w:w="0" w:type="dxa"/>
            <w:right w:w="108" w:type="dxa"/>
          </w:tblCellMar>
        </w:tblPrEx>
        <w:trPr>
          <w:trHeight w:val="0" w:hRule="atLeast"/>
          <w:jc w:val="center"/>
        </w:trPr>
        <w:tc>
          <w:tcPr>
            <w:tcW w:w="360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厉行节约保障措施</w:t>
            </w:r>
          </w:p>
        </w:tc>
        <w:tc>
          <w:tcPr>
            <w:tcW w:w="6069" w:type="dxa"/>
            <w:gridSpan w:val="6"/>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bl>
    <w:p>
      <w:pPr>
        <w:keepNext w:val="0"/>
        <w:keepLines w:val="0"/>
        <w:pageBreakBefore w:val="0"/>
        <w:widowControl/>
        <w:kinsoku/>
        <w:wordWrap/>
        <w:overflowPunct/>
        <w:topLinePunct w:val="0"/>
        <w:autoSpaceDE/>
        <w:autoSpaceDN/>
        <w:bidi w:val="0"/>
        <w:adjustRightInd/>
        <w:snapToGrid/>
        <w:spacing w:afterLines="0" w:line="320" w:lineRule="exact"/>
        <w:jc w:val="left"/>
        <w:textAlignment w:val="auto"/>
        <w:rPr>
          <w:rFonts w:hint="default" w:ascii="Times New Roman" w:hAnsi="Times New Roman" w:eastAsia="仿宋_GB2312" w:cs="Times New Roman"/>
          <w:sz w:val="22"/>
        </w:rPr>
      </w:pPr>
      <w:r>
        <w:rPr>
          <w:rFonts w:hint="default" w:ascii="Times New Roman" w:hAnsi="Times New Roman" w:eastAsia="仿宋_GB2312" w:cs="Times New Roman"/>
          <w:sz w:val="22"/>
        </w:rPr>
        <w:t>说明：“项目支出”需要填报基本支出以外的所有项目支出情况，“公用经费”填报基本支出中的一般商品和服务支出。</w:t>
      </w:r>
    </w:p>
    <w:p>
      <w:pPr>
        <w:widowControl/>
        <w:spacing w:afterLines="0" w:line="400" w:lineRule="exact"/>
        <w:jc w:val="left"/>
        <w:rPr>
          <w:rFonts w:hint="default" w:ascii="Times New Roman" w:hAnsi="Times New Roman" w:eastAsia="仿宋_GB2312" w:cs="Times New Roman"/>
          <w:sz w:val="22"/>
        </w:rPr>
      </w:pPr>
    </w:p>
    <w:p>
      <w:pPr>
        <w:widowControl/>
        <w:spacing w:after="0" w:afterLines="0" w:line="400" w:lineRule="exact"/>
        <w:jc w:val="left"/>
        <w:rPr>
          <w:rFonts w:hint="eastAsia" w:ascii="Times New Roman" w:hAnsi="Times New Roman" w:eastAsia="黑体" w:cs="Times New Roman"/>
          <w:sz w:val="32"/>
          <w:szCs w:val="32"/>
          <w:lang w:eastAsia="zh-CN"/>
        </w:rPr>
      </w:pPr>
      <w:r>
        <w:rPr>
          <w:rFonts w:hint="default" w:ascii="Times New Roman" w:hAnsi="Times New Roman" w:eastAsia="仿宋_GB2312" w:cs="Times New Roman"/>
          <w:sz w:val="22"/>
        </w:rPr>
        <w:t>填表人：        填报日期：          联系电话：            单位负责人签字：</w:t>
      </w:r>
      <w:r>
        <w:rPr>
          <w:rFonts w:hint="default" w:ascii="Times New Roman" w:hAnsi="Times New Roman" w:eastAsia="仿宋_GB2312" w:cs="Times New Roman"/>
          <w:sz w:val="22"/>
        </w:rPr>
        <w:br w:type="page"/>
      </w:r>
    </w:p>
    <w:p>
      <w:pPr>
        <w:widowControl/>
        <w:spacing w:after="120" w:afterLines="50"/>
        <w:jc w:val="center"/>
        <w:rPr>
          <w:rFonts w:hint="default" w:ascii="Times New Roman" w:hAnsi="Times New Roman" w:eastAsia="方正小标宋_GBK" w:cs="Times New Roman"/>
          <w:color w:val="000000"/>
          <w:sz w:val="36"/>
          <w:szCs w:val="36"/>
        </w:rPr>
      </w:pPr>
      <w:r>
        <w:rPr>
          <w:rFonts w:hint="eastAsia" w:ascii="仿宋" w:hAnsi="仿宋" w:eastAsia="仿宋" w:cs="仿宋"/>
          <w:sz w:val="36"/>
          <w:szCs w:val="36"/>
        </w:rPr>
        <w:t>2023年度部门整体支出绩效自评表</w:t>
      </w:r>
    </w:p>
    <w:tbl>
      <w:tblPr>
        <w:tblStyle w:val="10"/>
        <w:tblW w:w="10079" w:type="dxa"/>
        <w:jc w:val="center"/>
        <w:tblInd w:w="0" w:type="dxa"/>
        <w:tblLayout w:type="fixed"/>
        <w:tblCellMar>
          <w:top w:w="0" w:type="dxa"/>
          <w:left w:w="108" w:type="dxa"/>
          <w:bottom w:w="0" w:type="dxa"/>
          <w:right w:w="108" w:type="dxa"/>
        </w:tblCellMar>
      </w:tblPr>
      <w:tblGrid>
        <w:gridCol w:w="991"/>
        <w:gridCol w:w="866"/>
        <w:gridCol w:w="817"/>
        <w:gridCol w:w="2067"/>
        <w:gridCol w:w="1283"/>
        <w:gridCol w:w="1067"/>
        <w:gridCol w:w="669"/>
        <w:gridCol w:w="831"/>
        <w:gridCol w:w="1488"/>
      </w:tblGrid>
      <w:tr>
        <w:tblPrEx>
          <w:tblLayout w:type="fixed"/>
          <w:tblCellMar>
            <w:top w:w="0" w:type="dxa"/>
            <w:left w:w="108" w:type="dxa"/>
            <w:bottom w:w="0" w:type="dxa"/>
            <w:right w:w="108" w:type="dxa"/>
          </w:tblCellMar>
        </w:tblPrEx>
        <w:trPr>
          <w:jc w:val="center"/>
        </w:trPr>
        <w:tc>
          <w:tcPr>
            <w:tcW w:w="2674"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省级预算部门</w:t>
            </w:r>
            <w:r>
              <w:rPr>
                <w:rFonts w:hint="eastAsia" w:ascii="Times New Roman" w:hAnsi="Times New Roman" w:eastAsia="仿宋_GB2312" w:cs="Times New Roman"/>
                <w:color w:val="000000"/>
                <w:sz w:val="20"/>
                <w:szCs w:val="20"/>
                <w:lang w:eastAsia="zh-CN"/>
              </w:rPr>
              <w:t>、单位</w:t>
            </w:r>
            <w:r>
              <w:rPr>
                <w:rFonts w:hint="default" w:ascii="Times New Roman" w:hAnsi="Times New Roman" w:eastAsia="仿宋_GB2312" w:cs="Times New Roman"/>
                <w:color w:val="000000"/>
                <w:sz w:val="20"/>
                <w:szCs w:val="20"/>
              </w:rPr>
              <w:t>名称</w:t>
            </w:r>
          </w:p>
        </w:tc>
        <w:tc>
          <w:tcPr>
            <w:tcW w:w="7405"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湖南省兽药饲料监察所</w:t>
            </w:r>
          </w:p>
        </w:tc>
      </w:tr>
      <w:tr>
        <w:tblPrEx>
          <w:tblLayout w:type="fixed"/>
          <w:tblCellMar>
            <w:top w:w="0" w:type="dxa"/>
            <w:left w:w="108" w:type="dxa"/>
            <w:bottom w:w="0" w:type="dxa"/>
            <w:right w:w="108" w:type="dxa"/>
          </w:tblCellMar>
        </w:tblPrEx>
        <w:trPr>
          <w:jc w:val="center"/>
        </w:trPr>
        <w:tc>
          <w:tcPr>
            <w:tcW w:w="991" w:type="dxa"/>
            <w:vMerge w:val="restart"/>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年度预</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算申请</w:t>
            </w:r>
            <w:r>
              <w:rPr>
                <w:rFonts w:hint="default" w:ascii="Times New Roman" w:hAnsi="Times New Roman" w:eastAsia="仿宋_GB2312" w:cs="Times New Roman"/>
                <w:color w:val="000000"/>
                <w:sz w:val="20"/>
                <w:szCs w:val="20"/>
              </w:rPr>
              <w:br w:type="textWrapping"/>
            </w:r>
            <w:r>
              <w:rPr>
                <w:rFonts w:hint="default" w:ascii="Times New Roman" w:hAnsi="Times New Roman" w:eastAsia="仿宋_GB2312" w:cs="Times New Roman"/>
                <w:color w:val="000000"/>
                <w:sz w:val="20"/>
                <w:szCs w:val="20"/>
              </w:rPr>
              <w:t>（万元）</w:t>
            </w:r>
          </w:p>
        </w:tc>
        <w:tc>
          <w:tcPr>
            <w:tcW w:w="1683"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p>
        </w:tc>
        <w:tc>
          <w:tcPr>
            <w:tcW w:w="2067"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年初预算数</w:t>
            </w:r>
          </w:p>
        </w:tc>
        <w:tc>
          <w:tcPr>
            <w:tcW w:w="1283"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全年预算数</w:t>
            </w:r>
          </w:p>
        </w:tc>
        <w:tc>
          <w:tcPr>
            <w:tcW w:w="1067"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全年执行数</w:t>
            </w:r>
          </w:p>
        </w:tc>
        <w:tc>
          <w:tcPr>
            <w:tcW w:w="669"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分值</w:t>
            </w:r>
          </w:p>
        </w:tc>
        <w:tc>
          <w:tcPr>
            <w:tcW w:w="831"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执行率</w:t>
            </w:r>
          </w:p>
        </w:tc>
        <w:tc>
          <w:tcPr>
            <w:tcW w:w="1488"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eastAsia="zh-CN"/>
              </w:rPr>
              <w:t>自评</w:t>
            </w:r>
            <w:r>
              <w:rPr>
                <w:rFonts w:hint="default" w:ascii="Times New Roman" w:hAnsi="Times New Roman" w:eastAsia="仿宋_GB2312" w:cs="Times New Roman"/>
                <w:sz w:val="20"/>
                <w:szCs w:val="20"/>
              </w:rPr>
              <w:t>得分</w:t>
            </w:r>
          </w:p>
        </w:tc>
      </w:tr>
      <w:tr>
        <w:tblPrEx>
          <w:tblLayout w:type="fixed"/>
          <w:tblCellMar>
            <w:top w:w="0" w:type="dxa"/>
            <w:left w:w="108" w:type="dxa"/>
            <w:bottom w:w="0" w:type="dxa"/>
            <w:right w:w="108" w:type="dxa"/>
          </w:tblCellMar>
        </w:tblPrEx>
        <w:trPr>
          <w:jc w:val="center"/>
        </w:trPr>
        <w:tc>
          <w:tcPr>
            <w:tcW w:w="991" w:type="dxa"/>
            <w:vMerge w:val="continue"/>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683"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color w:val="000000"/>
                <w:sz w:val="20"/>
                <w:szCs w:val="20"/>
              </w:rPr>
              <w:t>年度资金总额</w:t>
            </w:r>
          </w:p>
        </w:tc>
        <w:tc>
          <w:tcPr>
            <w:tcW w:w="2067"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1</w:t>
            </w:r>
            <w:r>
              <w:rPr>
                <w:rFonts w:hint="default" w:ascii="Times New Roman" w:hAnsi="Times New Roman" w:eastAsia="仿宋_GB2312" w:cs="Times New Roman"/>
                <w:sz w:val="20"/>
                <w:szCs w:val="20"/>
              </w:rPr>
              <w:t>061.37</w:t>
            </w:r>
          </w:p>
        </w:tc>
        <w:tc>
          <w:tcPr>
            <w:tcW w:w="1283"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2047.86</w:t>
            </w:r>
          </w:p>
        </w:tc>
        <w:tc>
          <w:tcPr>
            <w:tcW w:w="1067"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1314</w:t>
            </w:r>
            <w:r>
              <w:rPr>
                <w:rFonts w:hint="eastAsia" w:ascii="Times New Roman" w:hAnsi="Times New Roman" w:eastAsia="仿宋_GB2312" w:cs="Times New Roman"/>
                <w:sz w:val="20"/>
                <w:szCs w:val="20"/>
                <w:lang w:val="en-US" w:eastAsia="zh-CN"/>
              </w:rPr>
              <w:t>.00</w:t>
            </w:r>
          </w:p>
        </w:tc>
        <w:tc>
          <w:tcPr>
            <w:tcW w:w="669"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b/>
                <w:bCs/>
                <w:sz w:val="20"/>
                <w:szCs w:val="20"/>
              </w:rPr>
              <w:t>10</w:t>
            </w:r>
          </w:p>
        </w:tc>
        <w:tc>
          <w:tcPr>
            <w:tcW w:w="831"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64.2%</w:t>
            </w:r>
          </w:p>
        </w:tc>
        <w:tc>
          <w:tcPr>
            <w:tcW w:w="1488"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6.4</w:t>
            </w:r>
          </w:p>
        </w:tc>
      </w:tr>
      <w:tr>
        <w:tblPrEx>
          <w:tblLayout w:type="fixed"/>
          <w:tblCellMar>
            <w:top w:w="0" w:type="dxa"/>
            <w:left w:w="108" w:type="dxa"/>
            <w:bottom w:w="0" w:type="dxa"/>
            <w:right w:w="108" w:type="dxa"/>
          </w:tblCellMar>
        </w:tblPrEx>
        <w:trPr>
          <w:jc w:val="center"/>
        </w:trPr>
        <w:tc>
          <w:tcPr>
            <w:tcW w:w="991"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033"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按收入性质分：</w:t>
            </w:r>
          </w:p>
        </w:tc>
        <w:tc>
          <w:tcPr>
            <w:tcW w:w="405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按支出性质分：</w:t>
            </w:r>
          </w:p>
        </w:tc>
      </w:tr>
      <w:tr>
        <w:tblPrEx>
          <w:tblLayout w:type="fixed"/>
          <w:tblCellMar>
            <w:top w:w="0" w:type="dxa"/>
            <w:left w:w="108" w:type="dxa"/>
            <w:bottom w:w="0" w:type="dxa"/>
            <w:right w:w="108" w:type="dxa"/>
          </w:tblCellMar>
        </w:tblPrEx>
        <w:trPr>
          <w:jc w:val="center"/>
        </w:trPr>
        <w:tc>
          <w:tcPr>
            <w:tcW w:w="991"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033"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xml:space="preserve">  其中：一般公共预算：</w:t>
            </w:r>
            <w:r>
              <w:rPr>
                <w:rFonts w:hint="default" w:ascii="Times New Roman" w:hAnsi="Times New Roman" w:eastAsia="仿宋_GB2312" w:cs="Times New Roman"/>
                <w:sz w:val="20"/>
                <w:szCs w:val="20"/>
              </w:rPr>
              <w:t>2047.86</w:t>
            </w:r>
          </w:p>
        </w:tc>
        <w:tc>
          <w:tcPr>
            <w:tcW w:w="405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其中：基本支出：703.91</w:t>
            </w:r>
          </w:p>
        </w:tc>
      </w:tr>
      <w:tr>
        <w:tblPrEx>
          <w:tblLayout w:type="fixed"/>
          <w:tblCellMar>
            <w:top w:w="0" w:type="dxa"/>
            <w:left w:w="108" w:type="dxa"/>
            <w:bottom w:w="0" w:type="dxa"/>
            <w:right w:w="108" w:type="dxa"/>
          </w:tblCellMar>
        </w:tblPrEx>
        <w:trPr>
          <w:jc w:val="center"/>
        </w:trPr>
        <w:tc>
          <w:tcPr>
            <w:tcW w:w="991"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033" w:type="dxa"/>
            <w:gridSpan w:val="4"/>
            <w:tcBorders>
              <w:top w:val="nil"/>
              <w:left w:val="nil"/>
              <w:bottom w:val="single" w:color="auto" w:sz="4" w:space="0"/>
              <w:right w:val="single" w:color="auto" w:sz="4" w:space="0"/>
            </w:tcBorders>
            <w:noWrap w:val="0"/>
            <w:vAlign w:val="center"/>
          </w:tcPr>
          <w:p>
            <w:pPr>
              <w:widowControl/>
              <w:spacing w:line="240" w:lineRule="exact"/>
              <w:ind w:left="0" w:leftChars="0" w:firstLine="838" w:firstLineChars="419"/>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政府性基金拨款：</w:t>
            </w:r>
            <w:r>
              <w:rPr>
                <w:rFonts w:hint="eastAsia" w:ascii="Times New Roman" w:hAnsi="Times New Roman" w:eastAsia="仿宋_GB2312" w:cs="Times New Roman"/>
                <w:color w:val="000000"/>
                <w:sz w:val="20"/>
                <w:szCs w:val="20"/>
                <w:lang w:val="en-US" w:eastAsia="zh-CN"/>
              </w:rPr>
              <w:t>0.00</w:t>
            </w:r>
          </w:p>
        </w:tc>
        <w:tc>
          <w:tcPr>
            <w:tcW w:w="4055" w:type="dxa"/>
            <w:gridSpan w:val="4"/>
            <w:tcBorders>
              <w:top w:val="nil"/>
              <w:left w:val="nil"/>
              <w:bottom w:val="single" w:color="auto" w:sz="4" w:space="0"/>
              <w:right w:val="single" w:color="auto" w:sz="4" w:space="0"/>
            </w:tcBorders>
            <w:noWrap w:val="0"/>
            <w:vAlign w:val="center"/>
          </w:tcPr>
          <w:p>
            <w:pPr>
              <w:widowControl/>
              <w:spacing w:line="240" w:lineRule="exact"/>
              <w:ind w:firstLine="600" w:firstLineChars="300"/>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项目支出：610.08</w:t>
            </w:r>
          </w:p>
        </w:tc>
      </w:tr>
      <w:tr>
        <w:tblPrEx>
          <w:tblLayout w:type="fixed"/>
          <w:tblCellMar>
            <w:top w:w="0" w:type="dxa"/>
            <w:left w:w="108" w:type="dxa"/>
            <w:bottom w:w="0" w:type="dxa"/>
            <w:right w:w="108" w:type="dxa"/>
          </w:tblCellMar>
        </w:tblPrEx>
        <w:trPr>
          <w:jc w:val="center"/>
        </w:trPr>
        <w:tc>
          <w:tcPr>
            <w:tcW w:w="991"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033" w:type="dxa"/>
            <w:gridSpan w:val="4"/>
            <w:tcBorders>
              <w:top w:val="nil"/>
              <w:left w:val="nil"/>
              <w:bottom w:val="single" w:color="auto" w:sz="4" w:space="0"/>
              <w:right w:val="single" w:color="auto" w:sz="4" w:space="0"/>
            </w:tcBorders>
            <w:noWrap w:val="0"/>
            <w:vAlign w:val="center"/>
          </w:tcPr>
          <w:p>
            <w:pPr>
              <w:widowControl/>
              <w:spacing w:line="240" w:lineRule="exact"/>
              <w:ind w:left="0" w:leftChars="0" w:firstLine="838" w:firstLineChars="419"/>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纳入专户管理的非税收入拨款：</w:t>
            </w:r>
            <w:r>
              <w:rPr>
                <w:rFonts w:hint="eastAsia" w:ascii="Times New Roman" w:hAnsi="Times New Roman" w:eastAsia="仿宋_GB2312" w:cs="Times New Roman"/>
                <w:color w:val="000000"/>
                <w:sz w:val="20"/>
                <w:szCs w:val="20"/>
                <w:lang w:val="en-US" w:eastAsia="zh-CN"/>
              </w:rPr>
              <w:t>0.00</w:t>
            </w:r>
          </w:p>
        </w:tc>
        <w:tc>
          <w:tcPr>
            <w:tcW w:w="405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jc w:val="center"/>
        </w:trPr>
        <w:tc>
          <w:tcPr>
            <w:tcW w:w="991"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033" w:type="dxa"/>
            <w:gridSpan w:val="4"/>
            <w:tcBorders>
              <w:top w:val="nil"/>
              <w:left w:val="nil"/>
              <w:bottom w:val="single" w:color="auto" w:sz="4" w:space="0"/>
              <w:right w:val="single" w:color="auto" w:sz="4" w:space="0"/>
            </w:tcBorders>
            <w:noWrap w:val="0"/>
            <w:vAlign w:val="center"/>
          </w:tcPr>
          <w:p>
            <w:pPr>
              <w:widowControl/>
              <w:spacing w:line="240" w:lineRule="exact"/>
              <w:ind w:left="0" w:leftChars="0" w:firstLine="838" w:firstLineChars="419"/>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其他资金：</w:t>
            </w:r>
            <w:r>
              <w:rPr>
                <w:rFonts w:hint="eastAsia" w:ascii="Times New Roman" w:hAnsi="Times New Roman" w:eastAsia="仿宋_GB2312" w:cs="Times New Roman"/>
                <w:color w:val="000000"/>
                <w:sz w:val="20"/>
                <w:szCs w:val="20"/>
                <w:lang w:val="en-US" w:eastAsia="zh-CN"/>
              </w:rPr>
              <w:t>0.00</w:t>
            </w:r>
          </w:p>
        </w:tc>
        <w:tc>
          <w:tcPr>
            <w:tcW w:w="405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jc w:val="center"/>
        </w:trPr>
        <w:tc>
          <w:tcPr>
            <w:tcW w:w="991"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年度总体目标</w:t>
            </w:r>
          </w:p>
        </w:tc>
        <w:tc>
          <w:tcPr>
            <w:tcW w:w="5033"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预期目标</w:t>
            </w:r>
          </w:p>
        </w:tc>
        <w:tc>
          <w:tcPr>
            <w:tcW w:w="4055"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实际完成情况</w:t>
            </w:r>
          </w:p>
        </w:tc>
      </w:tr>
      <w:tr>
        <w:tblPrEx>
          <w:tblLayout w:type="fixed"/>
          <w:tblCellMar>
            <w:top w:w="0" w:type="dxa"/>
            <w:left w:w="108" w:type="dxa"/>
            <w:bottom w:w="0" w:type="dxa"/>
            <w:right w:w="108" w:type="dxa"/>
          </w:tblCellMar>
        </w:tblPrEx>
        <w:trPr>
          <w:trHeight w:val="570" w:hRule="atLeast"/>
          <w:jc w:val="center"/>
        </w:trPr>
        <w:tc>
          <w:tcPr>
            <w:tcW w:w="991"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033"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坚持“质量第一、科学公正、准确高效”的质量方针，根据各级畜牧水产管理部门和兽药、饲料及畜产品生产经营企业不断增长的质量要求，为各级畜牧水产行政执法及兽药、饲料、畜禽产品生产经营活动提供及时、科学的技术支撑</w:t>
            </w:r>
          </w:p>
        </w:tc>
        <w:tc>
          <w:tcPr>
            <w:tcW w:w="4055"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基本完成</w:t>
            </w:r>
          </w:p>
        </w:tc>
      </w:tr>
      <w:tr>
        <w:tblPrEx>
          <w:tblLayout w:type="fixed"/>
          <w:tblCellMar>
            <w:top w:w="0" w:type="dxa"/>
            <w:left w:w="108" w:type="dxa"/>
            <w:bottom w:w="0" w:type="dxa"/>
            <w:right w:w="108" w:type="dxa"/>
          </w:tblCellMar>
        </w:tblPrEx>
        <w:trPr>
          <w:jc w:val="center"/>
        </w:trPr>
        <w:tc>
          <w:tcPr>
            <w:tcW w:w="991" w:type="dxa"/>
            <w:vMerge w:val="restart"/>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绩</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指</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标</w:t>
            </w:r>
          </w:p>
          <w:p>
            <w:pPr>
              <w:widowControl/>
              <w:spacing w:line="240" w:lineRule="exact"/>
              <w:jc w:val="center"/>
              <w:rPr>
                <w:rFonts w:hint="default" w:ascii="Times New Roman" w:hAnsi="Times New Roman" w:eastAsia="仿宋_GB2312" w:cs="Times New Roman"/>
                <w:color w:val="000000"/>
                <w:sz w:val="20"/>
                <w:szCs w:val="20"/>
              </w:rPr>
            </w:pPr>
          </w:p>
        </w:tc>
        <w:tc>
          <w:tcPr>
            <w:tcW w:w="86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一级指标</w:t>
            </w:r>
          </w:p>
        </w:tc>
        <w:tc>
          <w:tcPr>
            <w:tcW w:w="817"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二级指标</w:t>
            </w:r>
          </w:p>
        </w:tc>
        <w:tc>
          <w:tcPr>
            <w:tcW w:w="2067"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三级指标</w:t>
            </w:r>
          </w:p>
        </w:tc>
        <w:tc>
          <w:tcPr>
            <w:tcW w:w="1283"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年度指标值</w:t>
            </w:r>
          </w:p>
        </w:tc>
        <w:tc>
          <w:tcPr>
            <w:tcW w:w="1067" w:type="dxa"/>
            <w:tcBorders>
              <w:top w:val="nil"/>
              <w:left w:val="nil"/>
              <w:bottom w:val="single" w:color="auto" w:sz="4" w:space="0"/>
              <w:right w:val="single" w:color="auto" w:sz="4" w:space="0"/>
            </w:tcBorders>
            <w:noWrap w:val="0"/>
            <w:vAlign w:val="center"/>
          </w:tcPr>
          <w:p>
            <w:pPr>
              <w:widowControl/>
              <w:spacing w:line="240" w:lineRule="exac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实际完成值</w:t>
            </w: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分值</w:t>
            </w:r>
          </w:p>
        </w:tc>
        <w:tc>
          <w:tcPr>
            <w:tcW w:w="83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16"/>
                <w:szCs w:val="16"/>
                <w:lang w:eastAsia="zh-CN"/>
              </w:rPr>
              <w:t>自评</w:t>
            </w:r>
            <w:r>
              <w:rPr>
                <w:rFonts w:hint="default" w:ascii="Times New Roman" w:hAnsi="Times New Roman" w:eastAsia="仿宋_GB2312" w:cs="Times New Roman"/>
                <w:color w:val="000000"/>
                <w:sz w:val="16"/>
                <w:szCs w:val="16"/>
              </w:rPr>
              <w:t>得分</w:t>
            </w:r>
          </w:p>
        </w:tc>
        <w:tc>
          <w:tcPr>
            <w:tcW w:w="1488"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偏差原因分析及改进措施</w:t>
            </w:r>
          </w:p>
        </w:tc>
      </w:tr>
      <w:tr>
        <w:tblPrEx>
          <w:tblLayout w:type="fixed"/>
          <w:tblCellMar>
            <w:top w:w="0" w:type="dxa"/>
            <w:left w:w="108" w:type="dxa"/>
            <w:bottom w:w="0" w:type="dxa"/>
            <w:right w:w="108" w:type="dxa"/>
          </w:tblCellMar>
        </w:tblPrEx>
        <w:trPr>
          <w:jc w:val="center"/>
        </w:trPr>
        <w:tc>
          <w:tcPr>
            <w:tcW w:w="991"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866"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产出指标</w:t>
            </w:r>
          </w:p>
          <w:p>
            <w:pPr>
              <w:widowControl/>
              <w:spacing w:line="240" w:lineRule="exact"/>
              <w:jc w:val="center"/>
              <w:rPr>
                <w:rFonts w:hint="default" w:ascii="Times New Roman" w:hAnsi="Times New Roman" w:eastAsia="仿宋_GB2312" w:cs="Times New Roman"/>
                <w:color w:val="000000"/>
                <w:sz w:val="20"/>
                <w:szCs w:val="20"/>
              </w:rPr>
            </w:pP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(50分)</w:t>
            </w:r>
          </w:p>
        </w:tc>
        <w:tc>
          <w:tcPr>
            <w:tcW w:w="817"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数量</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指标</w:t>
            </w:r>
          </w:p>
        </w:tc>
        <w:tc>
          <w:tcPr>
            <w:tcW w:w="206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兽药及兽药残留检测任务</w:t>
            </w:r>
          </w:p>
        </w:tc>
        <w:tc>
          <w:tcPr>
            <w:tcW w:w="128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16</w:t>
            </w:r>
            <w:r>
              <w:rPr>
                <w:rFonts w:hint="default" w:ascii="Times New Roman" w:hAnsi="Times New Roman" w:eastAsia="仿宋_GB2312" w:cs="Times New Roman"/>
                <w:color w:val="000000"/>
                <w:sz w:val="20"/>
                <w:szCs w:val="20"/>
              </w:rPr>
              <w:t>00</w:t>
            </w:r>
            <w:r>
              <w:rPr>
                <w:rFonts w:hint="eastAsia" w:ascii="Times New Roman" w:hAnsi="Times New Roman" w:eastAsia="仿宋_GB2312" w:cs="Times New Roman"/>
                <w:color w:val="000000"/>
                <w:sz w:val="20"/>
                <w:szCs w:val="20"/>
              </w:rPr>
              <w:t>批次</w:t>
            </w:r>
          </w:p>
        </w:tc>
        <w:tc>
          <w:tcPr>
            <w:tcW w:w="1067"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1908</w:t>
            </w:r>
            <w:r>
              <w:rPr>
                <w:rFonts w:hint="eastAsia" w:ascii="Times New Roman" w:hAnsi="Times New Roman" w:eastAsia="仿宋_GB2312" w:cs="Times New Roman"/>
                <w:color w:val="000000"/>
                <w:sz w:val="20"/>
                <w:szCs w:val="20"/>
              </w:rPr>
              <w:t>批次</w:t>
            </w: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83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148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991"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866"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817" w:type="dxa"/>
            <w:vMerge w:val="continue"/>
            <w:tcBorders>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206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畜禽产品检测任务</w:t>
            </w:r>
          </w:p>
        </w:tc>
        <w:tc>
          <w:tcPr>
            <w:tcW w:w="128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4000批次</w:t>
            </w:r>
          </w:p>
        </w:tc>
        <w:tc>
          <w:tcPr>
            <w:tcW w:w="1067"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4489</w:t>
            </w:r>
            <w:r>
              <w:rPr>
                <w:rFonts w:hint="default" w:ascii="Times New Roman" w:hAnsi="Times New Roman" w:eastAsia="仿宋_GB2312" w:cs="Times New Roman"/>
                <w:color w:val="000000"/>
                <w:sz w:val="20"/>
                <w:szCs w:val="20"/>
              </w:rPr>
              <w:t>批次</w:t>
            </w: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83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148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991"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866"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817"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206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饲料检验任务</w:t>
            </w:r>
          </w:p>
        </w:tc>
        <w:tc>
          <w:tcPr>
            <w:tcW w:w="128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4</w:t>
            </w:r>
            <w:r>
              <w:rPr>
                <w:rFonts w:hint="default" w:ascii="Times New Roman" w:hAnsi="Times New Roman" w:eastAsia="仿宋_GB2312" w:cs="Times New Roman"/>
                <w:color w:val="000000"/>
                <w:sz w:val="20"/>
                <w:szCs w:val="20"/>
              </w:rPr>
              <w:t>00批次</w:t>
            </w:r>
          </w:p>
        </w:tc>
        <w:tc>
          <w:tcPr>
            <w:tcW w:w="1067"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497</w:t>
            </w:r>
            <w:r>
              <w:rPr>
                <w:rFonts w:hint="default" w:ascii="Times New Roman" w:hAnsi="Times New Roman" w:eastAsia="仿宋_GB2312" w:cs="Times New Roman"/>
                <w:color w:val="000000"/>
                <w:sz w:val="20"/>
                <w:szCs w:val="20"/>
              </w:rPr>
              <w:t>批次</w:t>
            </w: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83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148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991"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866"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817"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质量</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指标</w:t>
            </w:r>
          </w:p>
        </w:tc>
        <w:tc>
          <w:tcPr>
            <w:tcW w:w="206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检测参数完成率</w:t>
            </w:r>
          </w:p>
        </w:tc>
        <w:tc>
          <w:tcPr>
            <w:tcW w:w="128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100%</w:t>
            </w:r>
          </w:p>
        </w:tc>
        <w:tc>
          <w:tcPr>
            <w:tcW w:w="1067"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100%</w:t>
            </w: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83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148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991"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866"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817" w:type="dxa"/>
            <w:vMerge w:val="continue"/>
            <w:tcBorders>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206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兽药企业信息采集率</w:t>
            </w:r>
          </w:p>
        </w:tc>
        <w:tc>
          <w:tcPr>
            <w:tcW w:w="128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100%</w:t>
            </w:r>
          </w:p>
        </w:tc>
        <w:tc>
          <w:tcPr>
            <w:tcW w:w="1067"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100%</w:t>
            </w: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83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148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991"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866"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817" w:type="dxa"/>
            <w:vMerge w:val="continue"/>
            <w:tcBorders>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206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检测结果准确率</w:t>
            </w:r>
          </w:p>
        </w:tc>
        <w:tc>
          <w:tcPr>
            <w:tcW w:w="128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100%</w:t>
            </w:r>
          </w:p>
        </w:tc>
        <w:tc>
          <w:tcPr>
            <w:tcW w:w="1067"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100%</w:t>
            </w: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83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148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991"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866"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817"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206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检测能力合格率</w:t>
            </w:r>
          </w:p>
        </w:tc>
        <w:tc>
          <w:tcPr>
            <w:tcW w:w="128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100%</w:t>
            </w:r>
          </w:p>
        </w:tc>
        <w:tc>
          <w:tcPr>
            <w:tcW w:w="1067"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100%</w:t>
            </w: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83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148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jc w:val="center"/>
        </w:trPr>
        <w:tc>
          <w:tcPr>
            <w:tcW w:w="991"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866"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817"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时效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指标</w:t>
            </w:r>
          </w:p>
        </w:tc>
        <w:tc>
          <w:tcPr>
            <w:tcW w:w="206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兽药、饲料畜产品质量安全监管检测时效</w:t>
            </w:r>
          </w:p>
        </w:tc>
        <w:tc>
          <w:tcPr>
            <w:tcW w:w="128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100%</w:t>
            </w:r>
          </w:p>
        </w:tc>
        <w:tc>
          <w:tcPr>
            <w:tcW w:w="1067"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100%</w:t>
            </w: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83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148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991"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866"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817"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206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规定时间内完成检测任务结果上报</w:t>
            </w:r>
          </w:p>
        </w:tc>
        <w:tc>
          <w:tcPr>
            <w:tcW w:w="128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100%</w:t>
            </w:r>
          </w:p>
        </w:tc>
        <w:tc>
          <w:tcPr>
            <w:tcW w:w="1067"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100%</w:t>
            </w: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83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148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991"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866" w:type="dxa"/>
            <w:vMerge w:val="continue"/>
            <w:tcBorders>
              <w:left w:val="nil"/>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817"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成本</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指标</w:t>
            </w:r>
          </w:p>
        </w:tc>
        <w:tc>
          <w:tcPr>
            <w:tcW w:w="206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较上一年度业务费用降幅</w:t>
            </w:r>
          </w:p>
        </w:tc>
        <w:tc>
          <w:tcPr>
            <w:tcW w:w="128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w:t>
            </w:r>
            <w:r>
              <w:rPr>
                <w:rFonts w:hint="default" w:ascii="Times New Roman" w:hAnsi="Times New Roman" w:eastAsia="仿宋_GB2312" w:cs="Times New Roman"/>
                <w:color w:val="000000"/>
                <w:sz w:val="20"/>
                <w:szCs w:val="20"/>
              </w:rPr>
              <w:t>10</w:t>
            </w:r>
            <w:r>
              <w:rPr>
                <w:rFonts w:hint="eastAsia" w:ascii="Times New Roman" w:hAnsi="Times New Roman" w:eastAsia="仿宋_GB2312" w:cs="Times New Roman"/>
                <w:color w:val="000000"/>
                <w:sz w:val="20"/>
                <w:szCs w:val="20"/>
              </w:rPr>
              <w:t>%</w:t>
            </w:r>
          </w:p>
        </w:tc>
        <w:tc>
          <w:tcPr>
            <w:tcW w:w="1067"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1</w:t>
            </w:r>
            <w:r>
              <w:rPr>
                <w:rFonts w:hint="eastAsia" w:ascii="Times New Roman" w:hAnsi="Times New Roman" w:eastAsia="仿宋_GB2312" w:cs="Times New Roman"/>
                <w:color w:val="000000"/>
                <w:sz w:val="20"/>
                <w:szCs w:val="20"/>
                <w:lang w:val="en-US" w:eastAsia="zh-CN"/>
              </w:rPr>
              <w:t>1.</w:t>
            </w:r>
            <w:r>
              <w:rPr>
                <w:rFonts w:hint="default" w:ascii="Times New Roman" w:hAnsi="Times New Roman" w:eastAsia="仿宋_GB2312" w:cs="Times New Roman"/>
                <w:color w:val="000000"/>
                <w:sz w:val="20"/>
                <w:szCs w:val="20"/>
              </w:rPr>
              <w:t>8</w:t>
            </w:r>
            <w:r>
              <w:rPr>
                <w:rFonts w:hint="eastAsia" w:ascii="Times New Roman" w:hAnsi="Times New Roman" w:eastAsia="仿宋_GB2312" w:cs="Times New Roman"/>
                <w:color w:val="000000"/>
                <w:sz w:val="20"/>
                <w:szCs w:val="20"/>
                <w:lang w:val="en-US" w:eastAsia="zh-CN"/>
              </w:rPr>
              <w:t>6</w:t>
            </w:r>
            <w:r>
              <w:rPr>
                <w:rFonts w:hint="default" w:ascii="Times New Roman" w:hAnsi="Times New Roman" w:eastAsia="仿宋_GB2312" w:cs="Times New Roman"/>
                <w:color w:val="000000"/>
                <w:sz w:val="20"/>
                <w:szCs w:val="20"/>
              </w:rPr>
              <w:t>%</w:t>
            </w: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83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148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991"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866" w:type="dxa"/>
            <w:vMerge w:val="restart"/>
            <w:tcBorders>
              <w:top w:val="single" w:color="auto" w:sz="4" w:space="0"/>
              <w:left w:val="nil"/>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效益指标</w:t>
            </w:r>
          </w:p>
          <w:p>
            <w:pPr>
              <w:widowControl/>
              <w:spacing w:line="240" w:lineRule="exact"/>
              <w:jc w:val="left"/>
              <w:rPr>
                <w:rFonts w:hint="default" w:ascii="Times New Roman" w:hAnsi="Times New Roman" w:eastAsia="仿宋_GB2312" w:cs="Times New Roman"/>
                <w:color w:val="000000"/>
                <w:sz w:val="20"/>
                <w:szCs w:val="20"/>
              </w:rPr>
            </w:pPr>
          </w:p>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w:t>
            </w:r>
            <w:r>
              <w:rPr>
                <w:rFonts w:hint="eastAsia" w:ascii="Times New Roman" w:hAnsi="Times New Roman" w:eastAsia="仿宋_GB2312" w:cs="Times New Roman"/>
                <w:color w:val="000000"/>
                <w:sz w:val="20"/>
                <w:szCs w:val="20"/>
                <w:lang w:val="en-US" w:eastAsia="zh-CN"/>
              </w:rPr>
              <w:t>3</w:t>
            </w:r>
            <w:r>
              <w:rPr>
                <w:rFonts w:hint="default" w:ascii="Times New Roman" w:hAnsi="Times New Roman" w:eastAsia="仿宋_GB2312" w:cs="Times New Roman"/>
                <w:color w:val="000000"/>
                <w:sz w:val="20"/>
                <w:szCs w:val="20"/>
              </w:rPr>
              <w:t>0分)</w:t>
            </w:r>
          </w:p>
        </w:tc>
        <w:tc>
          <w:tcPr>
            <w:tcW w:w="817"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经济效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益指标</w:t>
            </w:r>
          </w:p>
        </w:tc>
        <w:tc>
          <w:tcPr>
            <w:tcW w:w="206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兽药企业认证完成率</w:t>
            </w:r>
          </w:p>
        </w:tc>
        <w:tc>
          <w:tcPr>
            <w:tcW w:w="128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100%</w:t>
            </w:r>
          </w:p>
        </w:tc>
        <w:tc>
          <w:tcPr>
            <w:tcW w:w="1067"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100%</w:t>
            </w: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83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148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991"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866"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817"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社会效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益指标</w:t>
            </w:r>
          </w:p>
        </w:tc>
        <w:tc>
          <w:tcPr>
            <w:tcW w:w="2067"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现场处置准确率</w:t>
            </w:r>
          </w:p>
        </w:tc>
        <w:tc>
          <w:tcPr>
            <w:tcW w:w="128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100%</w:t>
            </w:r>
          </w:p>
        </w:tc>
        <w:tc>
          <w:tcPr>
            <w:tcW w:w="1067"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100%</w:t>
            </w: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83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148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991"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866"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817" w:type="dxa"/>
            <w:vMerge w:val="restart"/>
            <w:tcBorders>
              <w:top w:val="single" w:color="auto" w:sz="4" w:space="0"/>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生态效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益指标</w:t>
            </w:r>
          </w:p>
        </w:tc>
        <w:tc>
          <w:tcPr>
            <w:tcW w:w="2067"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省内养殖场（或屠宰场）采样监测样本</w:t>
            </w:r>
          </w:p>
        </w:tc>
        <w:tc>
          <w:tcPr>
            <w:tcW w:w="128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60个</w:t>
            </w:r>
          </w:p>
        </w:tc>
        <w:tc>
          <w:tcPr>
            <w:tcW w:w="1067"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95个</w:t>
            </w: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83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148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991"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866" w:type="dxa"/>
            <w:vMerge w:val="continue"/>
            <w:tcBorders>
              <w:left w:val="nil"/>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817"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206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细菌耐药性分离、鉴定菌株</w:t>
            </w:r>
          </w:p>
        </w:tc>
        <w:tc>
          <w:tcPr>
            <w:tcW w:w="128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500株</w:t>
            </w:r>
          </w:p>
        </w:tc>
        <w:tc>
          <w:tcPr>
            <w:tcW w:w="1067"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523株</w:t>
            </w: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83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148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290" w:hRule="atLeast"/>
          <w:jc w:val="center"/>
        </w:trPr>
        <w:tc>
          <w:tcPr>
            <w:tcW w:w="991" w:type="dxa"/>
            <w:vMerge w:val="continue"/>
            <w:tcBorders>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866" w:type="dxa"/>
            <w:vMerge w:val="continue"/>
            <w:tcBorders>
              <w:left w:val="nil"/>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817"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可持续影响指标</w:t>
            </w:r>
          </w:p>
        </w:tc>
        <w:tc>
          <w:tcPr>
            <w:tcW w:w="20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技术人员业务技术培训覆盖率</w:t>
            </w:r>
          </w:p>
        </w:tc>
        <w:tc>
          <w:tcPr>
            <w:tcW w:w="128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100%</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100%</w:t>
            </w:r>
          </w:p>
        </w:tc>
        <w:tc>
          <w:tcPr>
            <w:tcW w:w="6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83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148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270" w:hRule="atLeast"/>
          <w:jc w:val="center"/>
        </w:trPr>
        <w:tc>
          <w:tcPr>
            <w:tcW w:w="991"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866" w:type="dxa"/>
            <w:vMerge w:val="continue"/>
            <w:tcBorders>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817"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206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培训市县质检人员/饲料兽药生产企业检验人员</w:t>
            </w:r>
          </w:p>
        </w:tc>
        <w:tc>
          <w:tcPr>
            <w:tcW w:w="128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6</w:t>
            </w:r>
            <w:r>
              <w:rPr>
                <w:rFonts w:hint="default" w:ascii="Times New Roman" w:hAnsi="Times New Roman" w:eastAsia="仿宋_GB2312" w:cs="Times New Roman"/>
                <w:color w:val="000000"/>
                <w:sz w:val="20"/>
                <w:szCs w:val="20"/>
              </w:rPr>
              <w:t>0人次</w:t>
            </w:r>
          </w:p>
        </w:tc>
        <w:tc>
          <w:tcPr>
            <w:tcW w:w="1067"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34</w:t>
            </w:r>
            <w:r>
              <w:rPr>
                <w:rFonts w:hint="default" w:ascii="Times New Roman" w:hAnsi="Times New Roman" w:eastAsia="仿宋_GB2312" w:cs="Times New Roman"/>
                <w:color w:val="000000"/>
                <w:sz w:val="20"/>
                <w:szCs w:val="20"/>
              </w:rPr>
              <w:t>人次</w:t>
            </w: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5</w:t>
            </w:r>
          </w:p>
        </w:tc>
        <w:tc>
          <w:tcPr>
            <w:tcW w:w="831"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20"/>
                <w:szCs w:val="20"/>
                <w:lang w:eastAsia="zh-CN"/>
              </w:rPr>
            </w:pPr>
            <w:r>
              <w:rPr>
                <w:rFonts w:hint="eastAsia" w:ascii="Times New Roman" w:hAnsi="Times New Roman" w:eastAsia="仿宋_GB2312" w:cs="Times New Roman"/>
                <w:color w:val="000000"/>
                <w:sz w:val="20"/>
                <w:szCs w:val="20"/>
                <w:lang w:val="en-US" w:eastAsia="zh-CN"/>
              </w:rPr>
              <w:t>3</w:t>
            </w:r>
          </w:p>
        </w:tc>
        <w:tc>
          <w:tcPr>
            <w:tcW w:w="148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330" w:hRule="atLeast"/>
          <w:jc w:val="center"/>
        </w:trPr>
        <w:tc>
          <w:tcPr>
            <w:tcW w:w="991"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866" w:type="dxa"/>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满意度</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指标</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w:t>
            </w:r>
            <w:r>
              <w:rPr>
                <w:rFonts w:hint="eastAsia" w:ascii="Times New Roman" w:hAnsi="Times New Roman" w:eastAsia="仿宋_GB2312" w:cs="Times New Roman"/>
                <w:color w:val="000000"/>
                <w:sz w:val="20"/>
                <w:szCs w:val="20"/>
                <w:lang w:val="en-US" w:eastAsia="zh-CN"/>
              </w:rPr>
              <w:t>1</w:t>
            </w:r>
            <w:r>
              <w:rPr>
                <w:rFonts w:hint="default" w:ascii="Times New Roman" w:hAnsi="Times New Roman" w:eastAsia="仿宋_GB2312" w:cs="Times New Roman"/>
                <w:color w:val="000000"/>
                <w:sz w:val="20"/>
                <w:szCs w:val="20"/>
              </w:rPr>
              <w:t>0分)</w:t>
            </w:r>
          </w:p>
        </w:tc>
        <w:tc>
          <w:tcPr>
            <w:tcW w:w="817" w:type="dxa"/>
            <w:tcBorders>
              <w:top w:val="nil"/>
              <w:left w:val="nil"/>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服务对象满意度指标</w:t>
            </w:r>
          </w:p>
        </w:tc>
        <w:tc>
          <w:tcPr>
            <w:tcW w:w="206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服务对象满意度</w:t>
            </w:r>
          </w:p>
        </w:tc>
        <w:tc>
          <w:tcPr>
            <w:tcW w:w="128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≥90%</w:t>
            </w:r>
          </w:p>
        </w:tc>
        <w:tc>
          <w:tcPr>
            <w:tcW w:w="1067"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100%</w:t>
            </w: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10</w:t>
            </w:r>
          </w:p>
        </w:tc>
        <w:tc>
          <w:tcPr>
            <w:tcW w:w="83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rPr>
              <w:t>10</w:t>
            </w:r>
          </w:p>
        </w:tc>
        <w:tc>
          <w:tcPr>
            <w:tcW w:w="148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270" w:hRule="atLeast"/>
          <w:jc w:val="center"/>
        </w:trPr>
        <w:tc>
          <w:tcPr>
            <w:tcW w:w="7091" w:type="dxa"/>
            <w:gridSpan w:val="6"/>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总分</w:t>
            </w: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100</w:t>
            </w:r>
          </w:p>
        </w:tc>
        <w:tc>
          <w:tcPr>
            <w:tcW w:w="831"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94.4</w:t>
            </w:r>
          </w:p>
        </w:tc>
        <w:tc>
          <w:tcPr>
            <w:tcW w:w="1488"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bl>
    <w:p>
      <w:pPr>
        <w:widowControl/>
        <w:adjustRightInd/>
        <w:snapToGrid/>
        <w:spacing w:line="240" w:lineRule="auto"/>
        <w:ind w:firstLine="0" w:firstLineChars="0"/>
        <w:jc w:val="left"/>
        <w:rPr>
          <w:kern w:val="0"/>
          <w:sz w:val="22"/>
          <w:szCs w:val="22"/>
        </w:rPr>
      </w:pPr>
      <w:r>
        <w:rPr>
          <w:kern w:val="0"/>
          <w:sz w:val="22"/>
          <w:szCs w:val="22"/>
        </w:rPr>
        <w:t>说明：本表由农业农村厅部门本级和直属单位填写，市、县农业农村局不需填写。</w:t>
      </w:r>
    </w:p>
    <w:p>
      <w:pPr>
        <w:rPr>
          <w:rFonts w:hint="eastAsia" w:ascii="方正小标宋_GBK" w:hAnsi="方正小标宋_GBK" w:eastAsia="方正小标宋_GBK" w:cs="方正小标宋_GBK"/>
          <w:sz w:val="72"/>
          <w:szCs w:val="72"/>
        </w:rPr>
      </w:pPr>
      <w:r>
        <w:rPr>
          <w:rFonts w:hint="default" w:ascii="Times New Roman" w:hAnsi="Times New Roman" w:eastAsia="仿宋_GB2312" w:cs="Times New Roman"/>
          <w:sz w:val="22"/>
          <w:szCs w:val="22"/>
        </w:rPr>
        <w:t xml:space="preserve">填表人：      填报日期：         联系电话：     </w:t>
      </w:r>
      <w:r>
        <w:rPr>
          <w:rFonts w:hint="eastAsia" w:ascii="Times New Roman" w:hAnsi="Times New Roman" w:eastAsia="仿宋_GB2312" w:cs="Times New Roman"/>
          <w:sz w:val="22"/>
          <w:szCs w:val="22"/>
          <w:lang w:val="en-US" w:eastAsia="zh-CN"/>
        </w:rPr>
        <w:t xml:space="preserve">           </w:t>
      </w:r>
      <w:r>
        <w:rPr>
          <w:rFonts w:hint="default" w:ascii="Times New Roman" w:hAnsi="Times New Roman" w:eastAsia="仿宋_GB2312" w:cs="Times New Roman"/>
          <w:sz w:val="22"/>
          <w:szCs w:val="22"/>
        </w:rPr>
        <w:t>单位负责人签字：</w:t>
      </w: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auto"/>
    <w:pitch w:val="default"/>
    <w:sig w:usb0="00000000" w:usb1="00000000" w:usb2="00000000" w:usb3="00000000" w:csb0="00000000" w:csb1="00000000"/>
  </w:font>
  <w:font w:name="华文细黑">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iZTFiZWRlOTA2MzNiMGRhZjcxYjIxYTY5OWM5NGU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2A53190"/>
    <w:rsid w:val="07F67816"/>
    <w:rsid w:val="08D544C6"/>
    <w:rsid w:val="08F7727C"/>
    <w:rsid w:val="0AC62ADE"/>
    <w:rsid w:val="0C737A20"/>
    <w:rsid w:val="0C85560D"/>
    <w:rsid w:val="100816A3"/>
    <w:rsid w:val="10BC4184"/>
    <w:rsid w:val="111C65E6"/>
    <w:rsid w:val="15AF3ADC"/>
    <w:rsid w:val="17B648CC"/>
    <w:rsid w:val="19A52ACF"/>
    <w:rsid w:val="1D97DEFF"/>
    <w:rsid w:val="1DFF72E5"/>
    <w:rsid w:val="1EFC6F07"/>
    <w:rsid w:val="1FA97A2D"/>
    <w:rsid w:val="23DC2114"/>
    <w:rsid w:val="27AC5CEC"/>
    <w:rsid w:val="27BD4EFC"/>
    <w:rsid w:val="2FDF85B8"/>
    <w:rsid w:val="2FFFEE04"/>
    <w:rsid w:val="31AA2E30"/>
    <w:rsid w:val="33BA2AAD"/>
    <w:rsid w:val="34DF85B0"/>
    <w:rsid w:val="3A5913BB"/>
    <w:rsid w:val="3AA45581"/>
    <w:rsid w:val="3B8F36BC"/>
    <w:rsid w:val="41875AA0"/>
    <w:rsid w:val="44CF63EA"/>
    <w:rsid w:val="45954368"/>
    <w:rsid w:val="459563EA"/>
    <w:rsid w:val="482E20D9"/>
    <w:rsid w:val="491FF225"/>
    <w:rsid w:val="49B06F76"/>
    <w:rsid w:val="4B8F71D4"/>
    <w:rsid w:val="4E057746"/>
    <w:rsid w:val="4F7639FF"/>
    <w:rsid w:val="4FFD214C"/>
    <w:rsid w:val="51B43FA5"/>
    <w:rsid w:val="521C5A48"/>
    <w:rsid w:val="53C232A2"/>
    <w:rsid w:val="54BB1B13"/>
    <w:rsid w:val="57116717"/>
    <w:rsid w:val="5777D4F5"/>
    <w:rsid w:val="59DD8326"/>
    <w:rsid w:val="5A0A739C"/>
    <w:rsid w:val="5DCF29E9"/>
    <w:rsid w:val="5DEF592A"/>
    <w:rsid w:val="5FC6BB1E"/>
    <w:rsid w:val="5FF720F1"/>
    <w:rsid w:val="63365E8E"/>
    <w:rsid w:val="65C66386"/>
    <w:rsid w:val="66032238"/>
    <w:rsid w:val="67FF5C0B"/>
    <w:rsid w:val="68476448"/>
    <w:rsid w:val="6C474C68"/>
    <w:rsid w:val="6DB63E53"/>
    <w:rsid w:val="6EFC0924"/>
    <w:rsid w:val="6FB74722"/>
    <w:rsid w:val="6FEF8B7E"/>
    <w:rsid w:val="707324D0"/>
    <w:rsid w:val="710E6DE2"/>
    <w:rsid w:val="71A6591B"/>
    <w:rsid w:val="72A53329"/>
    <w:rsid w:val="737D59BA"/>
    <w:rsid w:val="74602D6B"/>
    <w:rsid w:val="77C37683"/>
    <w:rsid w:val="786F5C73"/>
    <w:rsid w:val="79FF515B"/>
    <w:rsid w:val="7A620D1C"/>
    <w:rsid w:val="7BA16B0E"/>
    <w:rsid w:val="7C7750F6"/>
    <w:rsid w:val="7E9E1962"/>
    <w:rsid w:val="7E9F11B4"/>
    <w:rsid w:val="7F37EC1E"/>
    <w:rsid w:val="7F7DCD9D"/>
    <w:rsid w:val="7F970A6F"/>
    <w:rsid w:val="7FBE4DEA"/>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9"/>
    <w:pPr>
      <w:keepNext/>
      <w:keepLines/>
      <w:spacing w:line="700" w:lineRule="exact"/>
      <w:ind w:firstLine="0" w:firstLineChars="0"/>
      <w:jc w:val="center"/>
      <w:outlineLvl w:val="0"/>
    </w:pPr>
    <w:rPr>
      <w:rFonts w:eastAsia="方正小标宋简体"/>
      <w:bCs/>
      <w:kern w:val="44"/>
      <w:sz w:val="44"/>
      <w:szCs w:val="44"/>
    </w:rPr>
  </w:style>
  <w:style w:type="paragraph" w:styleId="3">
    <w:name w:val="heading 2"/>
    <w:basedOn w:val="1"/>
    <w:next w:val="1"/>
    <w:qFormat/>
    <w:uiPriority w:val="0"/>
    <w:pPr>
      <w:outlineLvl w:val="1"/>
    </w:pPr>
    <w:rPr>
      <w:rFonts w:eastAsia="黑体"/>
      <w:bCs/>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Indent"/>
    <w:basedOn w:val="1"/>
    <w:next w:val="5"/>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First Indent 2"/>
    <w:basedOn w:val="4"/>
    <w:next w:val="1"/>
    <w:unhideWhenUsed/>
    <w:qFormat/>
    <w:uiPriority w:val="99"/>
    <w:pPr>
      <w:ind w:firstLine="420" w:firstLineChars="200"/>
    </w:pPr>
  </w:style>
  <w:style w:type="paragraph" w:styleId="6">
    <w:name w:val="Balloon Text"/>
    <w:basedOn w:val="1"/>
    <w:link w:val="17"/>
    <w:semiHidden/>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next w:val="5"/>
    <w:semiHidden/>
    <w:qFormat/>
    <w:uiPriority w:val="0"/>
    <w:pPr>
      <w:snapToGrid w:val="0"/>
      <w:jc w:val="left"/>
    </w:pPr>
    <w:rPr>
      <w:sz w:val="18"/>
      <w:szCs w:val="18"/>
    </w:rPr>
  </w:style>
  <w:style w:type="character" w:styleId="12">
    <w:name w:val="page number"/>
    <w:basedOn w:val="11"/>
    <w:qFormat/>
    <w:uiPriority w:val="0"/>
  </w:style>
  <w:style w:type="character" w:customStyle="1" w:styleId="13">
    <w:name w:val="页眉 Char"/>
    <w:basedOn w:val="11"/>
    <w:link w:val="8"/>
    <w:qFormat/>
    <w:uiPriority w:val="99"/>
    <w:rPr>
      <w:sz w:val="18"/>
      <w:szCs w:val="18"/>
    </w:rPr>
  </w:style>
  <w:style w:type="character" w:customStyle="1" w:styleId="14">
    <w:name w:val="页脚 Char"/>
    <w:basedOn w:val="11"/>
    <w:link w:val="7"/>
    <w:qFormat/>
    <w:uiPriority w:val="99"/>
    <w:rPr>
      <w:sz w:val="18"/>
      <w:szCs w:val="18"/>
    </w:rPr>
  </w:style>
  <w:style w:type="paragraph" w:customStyle="1" w:styleId="15">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6">
    <w:name w:val="List Paragraph"/>
    <w:basedOn w:val="1"/>
    <w:qFormat/>
    <w:uiPriority w:val="34"/>
    <w:pPr>
      <w:ind w:firstLine="420" w:firstLineChars="200"/>
    </w:pPr>
  </w:style>
  <w:style w:type="character" w:customStyle="1" w:styleId="17">
    <w:name w:val="批注框文本 Char"/>
    <w:basedOn w:val="11"/>
    <w:link w:val="6"/>
    <w:semiHidden/>
    <w:qFormat/>
    <w:uiPriority w:val="99"/>
    <w:rPr>
      <w:sz w:val="18"/>
      <w:szCs w:val="18"/>
    </w:rPr>
  </w:style>
  <w:style w:type="character" w:customStyle="1" w:styleId="18">
    <w:name w:val="font01"/>
    <w:basedOn w:val="11"/>
    <w:qFormat/>
    <w:uiPriority w:val="0"/>
    <w:rPr>
      <w:rFonts w:hint="eastAsia" w:ascii="宋体" w:hAnsi="宋体" w:eastAsia="宋体" w:cs="宋体"/>
      <w:color w:val="000000"/>
      <w:sz w:val="22"/>
      <w:szCs w:val="22"/>
      <w:u w:val="none"/>
    </w:rPr>
  </w:style>
  <w:style w:type="character" w:customStyle="1" w:styleId="19">
    <w:name w:val="font21"/>
    <w:basedOn w:val="11"/>
    <w:qFormat/>
    <w:uiPriority w:val="0"/>
    <w:rPr>
      <w:rFonts w:hint="eastAsia" w:ascii="宋体" w:hAnsi="宋体" w:eastAsia="宋体" w:cs="宋体"/>
      <w:color w:val="000000"/>
      <w:sz w:val="24"/>
      <w:szCs w:val="24"/>
      <w:u w:val="none"/>
    </w:rPr>
  </w:style>
  <w:style w:type="character" w:customStyle="1" w:styleId="20">
    <w:name w:val="font1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emf"/><Relationship Id="rId8" Type="http://schemas.openxmlformats.org/officeDocument/2006/relationships/image" Target="media/image5.emf"/><Relationship Id="rId7" Type="http://schemas.openxmlformats.org/officeDocument/2006/relationships/image" Target="media/image4.emf"/><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9.emf"/><Relationship Id="rId11" Type="http://schemas.openxmlformats.org/officeDocument/2006/relationships/image" Target="media/image8.emf"/><Relationship Id="rId10" Type="http://schemas.openxmlformats.org/officeDocument/2006/relationships/image" Target="media/image7.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6405</Words>
  <Characters>6985</Characters>
  <Lines>63</Lines>
  <Paragraphs>18</Paragraphs>
  <TotalTime>1</TotalTime>
  <ScaleCrop>false</ScaleCrop>
  <LinksUpToDate>false</LinksUpToDate>
  <CharactersWithSpaces>6990</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lenovo</cp:lastModifiedBy>
  <cp:lastPrinted>2024-08-30T08:05:00Z</cp:lastPrinted>
  <dcterms:modified xsi:type="dcterms:W3CDTF">2024-09-05T09:17:36Z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30E53528DE97428EA61881C0E845B9FB_13</vt:lpwstr>
  </property>
</Properties>
</file>