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jc w:val="center"/>
        <w:rPr>
          <w:sz w:val="56"/>
          <w:szCs w:val="56"/>
        </w:rPr>
      </w:pPr>
      <w:r>
        <w:rPr>
          <w:sz w:val="56"/>
        </w:rPr>
        <mc:AlternateContent>
          <mc:Choice Requires="wps">
            <w:drawing>
              <wp:anchor distT="0" distB="0" distL="114300" distR="114300" simplePos="0" relativeHeight="251659264" behindDoc="0" locked="0" layoutInCell="1" allowOverlap="1">
                <wp:simplePos x="0" y="0"/>
                <wp:positionH relativeFrom="column">
                  <wp:posOffset>-236220</wp:posOffset>
                </wp:positionH>
                <wp:positionV relativeFrom="paragraph">
                  <wp:posOffset>-297180</wp:posOffset>
                </wp:positionV>
                <wp:extent cx="1523365" cy="517525"/>
                <wp:effectExtent l="0" t="0" r="635" b="15875"/>
                <wp:wrapNone/>
                <wp:docPr id="1" name="文本框 1"/>
                <wp:cNvGraphicFramePr/>
                <a:graphic xmlns:a="http://schemas.openxmlformats.org/drawingml/2006/main">
                  <a:graphicData uri="http://schemas.microsoft.com/office/word/2010/wordprocessingShape">
                    <wps:wsp>
                      <wps:cNvSpPr txBox="1"/>
                      <wps:spPr>
                        <a:xfrm>
                          <a:off x="1799590" y="935990"/>
                          <a:ext cx="1523365" cy="5175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楷体" w:hAnsi="楷体" w:eastAsia="楷体" w:cs="楷体"/>
                                <w:sz w:val="30"/>
                                <w:szCs w:val="3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6pt;margin-top:-23.4pt;height:40.75pt;width:119.95pt;z-index:251659264;mso-width-relative:page;mso-height-relative:page;" fillcolor="#FFFFFF [3201]" filled="t" stroked="f" coordsize="21600,21600" o:gfxdata="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LwJlDWAAAACgEAAA8AAAAAAAAAAQAgAAAAIgAAAGRycy9kb3du&#10;cmV2LnhtbFBLAQIUABQAAAAIAIdO4kBDKpePOgIAAEwEAAAOAAAAAAAAAAEAIAAAACUBAABkcnMv&#10;ZTJvRG9jLnhtbFBLBQYAAAAABgAGAFkBAADRBQAAAAA=&#10;">
                <v:fill on="t" focussize="0,0"/>
                <v:stroke on="f" weight="0.5pt"/>
                <v:imagedata o:title=""/>
                <o:lock v:ext="edit" aspectratio="f"/>
                <v:textbox>
                  <w:txbxContent>
                    <w:p>
                      <w:pPr>
                        <w:rPr>
                          <w:rFonts w:hint="eastAsia" w:ascii="楷体" w:hAnsi="楷体" w:eastAsia="楷体" w:cs="楷体"/>
                          <w:sz w:val="30"/>
                          <w:szCs w:val="30"/>
                          <w:lang w:val="en-US" w:eastAsia="zh-CN"/>
                        </w:rPr>
                      </w:pPr>
                    </w:p>
                  </w:txbxContent>
                </v:textbox>
              </v:shape>
            </w:pict>
          </mc:Fallback>
        </mc:AlternateContent>
      </w:r>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5"/>
        <w:jc w:val="center"/>
        <w:rPr>
          <w:rFonts w:hint="default" w:ascii="方正小标宋_GBK" w:hAnsi="方正小标宋_GBK" w:eastAsia="方正小标宋_GBK" w:cs="方正小标宋_GBK"/>
          <w:sz w:val="84"/>
          <w:szCs w:val="84"/>
          <w:lang w:val="en-US" w:eastAsia="zh-CN"/>
        </w:rPr>
      </w:pPr>
      <w:r>
        <w:rPr>
          <w:rFonts w:hint="eastAsia" w:ascii="方正小标宋_GBK" w:hAnsi="方正小标宋_GBK" w:eastAsia="方正小标宋_GBK" w:cs="方正小标宋_GBK"/>
          <w:sz w:val="84"/>
          <w:szCs w:val="84"/>
          <w:lang w:val="en-US" w:eastAsia="zh-CN"/>
        </w:rPr>
        <w:t>湖南省农作物种子南繁中心</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单位决算</w:t>
      </w:r>
    </w:p>
    <w:p>
      <w:pPr>
        <w:pStyle w:val="15"/>
        <w:jc w:val="center"/>
        <w:rPr>
          <w:rFonts w:hint="eastAsia" w:ascii="方正小标宋_GBK" w:hAnsi="方正小标宋_GBK" w:eastAsia="方正小标宋_GBK" w:cs="方正小标宋_GBK"/>
          <w:sz w:val="56"/>
          <w:szCs w:val="56"/>
        </w:rPr>
      </w:pP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32"/>
          <w:szCs w:val="32"/>
        </w:rPr>
      </w:pPr>
    </w:p>
    <w:p>
      <w:pPr>
        <w:pStyle w:val="15"/>
        <w:jc w:val="center"/>
        <w:rPr>
          <w:sz w:val="32"/>
          <w:szCs w:val="32"/>
        </w:rPr>
      </w:pPr>
    </w:p>
    <w:p>
      <w:pPr>
        <w:pStyle w:val="15"/>
        <w:jc w:val="center"/>
        <w:rPr>
          <w:sz w:val="32"/>
          <w:szCs w:val="32"/>
        </w:rPr>
      </w:pPr>
    </w:p>
    <w:p>
      <w:pPr>
        <w:pStyle w:val="15"/>
        <w:spacing w:line="500" w:lineRule="exact"/>
        <w:jc w:val="both"/>
        <w:rPr>
          <w:b/>
          <w:sz w:val="36"/>
          <w:szCs w:val="28"/>
        </w:rPr>
      </w:pPr>
    </w:p>
    <w:p>
      <w:pPr>
        <w:pStyle w:val="15"/>
        <w:spacing w:line="500" w:lineRule="exact"/>
        <w:jc w:val="center"/>
        <w:rPr>
          <w:b/>
          <w:sz w:val="36"/>
          <w:szCs w:val="28"/>
        </w:rPr>
      </w:pPr>
      <w:r>
        <w:rPr>
          <w:rFonts w:hint="eastAsia"/>
          <w:b/>
          <w:sz w:val="36"/>
          <w:szCs w:val="28"/>
        </w:rPr>
        <w:t>目录</w:t>
      </w:r>
    </w:p>
    <w:p>
      <w:pPr>
        <w:pStyle w:val="15"/>
        <w:spacing w:line="500" w:lineRule="exact"/>
        <w:outlineLvl w:val="0"/>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湖南省农作物种子南繁中心单位概况</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5"/>
        <w:spacing w:line="500" w:lineRule="exact"/>
        <w:outlineLvl w:val="0"/>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5"/>
        <w:spacing w:line="500" w:lineRule="exact"/>
        <w:outlineLvl w:val="0"/>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5"/>
        <w:spacing w:line="500" w:lineRule="exact"/>
        <w:rPr>
          <w:sz w:val="72"/>
          <w:szCs w:val="72"/>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5"/>
        <w:jc w:val="center"/>
        <w:rPr>
          <w:sz w:val="56"/>
          <w:szCs w:val="56"/>
        </w:rPr>
      </w:pPr>
      <w:r>
        <w:rPr>
          <w:sz w:val="56"/>
        </w:rPr>
        <mc:AlternateContent>
          <mc:Choice Requires="wps">
            <w:drawing>
              <wp:anchor distT="0" distB="0" distL="114300" distR="114300" simplePos="0" relativeHeight="251660288" behindDoc="0" locked="0" layoutInCell="1" allowOverlap="1">
                <wp:simplePos x="0" y="0"/>
                <wp:positionH relativeFrom="column">
                  <wp:posOffset>-236220</wp:posOffset>
                </wp:positionH>
                <wp:positionV relativeFrom="paragraph">
                  <wp:posOffset>-297180</wp:posOffset>
                </wp:positionV>
                <wp:extent cx="1523365" cy="517525"/>
                <wp:effectExtent l="0" t="0" r="635" b="635"/>
                <wp:wrapNone/>
                <wp:docPr id="2" name="文本框 2"/>
                <wp:cNvGraphicFramePr/>
                <a:graphic xmlns:a="http://schemas.openxmlformats.org/drawingml/2006/main">
                  <a:graphicData uri="http://schemas.microsoft.com/office/word/2010/wordprocessingShape">
                    <wps:wsp>
                      <wps:cNvSpPr txBox="1"/>
                      <wps:spPr>
                        <a:xfrm>
                          <a:off x="1799590" y="935990"/>
                          <a:ext cx="1523365" cy="5175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楷体" w:hAnsi="楷体" w:eastAsia="楷体" w:cs="楷体"/>
                                <w:sz w:val="30"/>
                                <w:szCs w:val="3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6pt;margin-top:-23.4pt;height:40.75pt;width:119.95pt;z-index:251660288;mso-width-relative:page;mso-height-relative:page;" fillcolor="#FFFFFF [3201]" filled="t" stroked="f" coordsize="21600,21600" o:gfxdata="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vAmUNYAAAAKAQAADwAAAAAAAAABACAAAAAiAAAAZHJzL2Rv&#10;d25yZXYueG1sUEsBAhQAFAAAAAgAh07iQCIYDF48AgAATAQAAA4AAAAAAAAAAQAgAAAAJQEAAGRy&#10;cy9lMm9Eb2MueG1sUEsFBgAAAAAGAAYAWQEAANMFAAAAAA==&#10;">
                <v:fill on="t" focussize="0,0"/>
                <v:stroke on="f" weight="0.5pt"/>
                <v:imagedata o:title=""/>
                <o:lock v:ext="edit" aspectratio="f"/>
                <v:textbox>
                  <w:txbxContent>
                    <w:p>
                      <w:pPr>
                        <w:rPr>
                          <w:rFonts w:hint="eastAsia" w:ascii="楷体" w:hAnsi="楷体" w:eastAsia="楷体" w:cs="楷体"/>
                          <w:sz w:val="30"/>
                          <w:szCs w:val="30"/>
                          <w:lang w:val="en-US" w:eastAsia="zh-CN"/>
                        </w:rPr>
                      </w:pPr>
                    </w:p>
                  </w:txbxContent>
                </v:textbox>
              </v:shape>
            </w:pict>
          </mc:Fallback>
        </mc:AlternateContent>
      </w:r>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5"/>
        <w:jc w:val="center"/>
        <w:rPr>
          <w:rFonts w:hint="eastAsia" w:ascii="方正小标宋_GBK" w:hAnsi="方正小标宋_GBK" w:eastAsia="方正小标宋_GBK" w:cs="方正小标宋_GBK"/>
          <w:sz w:val="84"/>
          <w:szCs w:val="84"/>
        </w:rPr>
      </w:pPr>
    </w:p>
    <w:p>
      <w:pPr>
        <w:pStyle w:val="15"/>
        <w:jc w:val="center"/>
        <w:outlineLvl w:val="1"/>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湖南省农作物种子南繁中心单位概况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rPr>
          <w:sz w:val="72"/>
          <w:szCs w:val="72"/>
        </w:rPr>
      </w:pPr>
      <w:r>
        <w:rPr>
          <w:sz w:val="72"/>
          <w:szCs w:val="72"/>
        </w:rPr>
        <w:br w:type="page"/>
      </w:r>
    </w:p>
    <w:p>
      <w:pPr>
        <w:pStyle w:val="2"/>
      </w:pPr>
    </w:p>
    <w:p>
      <w:pPr>
        <w:pStyle w:val="16"/>
        <w:numPr>
          <w:ilvl w:val="0"/>
          <w:numId w:val="1"/>
        </w:numPr>
        <w:ind w:firstLineChars="0"/>
        <w:jc w:val="left"/>
        <w:outlineLvl w:val="1"/>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主要职能：农作物种子繁殖，促进农业发展。主要农作物种子海南种植鉴定的田间管理工作、南繁各单位的技术服务和协调工作。</w:t>
      </w:r>
    </w:p>
    <w:p>
      <w:pPr>
        <w:widowControl/>
        <w:spacing w:line="600" w:lineRule="exact"/>
        <w:outlineLvl w:val="1"/>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（一）内设机构设置。湖南省农作物种子南繁中心内设机构包括：综合财务科和三亚基地科。</w:t>
      </w:r>
    </w:p>
    <w:p>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（二）决算单位构成。湖南省农作物种子南繁中心202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年部门决算汇总公开单位构成包括：湖南省农作物种子南繁中心本级</w:t>
      </w:r>
      <w:r>
        <w:rPr>
          <w:rFonts w:hint="eastAsia" w:ascii="Times New Roman" w:hAnsi="Times New Roman" w:eastAsia="仿宋_GB2312" w:cs="仿宋_GB2312"/>
          <w:bCs/>
          <w:kern w:val="0"/>
          <w:sz w:val="32"/>
          <w:szCs w:val="32"/>
          <w:lang w:eastAsia="zh-CN"/>
        </w:rPr>
        <w:t>。</w:t>
      </w:r>
    </w:p>
    <w:p>
      <w:pPr>
        <w:pStyle w:val="8"/>
        <w:rPr>
          <w:rFonts w:hint="eastAsia"/>
        </w:rPr>
      </w:pP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5"/>
        <w:jc w:val="center"/>
        <w:rPr>
          <w:rFonts w:hint="eastAsia" w:ascii="方正小标宋_GBK" w:hAnsi="方正小标宋_GBK" w:eastAsia="方正小标宋_GBK" w:cs="方正小标宋_GBK"/>
          <w:sz w:val="84"/>
          <w:szCs w:val="84"/>
        </w:rPr>
      </w:pPr>
    </w:p>
    <w:p>
      <w:pPr>
        <w:pStyle w:val="15"/>
        <w:jc w:val="center"/>
        <w:outlineLvl w:val="0"/>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9"/>
        <w:tblW w:w="15428" w:type="dxa"/>
        <w:tblInd w:w="0" w:type="dxa"/>
        <w:tblLayout w:type="fixed"/>
        <w:tblCellMar>
          <w:top w:w="0" w:type="dxa"/>
          <w:left w:w="0" w:type="dxa"/>
          <w:bottom w:w="0" w:type="dxa"/>
          <w:right w:w="0" w:type="dxa"/>
        </w:tblCellMar>
      </w:tblPr>
      <w:tblGrid>
        <w:gridCol w:w="234"/>
        <w:gridCol w:w="234"/>
        <w:gridCol w:w="564"/>
        <w:gridCol w:w="849"/>
        <w:gridCol w:w="756"/>
        <w:gridCol w:w="1144"/>
        <w:gridCol w:w="683"/>
        <w:gridCol w:w="1217"/>
        <w:gridCol w:w="610"/>
        <w:gridCol w:w="1084"/>
        <w:gridCol w:w="743"/>
        <w:gridCol w:w="951"/>
        <w:gridCol w:w="876"/>
        <w:gridCol w:w="818"/>
        <w:gridCol w:w="1009"/>
        <w:gridCol w:w="686"/>
        <w:gridCol w:w="1141"/>
        <w:gridCol w:w="1829"/>
      </w:tblGrid>
      <w:tr>
        <w:tblPrEx>
          <w:tblLayout w:type="fixed"/>
          <w:tblCellMar>
            <w:top w:w="0" w:type="dxa"/>
            <w:left w:w="0" w:type="dxa"/>
            <w:bottom w:w="0" w:type="dxa"/>
            <w:right w:w="0" w:type="dxa"/>
          </w:tblCellMar>
        </w:tblPrEx>
        <w:trPr>
          <w:trHeight w:val="435" w:hRule="atLeast"/>
        </w:trPr>
        <w:tc>
          <w:tcPr>
            <w:tcW w:w="15428" w:type="dxa"/>
            <w:gridSpan w:val="18"/>
            <w:tcBorders>
              <w:top w:val="nil"/>
              <w:left w:val="nil"/>
              <w:bottom w:val="nil"/>
              <w:right w:val="nil"/>
            </w:tcBorders>
            <w:shd w:val="clear" w:color="auto" w:fill="auto"/>
            <w:tcMar>
              <w:top w:w="15" w:type="dxa"/>
              <w:left w:w="15" w:type="dxa"/>
              <w:bottom w:w="0" w:type="dxa"/>
              <w:right w:w="15" w:type="dxa"/>
            </w:tcMar>
            <w:vAlign w:val="center"/>
          </w:tcPr>
          <w:tbl>
            <w:tblPr>
              <w:tblStyle w:val="9"/>
              <w:tblW w:w="153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46"/>
              <w:gridCol w:w="696"/>
              <w:gridCol w:w="114"/>
              <w:gridCol w:w="1484"/>
              <w:gridCol w:w="5718"/>
              <w:gridCol w:w="739"/>
              <w:gridCol w:w="15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4" w:hRule="atLeast"/>
              </w:trPr>
              <w:tc>
                <w:tcPr>
                  <w:tcW w:w="5046" w:type="dxa"/>
                  <w:tcBorders>
                    <w:top w:val="nil"/>
                    <w:left w:val="nil"/>
                    <w:bottom w:val="nil"/>
                    <w:right w:val="nil"/>
                  </w:tcBorders>
                  <w:shd w:val="clear" w:color="auto" w:fill="auto"/>
                  <w:vAlign w:val="center"/>
                </w:tcPr>
                <w:p>
                  <w:pPr>
                    <w:jc w:val="left"/>
                    <w:rPr>
                      <w:rFonts w:hint="eastAsia"/>
                    </w:rPr>
                  </w:pPr>
                  <w:r>
                    <w:rPr>
                      <w:rFonts w:hint="eastAsia" w:ascii="黑体" w:hAnsi="宋体" w:eastAsia="黑体" w:cs="黑体"/>
                      <w:i w:val="0"/>
                      <w:color w:val="000000"/>
                      <w:sz w:val="24"/>
                      <w:szCs w:val="24"/>
                      <w:u w:val="none"/>
                    </w:rPr>
                    <w:br w:type="page"/>
                  </w:r>
                </w:p>
              </w:tc>
              <w:tc>
                <w:tcPr>
                  <w:tcW w:w="696" w:type="dxa"/>
                  <w:tcBorders>
                    <w:top w:val="nil"/>
                    <w:left w:val="nil"/>
                    <w:bottom w:val="nil"/>
                    <w:right w:val="nil"/>
                  </w:tcBorders>
                  <w:shd w:val="clear" w:color="auto" w:fill="auto"/>
                  <w:vAlign w:val="center"/>
                </w:tcPr>
                <w:p>
                  <w:pPr>
                    <w:jc w:val="right"/>
                    <w:rPr>
                      <w:rFonts w:hint="eastAsia" w:ascii="宋体" w:hAnsi="宋体" w:eastAsia="宋体" w:cs="宋体"/>
                      <w:i w:val="0"/>
                      <w:color w:val="000000"/>
                      <w:sz w:val="24"/>
                      <w:szCs w:val="24"/>
                      <w:u w:val="none"/>
                    </w:rPr>
                  </w:pPr>
                </w:p>
              </w:tc>
              <w:tc>
                <w:tcPr>
                  <w:tcW w:w="1598" w:type="dxa"/>
                  <w:gridSpan w:val="2"/>
                  <w:tcBorders>
                    <w:top w:val="nil"/>
                    <w:left w:val="nil"/>
                    <w:bottom w:val="nil"/>
                    <w:right w:val="nil"/>
                  </w:tcBorders>
                  <w:shd w:val="clear" w:color="auto" w:fill="auto"/>
                  <w:vAlign w:val="center"/>
                </w:tcPr>
                <w:p>
                  <w:pPr>
                    <w:jc w:val="right"/>
                    <w:rPr>
                      <w:rFonts w:hint="eastAsia" w:ascii="宋体" w:hAnsi="宋体" w:eastAsia="宋体" w:cs="宋体"/>
                      <w:i w:val="0"/>
                      <w:color w:val="000000"/>
                      <w:sz w:val="24"/>
                      <w:szCs w:val="24"/>
                      <w:u w:val="none"/>
                    </w:rPr>
                  </w:pPr>
                </w:p>
              </w:tc>
              <w:tc>
                <w:tcPr>
                  <w:tcW w:w="5718" w:type="dxa"/>
                  <w:tcBorders>
                    <w:top w:val="nil"/>
                    <w:left w:val="nil"/>
                    <w:bottom w:val="nil"/>
                    <w:right w:val="nil"/>
                  </w:tcBorders>
                  <w:shd w:val="clear" w:color="auto" w:fill="auto"/>
                  <w:vAlign w:val="center"/>
                </w:tcPr>
                <w:p>
                  <w:pPr>
                    <w:jc w:val="right"/>
                    <w:rPr>
                      <w:rFonts w:hint="eastAsia" w:ascii="宋体" w:hAnsi="宋体" w:eastAsia="宋体" w:cs="宋体"/>
                      <w:i w:val="0"/>
                      <w:color w:val="000000"/>
                      <w:sz w:val="24"/>
                      <w:szCs w:val="24"/>
                      <w:u w:val="none"/>
                    </w:rPr>
                  </w:pPr>
                </w:p>
              </w:tc>
              <w:tc>
                <w:tcPr>
                  <w:tcW w:w="2337" w:type="dxa"/>
                  <w:gridSpan w:val="2"/>
                  <w:tcBorders>
                    <w:top w:val="nil"/>
                    <w:left w:val="nil"/>
                    <w:bottom w:val="nil"/>
                    <w:right w:val="nil"/>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9" w:hRule="atLeast"/>
              </w:trPr>
              <w:tc>
                <w:tcPr>
                  <w:tcW w:w="15395" w:type="dxa"/>
                  <w:gridSpan w:val="7"/>
                  <w:tcBorders>
                    <w:top w:val="nil"/>
                    <w:left w:val="nil"/>
                    <w:bottom w:val="nil"/>
                    <w:right w:val="nil"/>
                    <w:tl2br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b w:val="0"/>
                      <w:i w:val="0"/>
                      <w:color w:val="000000"/>
                      <w:sz w:val="32"/>
                      <w:szCs w:val="32"/>
                      <w:u w:val="none"/>
                    </w:rPr>
                  </w:pPr>
                  <w:r>
                    <w:rPr>
                      <w:rFonts w:hint="eastAsia" w:ascii="华文中宋" w:hAnsi="华文中宋" w:eastAsia="华文中宋" w:cs="华文中宋"/>
                      <w:b w:val="0"/>
                      <w:i w:val="0"/>
                      <w:color w:val="000000"/>
                      <w:kern w:val="0"/>
                      <w:sz w:val="32"/>
                      <w:szCs w:val="32"/>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5" w:hRule="atLeast"/>
              </w:trPr>
              <w:tc>
                <w:tcPr>
                  <w:tcW w:w="5046" w:type="dxa"/>
                  <w:tcBorders>
                    <w:top w:val="nil"/>
                    <w:left w:val="nil"/>
                    <w:bottom w:val="nil"/>
                    <w:right w:val="nil"/>
                  </w:tcBorders>
                  <w:shd w:val="clear" w:color="auto" w:fill="FFFFFF"/>
                  <w:vAlign w:val="center"/>
                </w:tcPr>
                <w:p>
                  <w:pPr>
                    <w:jc w:val="right"/>
                    <w:rPr>
                      <w:rFonts w:hint="eastAsia" w:ascii="宋体" w:hAnsi="宋体" w:eastAsia="宋体" w:cs="宋体"/>
                      <w:b w:val="0"/>
                      <w:i w:val="0"/>
                      <w:color w:val="000000"/>
                      <w:sz w:val="24"/>
                      <w:szCs w:val="24"/>
                      <w:u w:val="none"/>
                    </w:rPr>
                  </w:pPr>
                </w:p>
              </w:tc>
              <w:tc>
                <w:tcPr>
                  <w:tcW w:w="696" w:type="dxa"/>
                  <w:tcBorders>
                    <w:top w:val="nil"/>
                    <w:left w:val="nil"/>
                    <w:bottom w:val="nil"/>
                    <w:right w:val="nil"/>
                  </w:tcBorders>
                  <w:shd w:val="clear" w:color="auto" w:fill="FFFFFF"/>
                  <w:vAlign w:val="center"/>
                </w:tcPr>
                <w:p>
                  <w:pPr>
                    <w:jc w:val="right"/>
                    <w:rPr>
                      <w:rFonts w:hint="eastAsia" w:ascii="宋体" w:hAnsi="宋体" w:eastAsia="宋体" w:cs="宋体"/>
                      <w:b w:val="0"/>
                      <w:i w:val="0"/>
                      <w:color w:val="000000"/>
                      <w:sz w:val="24"/>
                      <w:szCs w:val="24"/>
                      <w:u w:val="none"/>
                    </w:rPr>
                  </w:pPr>
                </w:p>
              </w:tc>
              <w:tc>
                <w:tcPr>
                  <w:tcW w:w="1598" w:type="dxa"/>
                  <w:gridSpan w:val="2"/>
                  <w:tcBorders>
                    <w:top w:val="nil"/>
                    <w:left w:val="nil"/>
                    <w:bottom w:val="nil"/>
                    <w:right w:val="nil"/>
                  </w:tcBorders>
                  <w:shd w:val="clear" w:color="auto" w:fill="FFFFFF"/>
                  <w:vAlign w:val="center"/>
                </w:tcPr>
                <w:p>
                  <w:pPr>
                    <w:jc w:val="right"/>
                    <w:rPr>
                      <w:rFonts w:hint="eastAsia" w:ascii="宋体" w:hAnsi="宋体" w:eastAsia="宋体" w:cs="宋体"/>
                      <w:b w:val="0"/>
                      <w:i w:val="0"/>
                      <w:color w:val="000000"/>
                      <w:sz w:val="24"/>
                      <w:szCs w:val="24"/>
                      <w:u w:val="none"/>
                    </w:rPr>
                  </w:pPr>
                </w:p>
              </w:tc>
              <w:tc>
                <w:tcPr>
                  <w:tcW w:w="5718" w:type="dxa"/>
                  <w:tcBorders>
                    <w:top w:val="nil"/>
                    <w:left w:val="nil"/>
                    <w:bottom w:val="nil"/>
                    <w:right w:val="nil"/>
                  </w:tcBorders>
                  <w:shd w:val="clear" w:color="auto" w:fill="FFFFFF"/>
                  <w:vAlign w:val="center"/>
                </w:tcPr>
                <w:p>
                  <w:pPr>
                    <w:jc w:val="right"/>
                    <w:rPr>
                      <w:rFonts w:hint="eastAsia" w:ascii="宋体" w:hAnsi="宋体" w:eastAsia="宋体" w:cs="宋体"/>
                      <w:b w:val="0"/>
                      <w:i w:val="0"/>
                      <w:color w:val="000000"/>
                      <w:sz w:val="24"/>
                      <w:szCs w:val="24"/>
                      <w:u w:val="none"/>
                    </w:rPr>
                  </w:pPr>
                </w:p>
              </w:tc>
              <w:tc>
                <w:tcPr>
                  <w:tcW w:w="2337" w:type="dxa"/>
                  <w:gridSpan w:val="2"/>
                  <w:tcBorders>
                    <w:top w:val="nil"/>
                    <w:left w:val="nil"/>
                    <w:bottom w:val="nil"/>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4"/>
                      <w:szCs w:val="24"/>
                      <w:u w:val="none"/>
                    </w:rPr>
                  </w:pPr>
                  <w:r>
                    <w:rPr>
                      <w:rFonts w:hint="eastAsia" w:ascii="宋体" w:hAnsi="宋体" w:eastAsia="宋体" w:cs="宋体"/>
                      <w:b w:val="0"/>
                      <w:i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4" w:hRule="atLeast"/>
              </w:trPr>
              <w:tc>
                <w:tcPr>
                  <w:tcW w:w="5046" w:type="dxa"/>
                  <w:tcBorders>
                    <w:top w:val="nil"/>
                    <w:left w:val="nil"/>
                    <w:bottom w:val="single" w:color="auto" w:sz="12" w:space="0"/>
                    <w:right w:val="nil"/>
                  </w:tcBorders>
                  <w:shd w:val="clear" w:color="auto" w:fill="FFFFFF"/>
                  <w:vAlign w:val="center"/>
                </w:tcPr>
                <w:p>
                  <w:pPr>
                    <w:keepNext w:val="0"/>
                    <w:keepLines w:val="0"/>
                    <w:widowControl/>
                    <w:suppressLineNumbers w:val="0"/>
                    <w:jc w:val="left"/>
                    <w:textAlignment w:val="center"/>
                    <w:rPr>
                      <w:rFonts w:hint="default" w:ascii="宋体" w:hAnsi="宋体" w:eastAsia="宋体" w:cs="宋体"/>
                      <w:b w:val="0"/>
                      <w:i w:val="0"/>
                      <w:color w:val="000000"/>
                      <w:sz w:val="20"/>
                      <w:szCs w:val="20"/>
                      <w:u w:val="none"/>
                      <w:lang w:val="en-US"/>
                    </w:rPr>
                  </w:pPr>
                  <w:r>
                    <w:rPr>
                      <w:rFonts w:hint="eastAsia" w:ascii="宋体" w:hAnsi="宋体" w:eastAsia="宋体" w:cs="宋体"/>
                      <w:b w:val="0"/>
                      <w:i w:val="0"/>
                      <w:color w:val="000000"/>
                      <w:kern w:val="0"/>
                      <w:sz w:val="20"/>
                      <w:szCs w:val="20"/>
                      <w:u w:val="none"/>
                      <w:lang w:val="en-US" w:eastAsia="zh-CN" w:bidi="ar"/>
                    </w:rPr>
                    <w:t>部门：湖南省农作物种子南繁中心</w:t>
                  </w:r>
                </w:p>
              </w:tc>
              <w:tc>
                <w:tcPr>
                  <w:tcW w:w="696" w:type="dxa"/>
                  <w:tcBorders>
                    <w:top w:val="nil"/>
                    <w:left w:val="nil"/>
                    <w:bottom w:val="single" w:color="auto" w:sz="12" w:space="0"/>
                    <w:right w:val="nil"/>
                  </w:tcBorders>
                  <w:shd w:val="clear" w:color="auto" w:fill="FFFFFF"/>
                  <w:vAlign w:val="center"/>
                </w:tcPr>
                <w:p>
                  <w:pPr>
                    <w:jc w:val="right"/>
                    <w:rPr>
                      <w:rFonts w:hint="eastAsia" w:ascii="宋体" w:hAnsi="宋体" w:eastAsia="宋体" w:cs="宋体"/>
                      <w:b w:val="0"/>
                      <w:i w:val="0"/>
                      <w:color w:val="000000"/>
                      <w:sz w:val="24"/>
                      <w:szCs w:val="24"/>
                      <w:u w:val="none"/>
                    </w:rPr>
                  </w:pPr>
                </w:p>
              </w:tc>
              <w:tc>
                <w:tcPr>
                  <w:tcW w:w="1598" w:type="dxa"/>
                  <w:gridSpan w:val="2"/>
                  <w:tcBorders>
                    <w:top w:val="nil"/>
                    <w:left w:val="nil"/>
                    <w:bottom w:val="single" w:color="auto" w:sz="12" w:space="0"/>
                    <w:right w:val="nil"/>
                  </w:tcBorders>
                  <w:shd w:val="clear" w:color="auto" w:fill="FFFFFF"/>
                  <w:vAlign w:val="center"/>
                </w:tcPr>
                <w:p>
                  <w:pPr>
                    <w:jc w:val="right"/>
                    <w:rPr>
                      <w:rFonts w:hint="eastAsia" w:ascii="宋体" w:hAnsi="宋体" w:eastAsia="宋体" w:cs="宋体"/>
                      <w:b w:val="0"/>
                      <w:i w:val="0"/>
                      <w:color w:val="000000"/>
                      <w:sz w:val="24"/>
                      <w:szCs w:val="24"/>
                      <w:u w:val="none"/>
                    </w:rPr>
                  </w:pPr>
                </w:p>
              </w:tc>
              <w:tc>
                <w:tcPr>
                  <w:tcW w:w="5718" w:type="dxa"/>
                  <w:tcBorders>
                    <w:top w:val="nil"/>
                    <w:left w:val="nil"/>
                    <w:bottom w:val="single" w:color="auto" w:sz="12" w:space="0"/>
                    <w:right w:val="nil"/>
                  </w:tcBorders>
                  <w:shd w:val="clear" w:color="auto" w:fill="FFFFFF"/>
                  <w:vAlign w:val="center"/>
                </w:tcPr>
                <w:p>
                  <w:pPr>
                    <w:jc w:val="right"/>
                    <w:rPr>
                      <w:rFonts w:hint="eastAsia" w:ascii="宋体" w:hAnsi="宋体" w:eastAsia="宋体" w:cs="宋体"/>
                      <w:b w:val="0"/>
                      <w:i w:val="0"/>
                      <w:color w:val="000000"/>
                      <w:sz w:val="24"/>
                      <w:szCs w:val="24"/>
                      <w:u w:val="none"/>
                    </w:rPr>
                  </w:pPr>
                </w:p>
              </w:tc>
              <w:tc>
                <w:tcPr>
                  <w:tcW w:w="2337" w:type="dxa"/>
                  <w:gridSpan w:val="2"/>
                  <w:tcBorders>
                    <w:top w:val="nil"/>
                    <w:left w:val="nil"/>
                    <w:bottom w:val="single" w:color="auto" w:sz="12"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4"/>
                      <w:szCs w:val="24"/>
                      <w:u w:val="none"/>
                    </w:rPr>
                  </w:pPr>
                  <w:r>
                    <w:rPr>
                      <w:rFonts w:hint="eastAsia" w:ascii="宋体" w:hAnsi="宋体" w:eastAsia="宋体" w:cs="宋体"/>
                      <w:b w:val="0"/>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7340" w:type="dxa"/>
                  <w:gridSpan w:val="4"/>
                  <w:tcBorders>
                    <w:top w:val="single" w:color="auto" w:sz="12" w:space="0"/>
                    <w:left w:val="single" w:color="auto" w:sz="12" w:space="0"/>
                    <w:bottom w:val="single" w:color="auto" w:sz="12" w:space="0"/>
                    <w:right w:val="single" w:color="auto" w:sz="12" w:space="0"/>
                    <w:tl2br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4"/>
                      <w:szCs w:val="24"/>
                      <w:u w:val="none"/>
                    </w:rPr>
                  </w:pPr>
                  <w:r>
                    <w:rPr>
                      <w:rFonts w:hint="eastAsia" w:ascii="宋体" w:hAnsi="宋体" w:eastAsia="宋体" w:cs="宋体"/>
                      <w:b w:val="0"/>
                      <w:i w:val="0"/>
                      <w:color w:val="000000"/>
                      <w:kern w:val="0"/>
                      <w:sz w:val="24"/>
                      <w:szCs w:val="24"/>
                      <w:u w:val="none"/>
                      <w:lang w:val="en-US" w:eastAsia="zh-CN" w:bidi="ar"/>
                    </w:rPr>
                    <w:t>收入</w:t>
                  </w:r>
                </w:p>
              </w:tc>
              <w:tc>
                <w:tcPr>
                  <w:tcW w:w="8055" w:type="dxa"/>
                  <w:gridSpan w:val="3"/>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4"/>
                      <w:szCs w:val="24"/>
                      <w:u w:val="none"/>
                    </w:rPr>
                  </w:pPr>
                  <w:r>
                    <w:rPr>
                      <w:rFonts w:hint="eastAsia" w:ascii="宋体" w:hAnsi="宋体" w:eastAsia="宋体" w:cs="宋体"/>
                      <w:b w:val="0"/>
                      <w:i w:val="0"/>
                      <w:color w:val="000000"/>
                      <w:kern w:val="0"/>
                      <w:sz w:val="24"/>
                      <w:szCs w:val="24"/>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4"/>
                      <w:szCs w:val="24"/>
                      <w:u w:val="none"/>
                    </w:rPr>
                  </w:pPr>
                  <w:r>
                    <w:rPr>
                      <w:rFonts w:hint="eastAsia" w:ascii="宋体" w:hAnsi="宋体" w:eastAsia="宋体" w:cs="宋体"/>
                      <w:b w:val="0"/>
                      <w:i w:val="0"/>
                      <w:color w:val="000000"/>
                      <w:kern w:val="0"/>
                      <w:sz w:val="24"/>
                      <w:szCs w:val="24"/>
                      <w:u w:val="none"/>
                      <w:lang w:val="en-US" w:eastAsia="zh-CN" w:bidi="ar"/>
                    </w:rPr>
                    <w:t>项    目</w:t>
                  </w: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color w:val="000000"/>
                      <w:kern w:val="0"/>
                      <w:sz w:val="20"/>
                      <w:szCs w:val="20"/>
                      <w:u w:val="none"/>
                      <w:lang w:val="en-US" w:eastAsia="zh-CN" w:bidi="ar"/>
                    </w:rPr>
                    <w:t>行次</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4"/>
                      <w:szCs w:val="24"/>
                      <w:u w:val="none"/>
                    </w:rPr>
                  </w:pPr>
                  <w:r>
                    <w:rPr>
                      <w:rFonts w:hint="eastAsia" w:ascii="宋体" w:hAnsi="宋体" w:eastAsia="宋体" w:cs="宋体"/>
                      <w:b w:val="0"/>
                      <w:i w:val="0"/>
                      <w:color w:val="000000"/>
                      <w:kern w:val="0"/>
                      <w:sz w:val="24"/>
                      <w:szCs w:val="24"/>
                      <w:u w:val="none"/>
                      <w:lang w:val="en-US" w:eastAsia="zh-CN" w:bidi="ar"/>
                    </w:rPr>
                    <w:t>决算数</w:t>
                  </w: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4"/>
                      <w:szCs w:val="24"/>
                      <w:u w:val="none"/>
                    </w:rPr>
                  </w:pPr>
                  <w:r>
                    <w:rPr>
                      <w:rFonts w:hint="eastAsia" w:ascii="宋体" w:hAnsi="宋体" w:eastAsia="宋体" w:cs="宋体"/>
                      <w:b w:val="0"/>
                      <w:i w:val="0"/>
                      <w:color w:val="000000"/>
                      <w:kern w:val="0"/>
                      <w:sz w:val="24"/>
                      <w:szCs w:val="24"/>
                      <w:u w:val="none"/>
                      <w:lang w:val="en-US" w:eastAsia="zh-CN" w:bidi="ar"/>
                    </w:rPr>
                    <w:t>项    目</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color w:val="000000"/>
                      <w:kern w:val="0"/>
                      <w:sz w:val="20"/>
                      <w:szCs w:val="20"/>
                      <w:u w:val="none"/>
                      <w:lang w:val="en-US" w:eastAsia="zh-CN" w:bidi="ar"/>
                    </w:rPr>
                    <w:t>行次</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4"/>
                      <w:szCs w:val="24"/>
                      <w:u w:val="none"/>
                    </w:rPr>
                  </w:pPr>
                  <w:r>
                    <w:rPr>
                      <w:rFonts w:hint="eastAsia" w:ascii="宋体" w:hAnsi="宋体" w:eastAsia="宋体" w:cs="宋体"/>
                      <w:b w:val="0"/>
                      <w:i w:val="0"/>
                      <w:color w:val="000000"/>
                      <w:kern w:val="0"/>
                      <w:sz w:val="24"/>
                      <w:szCs w:val="24"/>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4"/>
                      <w:szCs w:val="24"/>
                      <w:u w:val="none"/>
                    </w:rPr>
                  </w:pPr>
                  <w:r>
                    <w:rPr>
                      <w:rFonts w:hint="eastAsia" w:ascii="宋体" w:hAnsi="宋体" w:eastAsia="宋体" w:cs="宋体"/>
                      <w:b w:val="0"/>
                      <w:i w:val="0"/>
                      <w:color w:val="000000"/>
                      <w:kern w:val="0"/>
                      <w:sz w:val="24"/>
                      <w:szCs w:val="24"/>
                      <w:u w:val="none"/>
                      <w:lang w:val="en-US" w:eastAsia="zh-CN" w:bidi="ar"/>
                    </w:rPr>
                    <w:t>栏    次</w:t>
                  </w: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jc w:val="center"/>
                    <w:rPr>
                      <w:rFonts w:hint="eastAsia" w:ascii="宋体" w:hAnsi="宋体" w:eastAsia="宋体" w:cs="宋体"/>
                      <w:b w:val="0"/>
                      <w:i w:val="0"/>
                      <w:color w:val="000000"/>
                      <w:sz w:val="24"/>
                      <w:szCs w:val="24"/>
                      <w:u w:val="none"/>
                    </w:rPr>
                  </w:pP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4"/>
                      <w:szCs w:val="24"/>
                      <w:u w:val="none"/>
                    </w:rPr>
                  </w:pPr>
                  <w:r>
                    <w:rPr>
                      <w:rFonts w:hint="eastAsia" w:ascii="宋体" w:hAnsi="宋体" w:eastAsia="宋体" w:cs="宋体"/>
                      <w:b w:val="0"/>
                      <w:i w:val="0"/>
                      <w:color w:val="000000"/>
                      <w:kern w:val="0"/>
                      <w:sz w:val="24"/>
                      <w:szCs w:val="24"/>
                      <w:u w:val="none"/>
                      <w:lang w:val="en-US" w:eastAsia="zh-CN" w:bidi="ar"/>
                    </w:rPr>
                    <w:t>1</w:t>
                  </w: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4"/>
                      <w:szCs w:val="24"/>
                      <w:u w:val="none"/>
                    </w:rPr>
                  </w:pPr>
                  <w:r>
                    <w:rPr>
                      <w:rFonts w:hint="eastAsia" w:ascii="宋体" w:hAnsi="宋体" w:eastAsia="宋体" w:cs="宋体"/>
                      <w:b w:val="0"/>
                      <w:i w:val="0"/>
                      <w:color w:val="000000"/>
                      <w:kern w:val="0"/>
                      <w:sz w:val="24"/>
                      <w:szCs w:val="24"/>
                      <w:u w:val="none"/>
                      <w:lang w:val="en-US" w:eastAsia="zh-CN" w:bidi="ar"/>
                    </w:rPr>
                    <w:t>栏    次</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center"/>
                    <w:rPr>
                      <w:rFonts w:hint="eastAsia" w:ascii="宋体" w:hAnsi="宋体" w:eastAsia="宋体" w:cs="宋体"/>
                      <w:b w:val="0"/>
                      <w:i w:val="0"/>
                      <w:color w:val="000000"/>
                      <w:sz w:val="24"/>
                      <w:szCs w:val="24"/>
                      <w:u w:val="none"/>
                    </w:rPr>
                  </w:pP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4"/>
                      <w:szCs w:val="24"/>
                      <w:u w:val="none"/>
                    </w:rPr>
                  </w:pPr>
                  <w:r>
                    <w:rPr>
                      <w:rFonts w:hint="eastAsia" w:ascii="宋体" w:hAnsi="宋体" w:eastAsia="宋体" w:cs="宋体"/>
                      <w:b w:val="0"/>
                      <w:i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color w:val="000000"/>
                      <w:kern w:val="0"/>
                      <w:sz w:val="22"/>
                      <w:szCs w:val="22"/>
                      <w:u w:val="none"/>
                      <w:lang w:val="en-US" w:eastAsia="zh-CN" w:bidi="ar"/>
                    </w:rPr>
                    <w:t>一、一般公共预算财政拨款收入</w:t>
                  </w: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1</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default"/>
                      <w:b w:val="0"/>
                      <w:color w:val="000000"/>
                      <w:lang w:val="en-US" w:eastAsia="zh-CN"/>
                    </w:rPr>
                  </w:pPr>
                  <w:r>
                    <w:rPr>
                      <w:rFonts w:hint="eastAsia" w:ascii="宋体" w:hAnsi="宋体" w:eastAsia="宋体" w:cs="宋体"/>
                      <w:b w:val="0"/>
                      <w:i w:val="0"/>
                      <w:iCs w:val="0"/>
                      <w:color w:val="000000"/>
                      <w:kern w:val="0"/>
                      <w:sz w:val="22"/>
                      <w:szCs w:val="22"/>
                      <w:u w:val="none"/>
                      <w:lang w:val="en-US" w:eastAsia="zh-CN" w:bidi="ar"/>
                    </w:rPr>
                    <w:t>257.24</w:t>
                  </w: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一、一般公共服务支出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31</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color w:val="000000"/>
                      <w:kern w:val="0"/>
                      <w:sz w:val="22"/>
                      <w:szCs w:val="22"/>
                      <w:u w:val="none"/>
                      <w:lang w:val="en-US" w:eastAsia="zh-CN" w:bidi="ar"/>
                    </w:rPr>
                    <w:t>二、政府性基金预算财政拨款收入</w:t>
                  </w: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2</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二、外交支出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32</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color w:val="000000"/>
                      <w:kern w:val="0"/>
                      <w:sz w:val="22"/>
                      <w:szCs w:val="22"/>
                      <w:u w:val="none"/>
                      <w:lang w:val="en-US" w:eastAsia="zh-CN" w:bidi="ar"/>
                    </w:rPr>
                    <w:t>三、国有资本经营预算财政拨款收入</w:t>
                  </w: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3</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三、国防支出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33</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color w:val="000000"/>
                      <w:kern w:val="0"/>
                      <w:sz w:val="22"/>
                      <w:szCs w:val="22"/>
                      <w:u w:val="none"/>
                      <w:lang w:val="en-US" w:eastAsia="zh-CN" w:bidi="ar"/>
                    </w:rPr>
                    <w:t>四、上级补助收入</w:t>
                  </w: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4</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四、公共安全支出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34</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color w:val="000000"/>
                      <w:kern w:val="0"/>
                      <w:sz w:val="22"/>
                      <w:szCs w:val="22"/>
                      <w:u w:val="none"/>
                      <w:lang w:val="en-US" w:eastAsia="zh-CN" w:bidi="ar"/>
                    </w:rPr>
                    <w:t>五、事业收入</w:t>
                  </w: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5</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五、教育支出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35</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color w:val="000000"/>
                      <w:kern w:val="0"/>
                      <w:sz w:val="22"/>
                      <w:szCs w:val="22"/>
                      <w:u w:val="none"/>
                      <w:lang w:val="en-US" w:eastAsia="zh-CN" w:bidi="ar"/>
                    </w:rPr>
                    <w:t>六、经营收入</w:t>
                  </w: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6</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六、科学技术支出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36</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color w:val="000000"/>
                      <w:kern w:val="0"/>
                      <w:sz w:val="22"/>
                      <w:szCs w:val="22"/>
                      <w:u w:val="none"/>
                      <w:lang w:val="en-US" w:eastAsia="zh-CN" w:bidi="ar"/>
                    </w:rPr>
                    <w:t>七、附属单位上缴收入</w:t>
                  </w: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7</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4"/>
                      <w:szCs w:val="24"/>
                      <w:u w:val="none"/>
                    </w:rPr>
                  </w:pPr>
                  <w:r>
                    <w:rPr>
                      <w:rFonts w:hint="eastAsia" w:ascii="宋体" w:hAnsi="宋体" w:eastAsia="宋体" w:cs="宋体"/>
                      <w:b w:val="0"/>
                      <w:i w:val="0"/>
                      <w:iCs w:val="0"/>
                      <w:color w:val="000000"/>
                      <w:kern w:val="0"/>
                      <w:sz w:val="24"/>
                      <w:szCs w:val="24"/>
                      <w:u w:val="none"/>
                      <w:lang w:val="en-US" w:eastAsia="zh-CN" w:bidi="ar"/>
                    </w:rPr>
                    <w:t>七、文化旅游体育与传媒支出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37</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color w:val="000000"/>
                      <w:kern w:val="0"/>
                      <w:sz w:val="22"/>
                      <w:szCs w:val="22"/>
                      <w:u w:val="none"/>
                      <w:lang w:val="en-US" w:eastAsia="zh-CN" w:bidi="ar"/>
                    </w:rPr>
                    <w:t>八、其他收入</w:t>
                  </w: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8</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73.03</w:t>
                  </w: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八、社会保障和就业支出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38</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9</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九、卫生健康支出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39</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10</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十、节能环保支出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40</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11</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十一、城乡社区支出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41</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12</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十二、农林水支出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42</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476.91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13</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十三、交通运输支出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43</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14</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十四、资源勘探工业信息等支出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44</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15</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十五、商业服务业等支出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45</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16</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十六、金融支出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46</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17</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十七、援助其他地区支出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47</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18</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十八、自然资源海洋气象等支出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48</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19</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十九、住房保障支出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49</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20</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二十、粮油物资储备支出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50</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21</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二十一、国有资本经营预算支出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51</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22</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二十二、灾害防治及应急管理支出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52</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23</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二十三、其他支出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53</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24</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二十四、债务还本支出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54</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25</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二十五、债务付息支出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kern w:val="0"/>
                      <w:sz w:val="22"/>
                      <w:szCs w:val="22"/>
                      <w:u w:val="none"/>
                      <w:lang w:val="en-US" w:eastAsia="zh-CN" w:bidi="ar"/>
                    </w:rPr>
                  </w:pPr>
                  <w:r>
                    <w:rPr>
                      <w:rFonts w:hint="eastAsia" w:ascii="宋体" w:hAnsi="宋体" w:eastAsia="宋体" w:cs="宋体"/>
                      <w:b w:val="0"/>
                      <w:i w:val="0"/>
                      <w:iCs w:val="0"/>
                      <w:color w:val="000000"/>
                      <w:kern w:val="0"/>
                      <w:sz w:val="22"/>
                      <w:szCs w:val="22"/>
                      <w:u w:val="none"/>
                      <w:lang w:val="en-US" w:eastAsia="zh-CN" w:bidi="ar"/>
                    </w:rPr>
                    <w:t>55</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0"/>
                      <w:szCs w:val="20"/>
                      <w:u w:val="none"/>
                    </w:rPr>
                  </w:pP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26</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i w:val="0"/>
                      <w:color w:val="000000"/>
                      <w:sz w:val="22"/>
                      <w:szCs w:val="22"/>
                      <w:u w:val="none"/>
                    </w:rPr>
                  </w:pP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0"/>
                      <w:szCs w:val="20"/>
                      <w:u w:val="none"/>
                    </w:rPr>
                  </w:pPr>
                  <w:r>
                    <w:rPr>
                      <w:rFonts w:hint="eastAsia" w:ascii="宋体" w:hAnsi="宋体" w:eastAsia="宋体" w:cs="宋体"/>
                      <w:b w:val="0"/>
                      <w:i w:val="0"/>
                      <w:iCs w:val="0"/>
                      <w:color w:val="000000"/>
                      <w:kern w:val="0"/>
                      <w:sz w:val="22"/>
                      <w:szCs w:val="22"/>
                      <w:u w:val="none"/>
                      <w:lang w:val="en-US" w:eastAsia="zh-CN" w:bidi="ar"/>
                    </w:rPr>
                    <w:t>二十六、抗疫特别国债安排的支出</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56</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color w:val="000000"/>
                      <w:kern w:val="0"/>
                      <w:sz w:val="22"/>
                      <w:szCs w:val="22"/>
                      <w:u w:val="none"/>
                      <w:lang w:val="en-US" w:eastAsia="zh-CN" w:bidi="ar"/>
                    </w:rPr>
                    <w:t>本年收入合计</w:t>
                  </w: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27</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bCs/>
                      <w:i w:val="0"/>
                      <w:iCs w:val="0"/>
                      <w:color w:val="000000"/>
                      <w:kern w:val="0"/>
                      <w:sz w:val="22"/>
                      <w:szCs w:val="22"/>
                      <w:u w:val="none"/>
                      <w:lang w:val="en-US" w:eastAsia="zh-CN" w:bidi="ar"/>
                    </w:rPr>
                    <w:t>330.27</w:t>
                  </w: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color w:val="000000"/>
                      <w:kern w:val="0"/>
                      <w:sz w:val="22"/>
                      <w:szCs w:val="22"/>
                      <w:u w:val="none"/>
                      <w:lang w:val="en-US" w:eastAsia="zh-CN" w:bidi="ar"/>
                    </w:rPr>
                    <w:t>本年支出合计</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57</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bCs/>
                      <w:i w:val="0"/>
                      <w:color w:val="000000"/>
                      <w:sz w:val="22"/>
                      <w:szCs w:val="22"/>
                      <w:u w:val="none"/>
                    </w:rPr>
                  </w:pPr>
                  <w:r>
                    <w:rPr>
                      <w:rFonts w:hint="eastAsia" w:ascii="宋体" w:hAnsi="宋体" w:eastAsia="宋体" w:cs="宋体"/>
                      <w:b w:val="0"/>
                      <w:bCs/>
                      <w:i w:val="0"/>
                      <w:iCs w:val="0"/>
                      <w:color w:val="000000"/>
                      <w:kern w:val="0"/>
                      <w:sz w:val="22"/>
                      <w:szCs w:val="22"/>
                      <w:u w:val="none"/>
                      <w:lang w:val="en-US" w:eastAsia="zh-CN" w:bidi="ar"/>
                    </w:rPr>
                    <w:t>476.91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color w:val="000000"/>
                      <w:kern w:val="0"/>
                      <w:sz w:val="22"/>
                      <w:szCs w:val="22"/>
                      <w:u w:val="none"/>
                      <w:lang w:val="en-US" w:eastAsia="zh-CN" w:bidi="ar"/>
                    </w:rPr>
                    <w:t xml:space="preserve">    使用非财政拨款结余（含专用结余）</w:t>
                  </w: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28</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440.65</w:t>
                  </w: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color w:val="000000"/>
                      <w:kern w:val="0"/>
                      <w:sz w:val="22"/>
                      <w:szCs w:val="22"/>
                      <w:u w:val="none"/>
                      <w:lang w:val="en-US" w:eastAsia="zh-CN" w:bidi="ar"/>
                    </w:rPr>
                    <w:t xml:space="preserve">                结余分配</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58</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color w:val="000000"/>
                      <w:kern w:val="0"/>
                      <w:sz w:val="22"/>
                      <w:szCs w:val="22"/>
                      <w:u w:val="none"/>
                      <w:lang w:val="en-US" w:eastAsia="zh-CN" w:bidi="ar"/>
                    </w:rPr>
                    <w:t xml:space="preserve">         年初结转和结余</w:t>
                  </w: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29</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0.00</w:t>
                  </w: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color w:val="000000"/>
                      <w:kern w:val="0"/>
                      <w:sz w:val="22"/>
                      <w:szCs w:val="22"/>
                      <w:u w:val="none"/>
                      <w:lang w:val="en-US" w:eastAsia="zh-CN" w:bidi="ar"/>
                    </w:rPr>
                    <w:t xml:space="preserve">                年末结转和结余</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59</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bCs/>
                      <w:i w:val="0"/>
                      <w:color w:val="000000"/>
                      <w:sz w:val="22"/>
                      <w:szCs w:val="22"/>
                      <w:u w:val="none"/>
                    </w:rPr>
                  </w:pPr>
                  <w:r>
                    <w:rPr>
                      <w:rFonts w:hint="eastAsia" w:ascii="宋体" w:hAnsi="宋体" w:eastAsia="宋体" w:cs="宋体"/>
                      <w:b w:val="0"/>
                      <w:bCs/>
                      <w:i w:val="0"/>
                      <w:iCs w:val="0"/>
                      <w:color w:val="000000"/>
                      <w:kern w:val="0"/>
                      <w:sz w:val="22"/>
                      <w:szCs w:val="22"/>
                      <w:u w:val="none"/>
                      <w:lang w:val="en-US" w:eastAsia="zh-CN" w:bidi="ar"/>
                    </w:rPr>
                    <w:t>294.01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504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color w:val="000000"/>
                      <w:kern w:val="0"/>
                      <w:sz w:val="22"/>
                      <w:szCs w:val="22"/>
                      <w:u w:val="none"/>
                      <w:lang w:val="en-US" w:eastAsia="zh-CN" w:bidi="ar"/>
                    </w:rPr>
                    <w:t>总计</w:t>
                  </w:r>
                </w:p>
              </w:tc>
              <w:tc>
                <w:tcPr>
                  <w:tcW w:w="810"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30</w:t>
                  </w:r>
                </w:p>
              </w:tc>
              <w:tc>
                <w:tcPr>
                  <w:tcW w:w="148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i w:val="0"/>
                      <w:iCs w:val="0"/>
                      <w:color w:val="000000"/>
                      <w:kern w:val="2"/>
                      <w:sz w:val="22"/>
                      <w:szCs w:val="22"/>
                      <w:u w:val="none"/>
                      <w:lang w:val="en-US" w:eastAsia="zh-CN" w:bidi="ar-SA"/>
                    </w:rPr>
                  </w:pPr>
                  <w:r>
                    <w:rPr>
                      <w:rFonts w:hint="eastAsia" w:ascii="宋体" w:hAnsi="宋体" w:eastAsia="宋体" w:cs="宋体"/>
                      <w:b w:val="0"/>
                      <w:bCs/>
                      <w:i w:val="0"/>
                      <w:iCs w:val="0"/>
                      <w:color w:val="000000"/>
                      <w:kern w:val="0"/>
                      <w:sz w:val="22"/>
                      <w:szCs w:val="22"/>
                      <w:u w:val="none"/>
                      <w:lang w:val="en-US" w:eastAsia="zh-CN" w:bidi="ar"/>
                    </w:rPr>
                    <w:t>770.92</w:t>
                  </w:r>
                </w:p>
              </w:tc>
              <w:tc>
                <w:tcPr>
                  <w:tcW w:w="571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color w:val="000000"/>
                      <w:kern w:val="0"/>
                      <w:sz w:val="22"/>
                      <w:szCs w:val="22"/>
                      <w:u w:val="none"/>
                      <w:lang w:val="en-US" w:eastAsia="zh-CN" w:bidi="ar"/>
                    </w:rPr>
                    <w:t>总计</w:t>
                  </w:r>
                </w:p>
              </w:tc>
              <w:tc>
                <w:tcPr>
                  <w:tcW w:w="739"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i w:val="0"/>
                      <w:color w:val="000000"/>
                      <w:sz w:val="22"/>
                      <w:szCs w:val="22"/>
                      <w:u w:val="none"/>
                    </w:rPr>
                  </w:pPr>
                  <w:r>
                    <w:rPr>
                      <w:rFonts w:hint="eastAsia" w:ascii="宋体" w:hAnsi="宋体" w:eastAsia="宋体" w:cs="宋体"/>
                      <w:b w:val="0"/>
                      <w:i w:val="0"/>
                      <w:iCs w:val="0"/>
                      <w:color w:val="000000"/>
                      <w:kern w:val="0"/>
                      <w:sz w:val="22"/>
                      <w:szCs w:val="22"/>
                      <w:u w:val="none"/>
                      <w:lang w:val="en-US" w:eastAsia="zh-CN" w:bidi="ar"/>
                    </w:rPr>
                    <w:t>60</w:t>
                  </w:r>
                </w:p>
              </w:tc>
              <w:tc>
                <w:tcPr>
                  <w:tcW w:w="159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bCs/>
                      <w:i w:val="0"/>
                      <w:iCs w:val="0"/>
                      <w:color w:val="000000"/>
                      <w:kern w:val="2"/>
                      <w:sz w:val="22"/>
                      <w:szCs w:val="22"/>
                      <w:u w:val="none"/>
                      <w:lang w:val="en-US" w:eastAsia="zh-CN" w:bidi="ar-SA"/>
                    </w:rPr>
                  </w:pPr>
                  <w:r>
                    <w:rPr>
                      <w:rFonts w:hint="eastAsia" w:ascii="宋体" w:hAnsi="宋体" w:eastAsia="宋体" w:cs="宋体"/>
                      <w:b w:val="0"/>
                      <w:bCs/>
                      <w:i w:val="0"/>
                      <w:iCs w:val="0"/>
                      <w:color w:val="000000"/>
                      <w:kern w:val="0"/>
                      <w:sz w:val="22"/>
                      <w:szCs w:val="22"/>
                      <w:u w:val="none"/>
                      <w:lang w:val="en-US" w:eastAsia="zh-CN" w:bidi="ar"/>
                    </w:rPr>
                    <w:t>770.92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15" w:hRule="atLeast"/>
              </w:trPr>
              <w:tc>
                <w:tcPr>
                  <w:tcW w:w="15395" w:type="dxa"/>
                  <w:gridSpan w:val="7"/>
                  <w:tcBorders>
                    <w:top w:val="single" w:color="auto" w:sz="12" w:space="0"/>
                    <w:left w:val="nil"/>
                    <w:bottom w:val="nil"/>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i w:val="0"/>
                      <w:color w:val="000000"/>
                      <w:kern w:val="0"/>
                      <w:sz w:val="24"/>
                      <w:szCs w:val="24"/>
                      <w:u w:val="none"/>
                      <w:lang w:val="en-US" w:eastAsia="zh-CN" w:bidi="ar"/>
                    </w:rPr>
                  </w:pPr>
                  <w:r>
                    <w:rPr>
                      <w:rFonts w:hint="eastAsia" w:ascii="宋体" w:hAnsi="宋体" w:eastAsia="宋体" w:cs="宋体"/>
                      <w:b w:val="0"/>
                      <w:i w:val="0"/>
                      <w:color w:val="000000"/>
                      <w:kern w:val="0"/>
                      <w:sz w:val="24"/>
                      <w:szCs w:val="24"/>
                      <w:u w:val="none"/>
                      <w:lang w:val="en-US" w:eastAsia="zh-CN" w:bidi="ar"/>
                    </w:rPr>
                    <w:t>注：1.本表反映部门本年度的总收支和年末结转结余情况。</w:t>
                  </w:r>
                </w:p>
                <w:p>
                  <w:pPr>
                    <w:pStyle w:val="8"/>
                    <w:rPr>
                      <w:rFonts w:hint="eastAsia"/>
                      <w:b w:val="0"/>
                      <w:color w:val="000000"/>
                      <w:lang w:val="en-US" w:eastAsia="zh-CN"/>
                    </w:rPr>
                  </w:pPr>
                </w:p>
                <w:p>
                  <w:pPr>
                    <w:keepNext w:val="0"/>
                    <w:keepLines w:val="0"/>
                    <w:widowControl/>
                    <w:suppressLineNumbers w:val="0"/>
                    <w:jc w:val="left"/>
                    <w:textAlignment w:val="center"/>
                    <w:rPr>
                      <w:rFonts w:hint="eastAsia" w:ascii="宋体" w:hAnsi="宋体" w:eastAsia="宋体" w:cs="宋体"/>
                      <w:b w:val="0"/>
                      <w:i w:val="0"/>
                      <w:color w:val="000000"/>
                      <w:sz w:val="24"/>
                      <w:szCs w:val="24"/>
                      <w:u w:val="none"/>
                    </w:rPr>
                  </w:pPr>
                  <w:r>
                    <w:rPr>
                      <w:rFonts w:hint="eastAsia" w:ascii="宋体" w:hAnsi="宋体" w:eastAsia="宋体" w:cs="宋体"/>
                      <w:b w:val="0"/>
                      <w:i w:val="0"/>
                      <w:color w:val="000000"/>
                      <w:kern w:val="0"/>
                      <w:sz w:val="24"/>
                      <w:szCs w:val="24"/>
                      <w:u w:val="none"/>
                      <w:lang w:val="en-US" w:eastAsia="zh-CN" w:bidi="ar"/>
                    </w:rPr>
                    <w:t xml:space="preserve">    2.本套报表金额单位转换时可能存在尾数误差。</w:t>
                  </w:r>
                </w:p>
              </w:tc>
            </w:tr>
          </w:tbl>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Layout w:type="fixed"/>
          <w:tblCellMar>
            <w:top w:w="0" w:type="dxa"/>
            <w:left w:w="0" w:type="dxa"/>
            <w:bottom w:w="0" w:type="dxa"/>
            <w:right w:w="0" w:type="dxa"/>
          </w:tblCellMar>
        </w:tblPrEx>
        <w:trPr>
          <w:trHeight w:val="285" w:hRule="atLeast"/>
        </w:trPr>
        <w:tc>
          <w:tcPr>
            <w:tcW w:w="234" w:type="dxa"/>
            <w:tcBorders>
              <w:top w:val="nil"/>
              <w:left w:val="nil"/>
              <w:bottom w:val="nil"/>
              <w:right w:val="nil"/>
            </w:tcBorders>
            <w:shd w:val="clear" w:color="000000" w:fill="FFFFFF"/>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34" w:type="dxa"/>
            <w:tcBorders>
              <w:top w:val="nil"/>
              <w:left w:val="nil"/>
              <w:bottom w:val="nil"/>
              <w:right w:val="nil"/>
            </w:tcBorders>
            <w:shd w:val="clear" w:color="000000" w:fill="FFFFFF"/>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13" w:type="dxa"/>
            <w:gridSpan w:val="2"/>
            <w:tcBorders>
              <w:top w:val="nil"/>
              <w:left w:val="nil"/>
              <w:bottom w:val="nil"/>
              <w:right w:val="nil"/>
            </w:tcBorders>
            <w:shd w:val="clear" w:color="000000" w:fill="FFFFFF"/>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00" w:type="dxa"/>
            <w:gridSpan w:val="2"/>
            <w:tcBorders>
              <w:top w:val="nil"/>
              <w:left w:val="nil"/>
              <w:bottom w:val="nil"/>
              <w:right w:val="nil"/>
            </w:tcBorders>
            <w:shd w:val="clear" w:color="000000" w:fill="FFFFFF"/>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00" w:type="dxa"/>
            <w:gridSpan w:val="2"/>
            <w:tcBorders>
              <w:top w:val="nil"/>
              <w:left w:val="nil"/>
              <w:bottom w:val="nil"/>
              <w:right w:val="nil"/>
            </w:tcBorders>
            <w:shd w:val="clear" w:color="000000" w:fill="FFFFFF"/>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94" w:type="dxa"/>
            <w:gridSpan w:val="2"/>
            <w:tcBorders>
              <w:top w:val="nil"/>
              <w:left w:val="nil"/>
              <w:bottom w:val="nil"/>
              <w:right w:val="nil"/>
            </w:tcBorders>
            <w:shd w:val="clear" w:color="000000" w:fill="FFFFFF"/>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94" w:type="dxa"/>
            <w:gridSpan w:val="2"/>
            <w:tcBorders>
              <w:top w:val="nil"/>
              <w:left w:val="nil"/>
              <w:bottom w:val="nil"/>
              <w:right w:val="nil"/>
            </w:tcBorders>
            <w:shd w:val="clear" w:color="000000" w:fill="FFFFFF"/>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94" w:type="dxa"/>
            <w:gridSpan w:val="2"/>
            <w:tcBorders>
              <w:top w:val="nil"/>
              <w:left w:val="nil"/>
              <w:bottom w:val="nil"/>
              <w:right w:val="nil"/>
            </w:tcBorders>
            <w:shd w:val="clear" w:color="000000" w:fill="FFFFFF"/>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95" w:type="dxa"/>
            <w:gridSpan w:val="2"/>
            <w:tcBorders>
              <w:top w:val="nil"/>
              <w:left w:val="nil"/>
              <w:bottom w:val="nil"/>
              <w:right w:val="nil"/>
            </w:tcBorders>
            <w:shd w:val="clear" w:color="000000" w:fill="FFFFFF"/>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970" w:type="dxa"/>
            <w:gridSpan w:val="2"/>
            <w:tcBorders>
              <w:top w:val="nil"/>
              <w:left w:val="nil"/>
              <w:bottom w:val="nil"/>
              <w:right w:val="nil"/>
            </w:tcBorders>
            <w:shd w:val="clear" w:color="000000" w:fill="FFFFFF"/>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Layout w:type="fixed"/>
          <w:tblCellMar>
            <w:top w:w="0" w:type="dxa"/>
            <w:left w:w="0" w:type="dxa"/>
            <w:bottom w:w="0" w:type="dxa"/>
            <w:right w:w="0" w:type="dxa"/>
          </w:tblCellMar>
        </w:tblPrEx>
        <w:trPr>
          <w:trHeight w:val="285" w:hRule="atLeast"/>
        </w:trPr>
        <w:tc>
          <w:tcPr>
            <w:tcW w:w="5681" w:type="dxa"/>
            <w:gridSpan w:val="8"/>
            <w:tcBorders>
              <w:top w:val="nil"/>
              <w:left w:val="nil"/>
              <w:bottom w:val="single" w:color="auto" w:sz="12" w:space="0"/>
              <w:right w:val="nil"/>
            </w:tcBorders>
            <w:shd w:val="clear" w:color="000000" w:fill="FFFFFF"/>
            <w:tcMar>
              <w:top w:w="15" w:type="dxa"/>
              <w:left w:w="15" w:type="dxa"/>
              <w:bottom w:w="0" w:type="dxa"/>
              <w:right w:w="15" w:type="dxa"/>
            </w:tcMar>
            <w:vAlign w:val="center"/>
          </w:tcPr>
          <w:p>
            <w:pPr>
              <w:rPr>
                <w:rFonts w:ascii="宋体" w:hAnsi="宋体" w:eastAsia="宋体" w:cs="宋体"/>
                <w:sz w:val="24"/>
                <w:szCs w:val="24"/>
              </w:rPr>
            </w:pPr>
            <w:r>
              <w:rPr>
                <w:rFonts w:hint="eastAsia"/>
                <w:color w:val="000000"/>
                <w:sz w:val="20"/>
                <w:szCs w:val="20"/>
              </w:rPr>
              <w:t>部门：</w:t>
            </w:r>
            <w:r>
              <w:rPr>
                <w:rFonts w:hint="eastAsia"/>
                <w:color w:val="000000"/>
                <w:sz w:val="20"/>
                <w:szCs w:val="20"/>
                <w:lang w:val="en-US" w:eastAsia="zh-CN"/>
              </w:rPr>
              <w:t>湖南省农作物种子南繁中心</w:t>
            </w:r>
            <w:r>
              <w:rPr>
                <w:rFonts w:hint="eastAsia"/>
              </w:rPr>
              <w:t>　</w:t>
            </w:r>
          </w:p>
        </w:tc>
        <w:tc>
          <w:tcPr>
            <w:tcW w:w="1694" w:type="dxa"/>
            <w:gridSpan w:val="2"/>
            <w:tcBorders>
              <w:top w:val="nil"/>
              <w:left w:val="nil"/>
              <w:bottom w:val="single" w:color="auto" w:sz="12" w:space="0"/>
              <w:right w:val="nil"/>
            </w:tcBorders>
            <w:shd w:val="clear" w:color="000000" w:fill="FFFFFF"/>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694" w:type="dxa"/>
            <w:gridSpan w:val="2"/>
            <w:tcBorders>
              <w:top w:val="nil"/>
              <w:left w:val="nil"/>
              <w:bottom w:val="single" w:color="auto" w:sz="12" w:space="0"/>
              <w:right w:val="nil"/>
            </w:tcBorders>
            <w:shd w:val="clear" w:color="000000" w:fill="FFFFFF"/>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94" w:type="dxa"/>
            <w:gridSpan w:val="2"/>
            <w:tcBorders>
              <w:top w:val="nil"/>
              <w:left w:val="nil"/>
              <w:bottom w:val="single" w:color="auto" w:sz="12" w:space="0"/>
              <w:right w:val="nil"/>
            </w:tcBorders>
            <w:shd w:val="clear" w:color="000000" w:fill="FFFFFF"/>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95" w:type="dxa"/>
            <w:gridSpan w:val="2"/>
            <w:tcBorders>
              <w:top w:val="nil"/>
              <w:left w:val="nil"/>
              <w:bottom w:val="single" w:color="auto" w:sz="12" w:space="0"/>
              <w:right w:val="nil"/>
            </w:tcBorders>
            <w:shd w:val="clear" w:color="000000" w:fill="FFFFFF"/>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970" w:type="dxa"/>
            <w:gridSpan w:val="2"/>
            <w:tcBorders>
              <w:top w:val="nil"/>
              <w:left w:val="nil"/>
              <w:bottom w:val="single" w:color="auto" w:sz="12" w:space="0"/>
              <w:right w:val="nil"/>
            </w:tcBorders>
            <w:shd w:val="clear" w:color="000000" w:fill="FFFFFF"/>
            <w:tcMar>
              <w:top w:w="15" w:type="dxa"/>
              <w:left w:w="15" w:type="dxa"/>
              <w:bottom w:w="0" w:type="dxa"/>
              <w:right w:w="15" w:type="dxa"/>
            </w:tcMar>
            <w:vAlign w:val="top"/>
          </w:tcPr>
          <w:p>
            <w:pPr>
              <w:jc w:val="right"/>
              <w:rPr>
                <w:rFonts w:ascii="宋体" w:hAnsi="宋体" w:eastAsia="宋体" w:cs="宋体"/>
                <w:color w:val="000000"/>
                <w:sz w:val="20"/>
                <w:szCs w:val="20"/>
              </w:rPr>
            </w:pPr>
            <w:r>
              <w:rPr>
                <w:rFonts w:hint="eastAsia"/>
                <w:color w:val="000000"/>
                <w:sz w:val="20"/>
                <w:szCs w:val="20"/>
              </w:rPr>
              <w:t>单位：万元</w:t>
            </w:r>
          </w:p>
        </w:tc>
      </w:tr>
      <w:tr>
        <w:tblPrEx>
          <w:tblLayout w:type="fixed"/>
          <w:tblCellMar>
            <w:top w:w="0" w:type="dxa"/>
            <w:left w:w="0" w:type="dxa"/>
            <w:bottom w:w="0" w:type="dxa"/>
            <w:right w:w="0" w:type="dxa"/>
          </w:tblCellMar>
        </w:tblPrEx>
        <w:trPr>
          <w:trHeight w:val="624" w:hRule="atLeast"/>
        </w:trPr>
        <w:tc>
          <w:tcPr>
            <w:tcW w:w="2637" w:type="dxa"/>
            <w:gridSpan w:val="5"/>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827" w:type="dxa"/>
            <w:gridSpan w:val="2"/>
            <w:vMerge w:val="restart"/>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827" w:type="dxa"/>
            <w:gridSpan w:val="2"/>
            <w:vMerge w:val="restart"/>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827" w:type="dxa"/>
            <w:gridSpan w:val="2"/>
            <w:vMerge w:val="restart"/>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827" w:type="dxa"/>
            <w:gridSpan w:val="2"/>
            <w:vMerge w:val="restart"/>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1827" w:type="dxa"/>
            <w:gridSpan w:val="2"/>
            <w:vMerge w:val="restart"/>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1827" w:type="dxa"/>
            <w:gridSpan w:val="2"/>
            <w:vMerge w:val="restart"/>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1829" w:type="dxa"/>
            <w:vMerge w:val="restart"/>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Layout w:type="fixed"/>
          <w:tblCellMar>
            <w:top w:w="0" w:type="dxa"/>
            <w:left w:w="0" w:type="dxa"/>
            <w:bottom w:w="0" w:type="dxa"/>
            <w:right w:w="0" w:type="dxa"/>
          </w:tblCellMar>
        </w:tblPrEx>
        <w:trPr>
          <w:trHeight w:val="624" w:hRule="atLeast"/>
        </w:trPr>
        <w:tc>
          <w:tcPr>
            <w:tcW w:w="1032" w:type="dxa"/>
            <w:gridSpan w:val="3"/>
            <w:vMerge w:val="restart"/>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1605" w:type="dxa"/>
            <w:gridSpan w:val="2"/>
            <w:vMerge w:val="restart"/>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827" w:type="dxa"/>
            <w:gridSpan w:val="2"/>
            <w:vMerge w:val="continue"/>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宋体"/>
                <w:sz w:val="24"/>
                <w:szCs w:val="24"/>
              </w:rPr>
            </w:pPr>
          </w:p>
        </w:tc>
        <w:tc>
          <w:tcPr>
            <w:tcW w:w="1827" w:type="dxa"/>
            <w:gridSpan w:val="2"/>
            <w:vMerge w:val="continue"/>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宋体"/>
                <w:sz w:val="24"/>
                <w:szCs w:val="24"/>
              </w:rPr>
            </w:pPr>
          </w:p>
        </w:tc>
        <w:tc>
          <w:tcPr>
            <w:tcW w:w="1827" w:type="dxa"/>
            <w:gridSpan w:val="2"/>
            <w:vMerge w:val="continue"/>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宋体"/>
                <w:sz w:val="24"/>
                <w:szCs w:val="24"/>
              </w:rPr>
            </w:pPr>
          </w:p>
        </w:tc>
        <w:tc>
          <w:tcPr>
            <w:tcW w:w="1827" w:type="dxa"/>
            <w:gridSpan w:val="2"/>
            <w:vMerge w:val="continue"/>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宋体"/>
                <w:sz w:val="24"/>
                <w:szCs w:val="24"/>
              </w:rPr>
            </w:pPr>
          </w:p>
        </w:tc>
        <w:tc>
          <w:tcPr>
            <w:tcW w:w="1827" w:type="dxa"/>
            <w:gridSpan w:val="2"/>
            <w:vMerge w:val="continue"/>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宋体"/>
                <w:sz w:val="24"/>
                <w:szCs w:val="24"/>
              </w:rPr>
            </w:pPr>
          </w:p>
        </w:tc>
        <w:tc>
          <w:tcPr>
            <w:tcW w:w="1827" w:type="dxa"/>
            <w:gridSpan w:val="2"/>
            <w:vMerge w:val="continue"/>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宋体"/>
                <w:sz w:val="24"/>
                <w:szCs w:val="24"/>
              </w:rPr>
            </w:pPr>
          </w:p>
        </w:tc>
        <w:tc>
          <w:tcPr>
            <w:tcW w:w="1829" w:type="dxa"/>
            <w:vMerge w:val="continue"/>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624" w:hRule="atLeast"/>
        </w:trPr>
        <w:tc>
          <w:tcPr>
            <w:tcW w:w="1032" w:type="dxa"/>
            <w:gridSpan w:val="3"/>
            <w:vMerge w:val="continue"/>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宋体"/>
                <w:sz w:val="24"/>
                <w:szCs w:val="24"/>
              </w:rPr>
            </w:pPr>
          </w:p>
        </w:tc>
        <w:tc>
          <w:tcPr>
            <w:tcW w:w="1605" w:type="dxa"/>
            <w:gridSpan w:val="2"/>
            <w:vMerge w:val="continue"/>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宋体"/>
                <w:sz w:val="24"/>
                <w:szCs w:val="24"/>
              </w:rPr>
            </w:pPr>
          </w:p>
        </w:tc>
        <w:tc>
          <w:tcPr>
            <w:tcW w:w="1827" w:type="dxa"/>
            <w:gridSpan w:val="2"/>
            <w:vMerge w:val="continue"/>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宋体"/>
                <w:sz w:val="24"/>
                <w:szCs w:val="24"/>
              </w:rPr>
            </w:pPr>
          </w:p>
        </w:tc>
        <w:tc>
          <w:tcPr>
            <w:tcW w:w="1827" w:type="dxa"/>
            <w:gridSpan w:val="2"/>
            <w:vMerge w:val="continue"/>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宋体"/>
                <w:sz w:val="24"/>
                <w:szCs w:val="24"/>
              </w:rPr>
            </w:pPr>
          </w:p>
        </w:tc>
        <w:tc>
          <w:tcPr>
            <w:tcW w:w="1827" w:type="dxa"/>
            <w:gridSpan w:val="2"/>
            <w:vMerge w:val="continue"/>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宋体"/>
                <w:sz w:val="24"/>
                <w:szCs w:val="24"/>
              </w:rPr>
            </w:pPr>
          </w:p>
        </w:tc>
        <w:tc>
          <w:tcPr>
            <w:tcW w:w="1827" w:type="dxa"/>
            <w:gridSpan w:val="2"/>
            <w:vMerge w:val="continue"/>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宋体"/>
                <w:sz w:val="24"/>
                <w:szCs w:val="24"/>
              </w:rPr>
            </w:pPr>
          </w:p>
        </w:tc>
        <w:tc>
          <w:tcPr>
            <w:tcW w:w="1827" w:type="dxa"/>
            <w:gridSpan w:val="2"/>
            <w:vMerge w:val="continue"/>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宋体"/>
                <w:sz w:val="24"/>
                <w:szCs w:val="24"/>
              </w:rPr>
            </w:pPr>
          </w:p>
        </w:tc>
        <w:tc>
          <w:tcPr>
            <w:tcW w:w="1827" w:type="dxa"/>
            <w:gridSpan w:val="2"/>
            <w:vMerge w:val="continue"/>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宋体"/>
                <w:sz w:val="24"/>
                <w:szCs w:val="24"/>
              </w:rPr>
            </w:pPr>
          </w:p>
        </w:tc>
        <w:tc>
          <w:tcPr>
            <w:tcW w:w="1829" w:type="dxa"/>
            <w:vMerge w:val="continue"/>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624" w:hRule="atLeast"/>
        </w:trPr>
        <w:tc>
          <w:tcPr>
            <w:tcW w:w="2637" w:type="dxa"/>
            <w:gridSpan w:val="5"/>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827" w:type="dxa"/>
            <w:gridSpan w:val="2"/>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1827" w:type="dxa"/>
            <w:gridSpan w:val="2"/>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1827" w:type="dxa"/>
            <w:gridSpan w:val="2"/>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827" w:type="dxa"/>
            <w:gridSpan w:val="2"/>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1827" w:type="dxa"/>
            <w:gridSpan w:val="2"/>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1827" w:type="dxa"/>
            <w:gridSpan w:val="2"/>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1829" w:type="dxa"/>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Layout w:type="fixed"/>
          <w:tblCellMar>
            <w:top w:w="0" w:type="dxa"/>
            <w:left w:w="0" w:type="dxa"/>
            <w:bottom w:w="0" w:type="dxa"/>
            <w:right w:w="0" w:type="dxa"/>
          </w:tblCellMar>
        </w:tblPrEx>
        <w:trPr>
          <w:trHeight w:val="624" w:hRule="atLeast"/>
        </w:trPr>
        <w:tc>
          <w:tcPr>
            <w:tcW w:w="2637" w:type="dxa"/>
            <w:gridSpan w:val="5"/>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330.27</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257.24</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829" w:type="dxa"/>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73.03</w:t>
            </w:r>
          </w:p>
        </w:tc>
      </w:tr>
      <w:tr>
        <w:tblPrEx>
          <w:tblLayout w:type="fixed"/>
          <w:tblCellMar>
            <w:top w:w="0" w:type="dxa"/>
            <w:left w:w="0" w:type="dxa"/>
            <w:bottom w:w="0" w:type="dxa"/>
            <w:right w:w="0" w:type="dxa"/>
          </w:tblCellMar>
        </w:tblPrEx>
        <w:trPr>
          <w:trHeight w:val="624" w:hRule="atLeast"/>
        </w:trPr>
        <w:tc>
          <w:tcPr>
            <w:tcW w:w="1032" w:type="dxa"/>
            <w:gridSpan w:val="3"/>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213</w:t>
            </w:r>
          </w:p>
        </w:tc>
        <w:tc>
          <w:tcPr>
            <w:tcW w:w="1605" w:type="dxa"/>
            <w:gridSpan w:val="2"/>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农林水支出</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b w:val="0"/>
                <w:bCs w:val="0"/>
                <w:sz w:val="24"/>
                <w:szCs w:val="24"/>
              </w:rPr>
            </w:pPr>
            <w:r>
              <w:rPr>
                <w:rFonts w:hint="eastAsia" w:ascii="宋体" w:hAnsi="宋体" w:eastAsia="宋体" w:cs="宋体"/>
                <w:b w:val="0"/>
                <w:bCs w:val="0"/>
                <w:i w:val="0"/>
                <w:iCs w:val="0"/>
                <w:color w:val="000000"/>
                <w:kern w:val="0"/>
                <w:sz w:val="22"/>
                <w:szCs w:val="22"/>
                <w:u w:val="none"/>
                <w:lang w:val="en-US" w:eastAsia="zh-CN" w:bidi="ar"/>
              </w:rPr>
              <w:t>330.27</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b w:val="0"/>
                <w:bCs w:val="0"/>
                <w:sz w:val="24"/>
                <w:szCs w:val="24"/>
              </w:rPr>
            </w:pPr>
            <w:r>
              <w:rPr>
                <w:rFonts w:hint="eastAsia" w:ascii="宋体" w:hAnsi="宋体" w:eastAsia="宋体" w:cs="宋体"/>
                <w:b w:val="0"/>
                <w:bCs w:val="0"/>
                <w:i w:val="0"/>
                <w:iCs w:val="0"/>
                <w:color w:val="000000"/>
                <w:kern w:val="0"/>
                <w:sz w:val="22"/>
                <w:szCs w:val="22"/>
                <w:u w:val="none"/>
                <w:lang w:val="en-US" w:eastAsia="zh-CN" w:bidi="ar"/>
              </w:rPr>
              <w:t>257.24</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b w:val="0"/>
                <w:bCs w:val="0"/>
                <w:sz w:val="24"/>
                <w:szCs w:val="24"/>
              </w:rPr>
            </w:pPr>
            <w:r>
              <w:rPr>
                <w:rFonts w:hint="eastAsia" w:ascii="宋体" w:hAnsi="宋体" w:eastAsia="宋体" w:cs="宋体"/>
                <w:b w:val="0"/>
                <w:bCs w:val="0"/>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b w:val="0"/>
                <w:bCs w:val="0"/>
                <w:sz w:val="24"/>
                <w:szCs w:val="24"/>
              </w:rPr>
            </w:pPr>
            <w:r>
              <w:rPr>
                <w:rFonts w:hint="eastAsia" w:ascii="宋体" w:hAnsi="宋体" w:eastAsia="宋体" w:cs="宋体"/>
                <w:b w:val="0"/>
                <w:bCs w:val="0"/>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b w:val="0"/>
                <w:bCs w:val="0"/>
                <w:sz w:val="24"/>
                <w:szCs w:val="24"/>
              </w:rPr>
            </w:pPr>
            <w:r>
              <w:rPr>
                <w:rFonts w:hint="eastAsia" w:ascii="宋体" w:hAnsi="宋体" w:eastAsia="宋体" w:cs="宋体"/>
                <w:b w:val="0"/>
                <w:bCs w:val="0"/>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b w:val="0"/>
                <w:bCs w:val="0"/>
                <w:sz w:val="24"/>
                <w:szCs w:val="24"/>
              </w:rPr>
            </w:pPr>
            <w:r>
              <w:rPr>
                <w:rFonts w:hint="eastAsia" w:ascii="宋体" w:hAnsi="宋体" w:eastAsia="宋体" w:cs="宋体"/>
                <w:b w:val="0"/>
                <w:bCs w:val="0"/>
                <w:i w:val="0"/>
                <w:iCs w:val="0"/>
                <w:color w:val="000000"/>
                <w:kern w:val="0"/>
                <w:sz w:val="22"/>
                <w:szCs w:val="22"/>
                <w:u w:val="none"/>
                <w:lang w:val="en-US" w:eastAsia="zh-CN" w:bidi="ar"/>
              </w:rPr>
              <w:t>0.00</w:t>
            </w:r>
          </w:p>
        </w:tc>
        <w:tc>
          <w:tcPr>
            <w:tcW w:w="1829" w:type="dxa"/>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b w:val="0"/>
                <w:bCs w:val="0"/>
                <w:sz w:val="24"/>
                <w:szCs w:val="24"/>
              </w:rPr>
            </w:pPr>
            <w:r>
              <w:rPr>
                <w:rFonts w:hint="eastAsia" w:ascii="宋体" w:hAnsi="宋体" w:eastAsia="宋体" w:cs="宋体"/>
                <w:b w:val="0"/>
                <w:bCs w:val="0"/>
                <w:i w:val="0"/>
                <w:iCs w:val="0"/>
                <w:color w:val="000000"/>
                <w:kern w:val="0"/>
                <w:sz w:val="22"/>
                <w:szCs w:val="22"/>
                <w:u w:val="none"/>
                <w:lang w:val="en-US" w:eastAsia="zh-CN" w:bidi="ar"/>
              </w:rPr>
              <w:t>73.03</w:t>
            </w:r>
          </w:p>
        </w:tc>
      </w:tr>
      <w:tr>
        <w:tblPrEx>
          <w:tblLayout w:type="fixed"/>
          <w:tblCellMar>
            <w:top w:w="0" w:type="dxa"/>
            <w:left w:w="0" w:type="dxa"/>
            <w:bottom w:w="0" w:type="dxa"/>
            <w:right w:w="0" w:type="dxa"/>
          </w:tblCellMar>
        </w:tblPrEx>
        <w:trPr>
          <w:trHeight w:val="624" w:hRule="atLeast"/>
        </w:trPr>
        <w:tc>
          <w:tcPr>
            <w:tcW w:w="1032" w:type="dxa"/>
            <w:gridSpan w:val="3"/>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21301</w:t>
            </w:r>
          </w:p>
        </w:tc>
        <w:tc>
          <w:tcPr>
            <w:tcW w:w="1605" w:type="dxa"/>
            <w:gridSpan w:val="2"/>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农业农村</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华文中宋" w:hAnsi="华文中宋" w:eastAsia="华文中宋" w:cs="宋体"/>
                <w:b w:val="0"/>
                <w:bCs w:val="0"/>
                <w:sz w:val="24"/>
                <w:szCs w:val="24"/>
              </w:rPr>
            </w:pPr>
            <w:r>
              <w:rPr>
                <w:rFonts w:hint="eastAsia" w:ascii="宋体" w:hAnsi="宋体" w:eastAsia="宋体" w:cs="宋体"/>
                <w:b w:val="0"/>
                <w:bCs w:val="0"/>
                <w:i w:val="0"/>
                <w:iCs w:val="0"/>
                <w:color w:val="000000"/>
                <w:kern w:val="0"/>
                <w:sz w:val="22"/>
                <w:szCs w:val="22"/>
                <w:u w:val="none"/>
                <w:lang w:val="en-US" w:eastAsia="zh-CN" w:bidi="ar"/>
              </w:rPr>
              <w:t>330.27</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b w:val="0"/>
                <w:bCs w:val="0"/>
                <w:sz w:val="24"/>
                <w:szCs w:val="24"/>
              </w:rPr>
            </w:pPr>
            <w:r>
              <w:rPr>
                <w:rFonts w:hint="eastAsia" w:ascii="宋体" w:hAnsi="宋体" w:eastAsia="宋体" w:cs="宋体"/>
                <w:b w:val="0"/>
                <w:bCs w:val="0"/>
                <w:i w:val="0"/>
                <w:iCs w:val="0"/>
                <w:color w:val="000000"/>
                <w:kern w:val="0"/>
                <w:sz w:val="22"/>
                <w:szCs w:val="22"/>
                <w:u w:val="none"/>
                <w:lang w:val="en-US" w:eastAsia="zh-CN" w:bidi="ar"/>
              </w:rPr>
              <w:t>257.24</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b w:val="0"/>
                <w:bCs w:val="0"/>
                <w:sz w:val="24"/>
                <w:szCs w:val="24"/>
              </w:rPr>
            </w:pPr>
            <w:r>
              <w:rPr>
                <w:rFonts w:hint="eastAsia" w:ascii="宋体" w:hAnsi="宋体" w:eastAsia="宋体" w:cs="宋体"/>
                <w:b w:val="0"/>
                <w:bCs w:val="0"/>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b w:val="0"/>
                <w:bCs w:val="0"/>
                <w:sz w:val="24"/>
                <w:szCs w:val="24"/>
              </w:rPr>
            </w:pPr>
            <w:r>
              <w:rPr>
                <w:rFonts w:hint="eastAsia" w:ascii="宋体" w:hAnsi="宋体" w:eastAsia="宋体" w:cs="宋体"/>
                <w:b w:val="0"/>
                <w:bCs w:val="0"/>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b w:val="0"/>
                <w:bCs w:val="0"/>
                <w:sz w:val="24"/>
                <w:szCs w:val="24"/>
              </w:rPr>
            </w:pPr>
            <w:r>
              <w:rPr>
                <w:rFonts w:hint="eastAsia" w:ascii="宋体" w:hAnsi="宋体" w:eastAsia="宋体" w:cs="宋体"/>
                <w:b w:val="0"/>
                <w:bCs w:val="0"/>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b w:val="0"/>
                <w:bCs w:val="0"/>
                <w:sz w:val="24"/>
                <w:szCs w:val="24"/>
              </w:rPr>
            </w:pPr>
            <w:r>
              <w:rPr>
                <w:rFonts w:hint="eastAsia" w:ascii="宋体" w:hAnsi="宋体" w:eastAsia="宋体" w:cs="宋体"/>
                <w:b w:val="0"/>
                <w:bCs w:val="0"/>
                <w:i w:val="0"/>
                <w:iCs w:val="0"/>
                <w:color w:val="000000"/>
                <w:kern w:val="0"/>
                <w:sz w:val="22"/>
                <w:szCs w:val="22"/>
                <w:u w:val="none"/>
                <w:lang w:val="en-US" w:eastAsia="zh-CN" w:bidi="ar"/>
              </w:rPr>
              <w:t>0.00</w:t>
            </w:r>
          </w:p>
        </w:tc>
        <w:tc>
          <w:tcPr>
            <w:tcW w:w="1829" w:type="dxa"/>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b w:val="0"/>
                <w:bCs w:val="0"/>
                <w:sz w:val="24"/>
                <w:szCs w:val="24"/>
              </w:rPr>
            </w:pPr>
            <w:r>
              <w:rPr>
                <w:rFonts w:hint="eastAsia" w:ascii="宋体" w:hAnsi="宋体" w:eastAsia="宋体" w:cs="宋体"/>
                <w:b w:val="0"/>
                <w:bCs w:val="0"/>
                <w:i w:val="0"/>
                <w:iCs w:val="0"/>
                <w:color w:val="000000"/>
                <w:kern w:val="0"/>
                <w:sz w:val="22"/>
                <w:szCs w:val="22"/>
                <w:u w:val="none"/>
                <w:lang w:val="en-US" w:eastAsia="zh-CN" w:bidi="ar"/>
              </w:rPr>
              <w:t>73.03</w:t>
            </w:r>
          </w:p>
        </w:tc>
      </w:tr>
      <w:tr>
        <w:tblPrEx>
          <w:tblLayout w:type="fixed"/>
          <w:tblCellMar>
            <w:top w:w="0" w:type="dxa"/>
            <w:left w:w="0" w:type="dxa"/>
            <w:bottom w:w="0" w:type="dxa"/>
            <w:right w:w="0" w:type="dxa"/>
          </w:tblCellMar>
        </w:tblPrEx>
        <w:trPr>
          <w:trHeight w:val="624" w:hRule="atLeast"/>
        </w:trPr>
        <w:tc>
          <w:tcPr>
            <w:tcW w:w="1032" w:type="dxa"/>
            <w:gridSpan w:val="3"/>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2130101</w:t>
            </w:r>
          </w:p>
        </w:tc>
        <w:tc>
          <w:tcPr>
            <w:tcW w:w="1605" w:type="dxa"/>
            <w:gridSpan w:val="2"/>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行政运行</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24.24</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24.24</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29" w:type="dxa"/>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24" w:hRule="atLeast"/>
        </w:trPr>
        <w:tc>
          <w:tcPr>
            <w:tcW w:w="1032" w:type="dxa"/>
            <w:gridSpan w:val="3"/>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2130104</w:t>
            </w:r>
          </w:p>
        </w:tc>
        <w:tc>
          <w:tcPr>
            <w:tcW w:w="1605" w:type="dxa"/>
            <w:gridSpan w:val="2"/>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事业运行</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143.00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143.00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29" w:type="dxa"/>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24" w:hRule="atLeast"/>
        </w:trPr>
        <w:tc>
          <w:tcPr>
            <w:tcW w:w="1032" w:type="dxa"/>
            <w:gridSpan w:val="3"/>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2130109</w:t>
            </w:r>
          </w:p>
        </w:tc>
        <w:tc>
          <w:tcPr>
            <w:tcW w:w="1605" w:type="dxa"/>
            <w:gridSpan w:val="2"/>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农产品质量安全</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29" w:type="dxa"/>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24" w:hRule="atLeast"/>
        </w:trPr>
        <w:tc>
          <w:tcPr>
            <w:tcW w:w="1032" w:type="dxa"/>
            <w:gridSpan w:val="3"/>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2130122</w:t>
            </w:r>
          </w:p>
        </w:tc>
        <w:tc>
          <w:tcPr>
            <w:tcW w:w="1605" w:type="dxa"/>
            <w:gridSpan w:val="2"/>
            <w:tcBorders>
              <w:top w:val="single" w:color="auto" w:sz="12" w:space="0"/>
              <w:left w:val="single" w:color="auto" w:sz="12" w:space="0"/>
              <w:bottom w:val="single" w:color="auto" w:sz="12" w:space="0"/>
              <w:right w:val="single" w:color="auto" w:sz="12" w:space="0"/>
            </w:tcBorders>
            <w:shd w:val="clear" w:color="000000" w:fill="FFFFFF"/>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农业生产发展</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153.03</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80.00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27" w:type="dxa"/>
            <w:gridSpan w:val="2"/>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29" w:type="dxa"/>
            <w:tcBorders>
              <w:top w:val="single" w:color="auto" w:sz="12" w:space="0"/>
              <w:left w:val="single" w:color="auto" w:sz="12" w:space="0"/>
              <w:bottom w:val="single" w:color="auto" w:sz="12" w:space="0"/>
              <w:right w:val="single" w:color="auto" w:sz="12" w:space="0"/>
            </w:tcBorders>
            <w:shd w:val="clear" w:color="auto" w:fill="auto"/>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73.03</w:t>
            </w:r>
          </w:p>
        </w:tc>
      </w:tr>
      <w:tr>
        <w:tblPrEx>
          <w:tblLayout w:type="fixed"/>
          <w:tblCellMar>
            <w:top w:w="0" w:type="dxa"/>
            <w:left w:w="0" w:type="dxa"/>
            <w:bottom w:w="0" w:type="dxa"/>
            <w:right w:w="0" w:type="dxa"/>
          </w:tblCellMar>
        </w:tblPrEx>
        <w:trPr>
          <w:trHeight w:val="615" w:hRule="atLeast"/>
        </w:trPr>
        <w:tc>
          <w:tcPr>
            <w:tcW w:w="15428" w:type="dxa"/>
            <w:gridSpan w:val="18"/>
            <w:tcBorders>
              <w:top w:val="single" w:color="auto" w:sz="12" w:space="0"/>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rPr>
          <w:rFonts w:ascii="Times New Roman" w:hAnsi="Times New Roman" w:eastAsia="方正小标宋_GBK" w:cs="Times New Roman"/>
          <w:color w:val="000000"/>
          <w:kern w:val="0"/>
          <w:sz w:val="36"/>
          <w:szCs w:val="36"/>
        </w:rPr>
      </w:pPr>
    </w:p>
    <w:tbl>
      <w:tblPr>
        <w:tblStyle w:val="9"/>
        <w:tblW w:w="15640" w:type="dxa"/>
        <w:tblInd w:w="93" w:type="dxa"/>
        <w:tblLayout w:type="fixed"/>
        <w:tblCellMar>
          <w:top w:w="0" w:type="dxa"/>
          <w:left w:w="108" w:type="dxa"/>
          <w:bottom w:w="0" w:type="dxa"/>
          <w:right w:w="108" w:type="dxa"/>
        </w:tblCellMar>
      </w:tblPr>
      <w:tblGrid>
        <w:gridCol w:w="1236"/>
        <w:gridCol w:w="263"/>
        <w:gridCol w:w="1481"/>
        <w:gridCol w:w="1952"/>
        <w:gridCol w:w="1991"/>
        <w:gridCol w:w="1991"/>
        <w:gridCol w:w="1991"/>
        <w:gridCol w:w="1991"/>
        <w:gridCol w:w="2744"/>
      </w:tblGrid>
      <w:tr>
        <w:tblPrEx>
          <w:tblLayout w:type="fixed"/>
          <w:tblCellMar>
            <w:top w:w="0" w:type="dxa"/>
            <w:left w:w="108" w:type="dxa"/>
            <w:bottom w:w="0" w:type="dxa"/>
            <w:right w:w="108" w:type="dxa"/>
          </w:tblCellMar>
        </w:tblPrEx>
        <w:trPr>
          <w:trHeight w:val="807" w:hRule="atLeast"/>
        </w:trPr>
        <w:tc>
          <w:tcPr>
            <w:tcW w:w="15640" w:type="dxa"/>
            <w:gridSpan w:val="9"/>
            <w:tcBorders>
              <w:top w:val="nil"/>
              <w:left w:val="nil"/>
              <w:bottom w:val="nil"/>
              <w:right w:val="nil"/>
            </w:tcBorders>
            <w:shd w:val="clear" w:color="auto" w:fill="auto"/>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Layout w:type="fixed"/>
          <w:tblCellMar>
            <w:top w:w="0" w:type="dxa"/>
            <w:left w:w="108" w:type="dxa"/>
            <w:bottom w:w="0" w:type="dxa"/>
            <w:right w:w="108" w:type="dxa"/>
          </w:tblCellMar>
        </w:tblPrEx>
        <w:trPr>
          <w:trHeight w:val="403" w:hRule="atLeast"/>
        </w:trPr>
        <w:tc>
          <w:tcPr>
            <w:tcW w:w="1236" w:type="dxa"/>
            <w:tcBorders>
              <w:top w:val="nil"/>
              <w:left w:val="nil"/>
              <w:bottom w:val="nil"/>
              <w:right w:val="nil"/>
              <w:tl2br w:val="nil"/>
            </w:tcBorders>
            <w:shd w:val="clear" w:color="000000" w:fill="FFFFFF"/>
            <w:vAlign w:val="center"/>
          </w:tcPr>
          <w:p>
            <w:pPr>
              <w:widowControl/>
              <w:jc w:val="right"/>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　</w:t>
            </w:r>
          </w:p>
        </w:tc>
        <w:tc>
          <w:tcPr>
            <w:tcW w:w="263" w:type="dxa"/>
            <w:tcBorders>
              <w:top w:val="nil"/>
              <w:left w:val="nil"/>
              <w:bottom w:val="nil"/>
              <w:right w:val="nil"/>
            </w:tcBorders>
            <w:shd w:val="clear" w:color="000000" w:fill="FFFFFF"/>
            <w:vAlign w:val="center"/>
          </w:tcPr>
          <w:p>
            <w:pPr>
              <w:widowControl/>
              <w:jc w:val="right"/>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　</w:t>
            </w:r>
          </w:p>
        </w:tc>
        <w:tc>
          <w:tcPr>
            <w:tcW w:w="1481" w:type="dxa"/>
            <w:tcBorders>
              <w:top w:val="nil"/>
              <w:left w:val="nil"/>
              <w:bottom w:val="nil"/>
              <w:right w:val="nil"/>
            </w:tcBorders>
            <w:shd w:val="clear" w:color="000000" w:fill="FFFFFF"/>
            <w:vAlign w:val="center"/>
          </w:tcPr>
          <w:p>
            <w:pPr>
              <w:widowControl/>
              <w:jc w:val="right"/>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　</w:t>
            </w:r>
          </w:p>
        </w:tc>
        <w:tc>
          <w:tcPr>
            <w:tcW w:w="1952" w:type="dxa"/>
            <w:tcBorders>
              <w:top w:val="nil"/>
              <w:left w:val="nil"/>
              <w:bottom w:val="nil"/>
              <w:right w:val="nil"/>
            </w:tcBorders>
            <w:shd w:val="clear" w:color="000000" w:fill="FFFFFF"/>
            <w:vAlign w:val="center"/>
          </w:tcPr>
          <w:p>
            <w:pPr>
              <w:widowControl/>
              <w:jc w:val="right"/>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　</w:t>
            </w:r>
          </w:p>
        </w:tc>
        <w:tc>
          <w:tcPr>
            <w:tcW w:w="1991" w:type="dxa"/>
            <w:tcBorders>
              <w:top w:val="nil"/>
              <w:left w:val="nil"/>
              <w:bottom w:val="nil"/>
              <w:right w:val="nil"/>
            </w:tcBorders>
            <w:shd w:val="clear" w:color="000000" w:fill="FFFFFF"/>
            <w:vAlign w:val="center"/>
          </w:tcPr>
          <w:p>
            <w:pPr>
              <w:widowControl/>
              <w:jc w:val="right"/>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　</w:t>
            </w:r>
          </w:p>
        </w:tc>
        <w:tc>
          <w:tcPr>
            <w:tcW w:w="1991" w:type="dxa"/>
            <w:tcBorders>
              <w:top w:val="nil"/>
              <w:left w:val="nil"/>
              <w:bottom w:val="nil"/>
              <w:right w:val="nil"/>
            </w:tcBorders>
            <w:shd w:val="clear" w:color="000000" w:fill="FFFFFF"/>
            <w:vAlign w:val="center"/>
          </w:tcPr>
          <w:p>
            <w:pPr>
              <w:widowControl/>
              <w:jc w:val="right"/>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　</w:t>
            </w:r>
          </w:p>
        </w:tc>
        <w:tc>
          <w:tcPr>
            <w:tcW w:w="1991" w:type="dxa"/>
            <w:tcBorders>
              <w:top w:val="nil"/>
              <w:left w:val="nil"/>
              <w:bottom w:val="nil"/>
              <w:right w:val="nil"/>
            </w:tcBorders>
            <w:shd w:val="clear" w:color="000000" w:fill="FFFFFF"/>
            <w:vAlign w:val="center"/>
          </w:tcPr>
          <w:p>
            <w:pPr>
              <w:widowControl/>
              <w:jc w:val="right"/>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　</w:t>
            </w:r>
          </w:p>
        </w:tc>
        <w:tc>
          <w:tcPr>
            <w:tcW w:w="1991" w:type="dxa"/>
            <w:tcBorders>
              <w:top w:val="nil"/>
              <w:left w:val="nil"/>
              <w:bottom w:val="nil"/>
              <w:right w:val="nil"/>
            </w:tcBorders>
            <w:shd w:val="clear" w:color="000000" w:fill="FFFFFF"/>
            <w:vAlign w:val="center"/>
          </w:tcPr>
          <w:p>
            <w:pPr>
              <w:widowControl/>
              <w:jc w:val="right"/>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　</w:t>
            </w:r>
          </w:p>
        </w:tc>
        <w:tc>
          <w:tcPr>
            <w:tcW w:w="2744" w:type="dxa"/>
            <w:tcBorders>
              <w:top w:val="nil"/>
              <w:left w:val="nil"/>
              <w:bottom w:val="nil"/>
              <w:right w:val="nil"/>
            </w:tcBorders>
            <w:shd w:val="clear" w:color="000000" w:fill="FFFFFF"/>
            <w:vAlign w:val="center"/>
          </w:tcPr>
          <w:p>
            <w:pPr>
              <w:widowControl/>
              <w:jc w:val="right"/>
              <w:rPr>
                <w:rFonts w:ascii="宋体" w:hAnsi="宋体" w:eastAsia="宋体" w:cs="宋体"/>
                <w:b w:val="0"/>
                <w:color w:val="000000"/>
                <w:kern w:val="0"/>
                <w:sz w:val="20"/>
                <w:szCs w:val="20"/>
              </w:rPr>
            </w:pPr>
            <w:r>
              <w:rPr>
                <w:rFonts w:hint="eastAsia" w:ascii="宋体" w:hAnsi="宋体" w:eastAsia="宋体" w:cs="宋体"/>
                <w:b w:val="0"/>
                <w:color w:val="000000"/>
                <w:kern w:val="0"/>
                <w:sz w:val="20"/>
                <w:szCs w:val="20"/>
              </w:rPr>
              <w:t>公开03表</w:t>
            </w:r>
          </w:p>
        </w:tc>
      </w:tr>
      <w:tr>
        <w:tblPrEx>
          <w:tblLayout w:type="fixed"/>
          <w:tblCellMar>
            <w:top w:w="0" w:type="dxa"/>
            <w:left w:w="108" w:type="dxa"/>
            <w:bottom w:w="0" w:type="dxa"/>
            <w:right w:w="108" w:type="dxa"/>
          </w:tblCellMar>
        </w:tblPrEx>
        <w:trPr>
          <w:trHeight w:val="398" w:hRule="atLeast"/>
        </w:trPr>
        <w:tc>
          <w:tcPr>
            <w:tcW w:w="4932" w:type="dxa"/>
            <w:gridSpan w:val="4"/>
            <w:tcBorders>
              <w:top w:val="nil"/>
              <w:left w:val="nil"/>
              <w:bottom w:val="single" w:color="auto" w:sz="12" w:space="0"/>
              <w:right w:val="nil"/>
            </w:tcBorders>
            <w:shd w:val="clear" w:color="000000" w:fill="FFFFFF"/>
            <w:vAlign w:val="top"/>
          </w:tcPr>
          <w:p>
            <w:pPr>
              <w:widowControl/>
              <w:jc w:val="left"/>
              <w:rPr>
                <w:rFonts w:ascii="宋体" w:hAnsi="宋体" w:eastAsia="宋体" w:cs="宋体"/>
                <w:b w:val="0"/>
                <w:color w:val="000000"/>
                <w:kern w:val="0"/>
                <w:sz w:val="24"/>
                <w:szCs w:val="24"/>
              </w:rPr>
            </w:pPr>
            <w:r>
              <w:rPr>
                <w:rFonts w:hint="eastAsia" w:ascii="宋体" w:hAnsi="宋体" w:eastAsia="宋体" w:cs="宋体"/>
                <w:b w:val="0"/>
                <w:color w:val="000000"/>
                <w:kern w:val="0"/>
                <w:sz w:val="20"/>
                <w:szCs w:val="20"/>
              </w:rPr>
              <w:t>部门：</w:t>
            </w:r>
            <w:r>
              <w:rPr>
                <w:rFonts w:hint="eastAsia" w:ascii="宋体" w:hAnsi="宋体" w:eastAsia="宋体" w:cs="宋体"/>
                <w:b w:val="0"/>
                <w:color w:val="000000"/>
                <w:kern w:val="0"/>
                <w:sz w:val="20"/>
                <w:szCs w:val="20"/>
                <w:lang w:val="en-US" w:eastAsia="zh-CN"/>
              </w:rPr>
              <w:t>湖南农作物种子南繁中心</w:t>
            </w:r>
          </w:p>
        </w:tc>
        <w:tc>
          <w:tcPr>
            <w:tcW w:w="1991" w:type="dxa"/>
            <w:tcBorders>
              <w:top w:val="nil"/>
              <w:left w:val="nil"/>
              <w:bottom w:val="single" w:color="auto" w:sz="12" w:space="0"/>
              <w:right w:val="nil"/>
            </w:tcBorders>
            <w:shd w:val="clear" w:color="000000" w:fill="FFFFFF"/>
            <w:vAlign w:val="center"/>
          </w:tcPr>
          <w:p>
            <w:pPr>
              <w:widowControl/>
              <w:jc w:val="right"/>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　</w:t>
            </w:r>
          </w:p>
        </w:tc>
        <w:tc>
          <w:tcPr>
            <w:tcW w:w="1991" w:type="dxa"/>
            <w:tcBorders>
              <w:top w:val="nil"/>
              <w:left w:val="nil"/>
              <w:bottom w:val="single" w:color="auto" w:sz="12" w:space="0"/>
              <w:right w:val="nil"/>
            </w:tcBorders>
            <w:shd w:val="clear" w:color="000000" w:fill="FFFFFF"/>
            <w:vAlign w:val="center"/>
          </w:tcPr>
          <w:p>
            <w:pPr>
              <w:widowControl/>
              <w:jc w:val="center"/>
              <w:rPr>
                <w:rFonts w:ascii="宋体" w:hAnsi="宋体" w:eastAsia="宋体" w:cs="宋体"/>
                <w:b w:val="0"/>
                <w:color w:val="000000"/>
                <w:kern w:val="0"/>
                <w:sz w:val="20"/>
                <w:szCs w:val="20"/>
              </w:rPr>
            </w:pPr>
            <w:r>
              <w:rPr>
                <w:rFonts w:hint="eastAsia" w:ascii="宋体" w:hAnsi="宋体" w:eastAsia="宋体" w:cs="宋体"/>
                <w:b w:val="0"/>
                <w:color w:val="000000"/>
                <w:kern w:val="0"/>
                <w:sz w:val="20"/>
                <w:szCs w:val="20"/>
              </w:rPr>
              <w:t>　</w:t>
            </w:r>
          </w:p>
        </w:tc>
        <w:tc>
          <w:tcPr>
            <w:tcW w:w="1991" w:type="dxa"/>
            <w:tcBorders>
              <w:top w:val="nil"/>
              <w:left w:val="nil"/>
              <w:bottom w:val="single" w:color="auto" w:sz="12" w:space="0"/>
              <w:right w:val="nil"/>
            </w:tcBorders>
            <w:shd w:val="clear" w:color="000000" w:fill="FFFFFF"/>
            <w:vAlign w:val="center"/>
          </w:tcPr>
          <w:p>
            <w:pPr>
              <w:widowControl/>
              <w:jc w:val="right"/>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　</w:t>
            </w:r>
          </w:p>
        </w:tc>
        <w:tc>
          <w:tcPr>
            <w:tcW w:w="1991" w:type="dxa"/>
            <w:tcBorders>
              <w:top w:val="nil"/>
              <w:left w:val="nil"/>
              <w:bottom w:val="single" w:color="auto" w:sz="12" w:space="0"/>
              <w:right w:val="nil"/>
            </w:tcBorders>
            <w:shd w:val="clear" w:color="000000" w:fill="FFFFFF"/>
            <w:vAlign w:val="center"/>
          </w:tcPr>
          <w:p>
            <w:pPr>
              <w:widowControl/>
              <w:jc w:val="right"/>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　</w:t>
            </w:r>
          </w:p>
        </w:tc>
        <w:tc>
          <w:tcPr>
            <w:tcW w:w="2744" w:type="dxa"/>
            <w:tcBorders>
              <w:top w:val="nil"/>
              <w:left w:val="nil"/>
              <w:bottom w:val="single" w:color="auto" w:sz="12" w:space="0"/>
              <w:right w:val="nil"/>
            </w:tcBorders>
            <w:shd w:val="clear" w:color="000000" w:fill="FFFFFF"/>
            <w:vAlign w:val="top"/>
          </w:tcPr>
          <w:p>
            <w:pPr>
              <w:widowControl/>
              <w:jc w:val="right"/>
              <w:rPr>
                <w:rFonts w:ascii="宋体" w:hAnsi="宋体" w:eastAsia="宋体" w:cs="宋体"/>
                <w:b w:val="0"/>
                <w:color w:val="000000"/>
                <w:kern w:val="0"/>
                <w:sz w:val="20"/>
                <w:szCs w:val="20"/>
              </w:rPr>
            </w:pPr>
            <w:r>
              <w:rPr>
                <w:rFonts w:hint="eastAsia" w:ascii="宋体" w:hAnsi="宋体" w:eastAsia="宋体" w:cs="宋体"/>
                <w:b w:val="0"/>
                <w:color w:val="000000"/>
                <w:kern w:val="0"/>
                <w:sz w:val="20"/>
                <w:szCs w:val="20"/>
              </w:rPr>
              <w:t>单位：万元</w:t>
            </w:r>
          </w:p>
        </w:tc>
      </w:tr>
      <w:tr>
        <w:tblPrEx>
          <w:tblLayout w:type="fixed"/>
          <w:tblCellMar>
            <w:top w:w="0" w:type="dxa"/>
            <w:left w:w="108" w:type="dxa"/>
            <w:bottom w:w="0" w:type="dxa"/>
            <w:right w:w="108" w:type="dxa"/>
          </w:tblCellMar>
        </w:tblPrEx>
        <w:trPr>
          <w:trHeight w:val="595" w:hRule="atLeast"/>
        </w:trPr>
        <w:tc>
          <w:tcPr>
            <w:tcW w:w="2980" w:type="dxa"/>
            <w:gridSpan w:val="3"/>
            <w:tcBorders>
              <w:top w:val="single" w:color="auto" w:sz="12" w:space="0"/>
              <w:left w:val="single" w:color="auto" w:sz="12" w:space="0"/>
              <w:bottom w:val="single" w:color="auto" w:sz="12" w:space="0"/>
              <w:right w:val="single" w:color="auto" w:sz="12" w:space="0"/>
              <w:tl2br w:val="nil"/>
            </w:tcBorders>
            <w:shd w:val="clear" w:color="000000" w:fill="FFFFFF"/>
            <w:vAlign w:val="center"/>
          </w:tcPr>
          <w:p>
            <w:pPr>
              <w:widowControl/>
              <w:jc w:val="center"/>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项    目</w:t>
            </w:r>
          </w:p>
        </w:tc>
        <w:tc>
          <w:tcPr>
            <w:tcW w:w="1952" w:type="dxa"/>
            <w:vMerge w:val="restart"/>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本年支出合计</w:t>
            </w:r>
          </w:p>
        </w:tc>
        <w:tc>
          <w:tcPr>
            <w:tcW w:w="1991" w:type="dxa"/>
            <w:vMerge w:val="restart"/>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基本支出</w:t>
            </w:r>
          </w:p>
        </w:tc>
        <w:tc>
          <w:tcPr>
            <w:tcW w:w="1991" w:type="dxa"/>
            <w:vMerge w:val="restart"/>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项目支出</w:t>
            </w:r>
          </w:p>
        </w:tc>
        <w:tc>
          <w:tcPr>
            <w:tcW w:w="1991" w:type="dxa"/>
            <w:vMerge w:val="restart"/>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上缴上级支出</w:t>
            </w:r>
          </w:p>
        </w:tc>
        <w:tc>
          <w:tcPr>
            <w:tcW w:w="1991" w:type="dxa"/>
            <w:vMerge w:val="restart"/>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经营支出</w:t>
            </w:r>
          </w:p>
        </w:tc>
        <w:tc>
          <w:tcPr>
            <w:tcW w:w="2744" w:type="dxa"/>
            <w:vMerge w:val="restart"/>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对附属单位补助支出</w:t>
            </w:r>
          </w:p>
        </w:tc>
      </w:tr>
      <w:tr>
        <w:tblPrEx>
          <w:tblLayout w:type="fixed"/>
          <w:tblCellMar>
            <w:top w:w="0" w:type="dxa"/>
            <w:left w:w="108" w:type="dxa"/>
            <w:bottom w:w="0" w:type="dxa"/>
            <w:right w:w="108" w:type="dxa"/>
          </w:tblCellMar>
        </w:tblPrEx>
        <w:trPr>
          <w:trHeight w:val="595" w:hRule="atLeast"/>
        </w:trPr>
        <w:tc>
          <w:tcPr>
            <w:tcW w:w="1499" w:type="dxa"/>
            <w:gridSpan w:val="2"/>
            <w:vMerge w:val="restart"/>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功能分类科目编码</w:t>
            </w:r>
          </w:p>
        </w:tc>
        <w:tc>
          <w:tcPr>
            <w:tcW w:w="1481" w:type="dxa"/>
            <w:vMerge w:val="restart"/>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科目名称</w:t>
            </w:r>
          </w:p>
        </w:tc>
        <w:tc>
          <w:tcPr>
            <w:tcW w:w="1952" w:type="dxa"/>
            <w:vMerge w:val="continue"/>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ascii="宋体" w:hAnsi="宋体" w:eastAsia="宋体" w:cs="宋体"/>
                <w:b w:val="0"/>
                <w:color w:val="000000"/>
                <w:kern w:val="0"/>
                <w:sz w:val="24"/>
                <w:szCs w:val="24"/>
              </w:rPr>
            </w:pPr>
          </w:p>
        </w:tc>
        <w:tc>
          <w:tcPr>
            <w:tcW w:w="1991" w:type="dxa"/>
            <w:vMerge w:val="continue"/>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ascii="宋体" w:hAnsi="宋体" w:eastAsia="宋体" w:cs="宋体"/>
                <w:b w:val="0"/>
                <w:color w:val="000000"/>
                <w:kern w:val="0"/>
                <w:sz w:val="24"/>
                <w:szCs w:val="24"/>
              </w:rPr>
            </w:pPr>
          </w:p>
        </w:tc>
        <w:tc>
          <w:tcPr>
            <w:tcW w:w="1991" w:type="dxa"/>
            <w:vMerge w:val="continue"/>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ascii="宋体" w:hAnsi="宋体" w:eastAsia="宋体" w:cs="宋体"/>
                <w:b w:val="0"/>
                <w:color w:val="000000"/>
                <w:kern w:val="0"/>
                <w:sz w:val="24"/>
                <w:szCs w:val="24"/>
              </w:rPr>
            </w:pPr>
          </w:p>
        </w:tc>
        <w:tc>
          <w:tcPr>
            <w:tcW w:w="1991" w:type="dxa"/>
            <w:vMerge w:val="continue"/>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ascii="宋体" w:hAnsi="宋体" w:eastAsia="宋体" w:cs="宋体"/>
                <w:b w:val="0"/>
                <w:color w:val="000000"/>
                <w:kern w:val="0"/>
                <w:sz w:val="24"/>
                <w:szCs w:val="24"/>
              </w:rPr>
            </w:pPr>
          </w:p>
        </w:tc>
        <w:tc>
          <w:tcPr>
            <w:tcW w:w="1991" w:type="dxa"/>
            <w:vMerge w:val="continue"/>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ascii="宋体" w:hAnsi="宋体" w:eastAsia="宋体" w:cs="宋体"/>
                <w:b w:val="0"/>
                <w:color w:val="000000"/>
                <w:kern w:val="0"/>
                <w:sz w:val="24"/>
                <w:szCs w:val="24"/>
              </w:rPr>
            </w:pPr>
          </w:p>
        </w:tc>
        <w:tc>
          <w:tcPr>
            <w:tcW w:w="2744" w:type="dxa"/>
            <w:vMerge w:val="continue"/>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ascii="宋体" w:hAnsi="宋体" w:eastAsia="宋体" w:cs="宋体"/>
                <w:b w:val="0"/>
                <w:color w:val="000000"/>
                <w:kern w:val="0"/>
                <w:sz w:val="24"/>
                <w:szCs w:val="24"/>
              </w:rPr>
            </w:pPr>
          </w:p>
        </w:tc>
      </w:tr>
      <w:tr>
        <w:tblPrEx>
          <w:tblLayout w:type="fixed"/>
          <w:tblCellMar>
            <w:top w:w="0" w:type="dxa"/>
            <w:left w:w="108" w:type="dxa"/>
            <w:bottom w:w="0" w:type="dxa"/>
            <w:right w:w="108" w:type="dxa"/>
          </w:tblCellMar>
        </w:tblPrEx>
        <w:trPr>
          <w:trHeight w:val="595" w:hRule="atLeast"/>
        </w:trPr>
        <w:tc>
          <w:tcPr>
            <w:tcW w:w="1499" w:type="dxa"/>
            <w:gridSpan w:val="2"/>
            <w:vMerge w:val="continue"/>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ascii="宋体" w:hAnsi="宋体" w:eastAsia="宋体" w:cs="宋体"/>
                <w:b w:val="0"/>
                <w:color w:val="000000"/>
                <w:kern w:val="0"/>
                <w:sz w:val="24"/>
                <w:szCs w:val="24"/>
              </w:rPr>
            </w:pPr>
          </w:p>
        </w:tc>
        <w:tc>
          <w:tcPr>
            <w:tcW w:w="1481" w:type="dxa"/>
            <w:vMerge w:val="continue"/>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ascii="宋体" w:hAnsi="宋体" w:eastAsia="宋体" w:cs="宋体"/>
                <w:b w:val="0"/>
                <w:color w:val="000000"/>
                <w:kern w:val="0"/>
                <w:sz w:val="24"/>
                <w:szCs w:val="24"/>
              </w:rPr>
            </w:pPr>
          </w:p>
        </w:tc>
        <w:tc>
          <w:tcPr>
            <w:tcW w:w="1952" w:type="dxa"/>
            <w:vMerge w:val="continue"/>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ascii="宋体" w:hAnsi="宋体" w:eastAsia="宋体" w:cs="宋体"/>
                <w:b w:val="0"/>
                <w:color w:val="000000"/>
                <w:kern w:val="0"/>
                <w:sz w:val="24"/>
                <w:szCs w:val="24"/>
              </w:rPr>
            </w:pPr>
          </w:p>
        </w:tc>
        <w:tc>
          <w:tcPr>
            <w:tcW w:w="1991" w:type="dxa"/>
            <w:vMerge w:val="continue"/>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ascii="宋体" w:hAnsi="宋体" w:eastAsia="宋体" w:cs="宋体"/>
                <w:b w:val="0"/>
                <w:color w:val="000000"/>
                <w:kern w:val="0"/>
                <w:sz w:val="24"/>
                <w:szCs w:val="24"/>
              </w:rPr>
            </w:pPr>
          </w:p>
        </w:tc>
        <w:tc>
          <w:tcPr>
            <w:tcW w:w="1991" w:type="dxa"/>
            <w:vMerge w:val="continue"/>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ascii="宋体" w:hAnsi="宋体" w:eastAsia="宋体" w:cs="宋体"/>
                <w:b w:val="0"/>
                <w:color w:val="000000"/>
                <w:kern w:val="0"/>
                <w:sz w:val="24"/>
                <w:szCs w:val="24"/>
              </w:rPr>
            </w:pPr>
          </w:p>
        </w:tc>
        <w:tc>
          <w:tcPr>
            <w:tcW w:w="1991" w:type="dxa"/>
            <w:vMerge w:val="continue"/>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ascii="宋体" w:hAnsi="宋体" w:eastAsia="宋体" w:cs="宋体"/>
                <w:b w:val="0"/>
                <w:color w:val="000000"/>
                <w:kern w:val="0"/>
                <w:sz w:val="24"/>
                <w:szCs w:val="24"/>
              </w:rPr>
            </w:pPr>
          </w:p>
        </w:tc>
        <w:tc>
          <w:tcPr>
            <w:tcW w:w="1991" w:type="dxa"/>
            <w:vMerge w:val="continue"/>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ascii="宋体" w:hAnsi="宋体" w:eastAsia="宋体" w:cs="宋体"/>
                <w:b w:val="0"/>
                <w:color w:val="000000"/>
                <w:kern w:val="0"/>
                <w:sz w:val="24"/>
                <w:szCs w:val="24"/>
              </w:rPr>
            </w:pPr>
          </w:p>
        </w:tc>
        <w:tc>
          <w:tcPr>
            <w:tcW w:w="2744" w:type="dxa"/>
            <w:vMerge w:val="continue"/>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ascii="宋体" w:hAnsi="宋体" w:eastAsia="宋体" w:cs="宋体"/>
                <w:b w:val="0"/>
                <w:color w:val="000000"/>
                <w:kern w:val="0"/>
                <w:sz w:val="24"/>
                <w:szCs w:val="24"/>
              </w:rPr>
            </w:pPr>
          </w:p>
        </w:tc>
      </w:tr>
      <w:tr>
        <w:tblPrEx>
          <w:tblLayout w:type="fixed"/>
          <w:tblCellMar>
            <w:top w:w="0" w:type="dxa"/>
            <w:left w:w="108" w:type="dxa"/>
            <w:bottom w:w="0" w:type="dxa"/>
            <w:right w:w="108" w:type="dxa"/>
          </w:tblCellMar>
        </w:tblPrEx>
        <w:trPr>
          <w:trHeight w:val="595" w:hRule="atLeast"/>
        </w:trPr>
        <w:tc>
          <w:tcPr>
            <w:tcW w:w="2980" w:type="dxa"/>
            <w:gridSpan w:val="3"/>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栏次</w:t>
            </w:r>
          </w:p>
        </w:tc>
        <w:tc>
          <w:tcPr>
            <w:tcW w:w="1952" w:type="dxa"/>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1</w:t>
            </w:r>
          </w:p>
        </w:tc>
        <w:tc>
          <w:tcPr>
            <w:tcW w:w="1991" w:type="dxa"/>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2</w:t>
            </w:r>
          </w:p>
        </w:tc>
        <w:tc>
          <w:tcPr>
            <w:tcW w:w="1991" w:type="dxa"/>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3</w:t>
            </w:r>
          </w:p>
        </w:tc>
        <w:tc>
          <w:tcPr>
            <w:tcW w:w="1991" w:type="dxa"/>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4</w:t>
            </w:r>
          </w:p>
        </w:tc>
        <w:tc>
          <w:tcPr>
            <w:tcW w:w="1991" w:type="dxa"/>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5</w:t>
            </w:r>
          </w:p>
        </w:tc>
        <w:tc>
          <w:tcPr>
            <w:tcW w:w="2744" w:type="dxa"/>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6</w:t>
            </w:r>
          </w:p>
        </w:tc>
      </w:tr>
      <w:tr>
        <w:tblPrEx>
          <w:tblLayout w:type="fixed"/>
          <w:tblCellMar>
            <w:top w:w="0" w:type="dxa"/>
            <w:left w:w="108" w:type="dxa"/>
            <w:bottom w:w="0" w:type="dxa"/>
            <w:right w:w="108" w:type="dxa"/>
          </w:tblCellMar>
        </w:tblPrEx>
        <w:trPr>
          <w:trHeight w:val="595" w:hRule="atLeast"/>
        </w:trPr>
        <w:tc>
          <w:tcPr>
            <w:tcW w:w="2980" w:type="dxa"/>
            <w:gridSpan w:val="3"/>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b w:val="0"/>
                <w:color w:val="000000"/>
                <w:kern w:val="0"/>
                <w:sz w:val="24"/>
                <w:szCs w:val="24"/>
              </w:rPr>
            </w:pPr>
            <w:r>
              <w:rPr>
                <w:rFonts w:hint="eastAsia" w:ascii="宋体" w:hAnsi="宋体" w:eastAsia="宋体" w:cs="宋体"/>
                <w:b w:val="0"/>
                <w:color w:val="000000"/>
                <w:kern w:val="0"/>
                <w:sz w:val="24"/>
                <w:szCs w:val="24"/>
              </w:rPr>
              <w:t>合计</w:t>
            </w:r>
          </w:p>
        </w:tc>
        <w:tc>
          <w:tcPr>
            <w:tcW w:w="1952"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b/>
                <w:bCs/>
                <w:i w:val="0"/>
                <w:iCs w:val="0"/>
                <w:color w:val="000000"/>
                <w:kern w:val="0"/>
                <w:sz w:val="22"/>
                <w:szCs w:val="22"/>
                <w:u w:val="none"/>
                <w:lang w:val="en-US" w:eastAsia="zh-CN" w:bidi="ar"/>
              </w:rPr>
              <w:t>476.91</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b/>
                <w:bCs/>
                <w:i w:val="0"/>
                <w:iCs w:val="0"/>
                <w:color w:val="000000"/>
                <w:kern w:val="0"/>
                <w:sz w:val="22"/>
                <w:szCs w:val="22"/>
                <w:u w:val="none"/>
                <w:lang w:val="en-US" w:eastAsia="zh-CN" w:bidi="ar"/>
              </w:rPr>
              <w:t>141.50</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b/>
                <w:bCs/>
                <w:i w:val="0"/>
                <w:iCs w:val="0"/>
                <w:color w:val="000000"/>
                <w:kern w:val="0"/>
                <w:sz w:val="22"/>
                <w:szCs w:val="22"/>
                <w:u w:val="none"/>
                <w:lang w:val="en-US" w:eastAsia="zh-CN" w:bidi="ar"/>
              </w:rPr>
              <w:t>335.41</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274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b/>
                <w:bCs/>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12" w:space="0"/>
              <w:left w:val="single" w:color="auto" w:sz="12" w:space="0"/>
              <w:bottom w:val="single" w:color="auto" w:sz="12" w:space="0"/>
              <w:right w:val="single" w:color="auto" w:sz="12" w:space="0"/>
            </w:tcBorders>
            <w:shd w:val="clear" w:color="000000" w:fill="FFFFFF"/>
            <w:vAlign w:val="center"/>
          </w:tcPr>
          <w:p>
            <w:pPr>
              <w:keepNext w:val="0"/>
              <w:keepLines w:val="0"/>
              <w:widowControl/>
              <w:suppressLineNumbers w:val="0"/>
              <w:jc w:val="left"/>
              <w:textAlignment w:val="center"/>
              <w:rPr>
                <w:rFonts w:ascii="宋体" w:hAnsi="宋体" w:eastAsia="宋体" w:cs="宋体"/>
                <w:b w:val="0"/>
                <w:color w:val="000000"/>
                <w:kern w:val="0"/>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213</w:t>
            </w:r>
          </w:p>
        </w:tc>
        <w:tc>
          <w:tcPr>
            <w:tcW w:w="1481" w:type="dxa"/>
            <w:tcBorders>
              <w:top w:val="single" w:color="auto" w:sz="12" w:space="0"/>
              <w:left w:val="single" w:color="auto" w:sz="12" w:space="0"/>
              <w:bottom w:val="single" w:color="auto" w:sz="12" w:space="0"/>
              <w:right w:val="single" w:color="auto" w:sz="12" w:space="0"/>
            </w:tcBorders>
            <w:shd w:val="clear" w:color="000000" w:fill="FFFFFF"/>
            <w:vAlign w:val="center"/>
          </w:tcPr>
          <w:p>
            <w:pPr>
              <w:keepNext w:val="0"/>
              <w:keepLines w:val="0"/>
              <w:widowControl/>
              <w:suppressLineNumbers w:val="0"/>
              <w:jc w:val="left"/>
              <w:textAlignment w:val="center"/>
              <w:rPr>
                <w:rFonts w:ascii="宋体" w:hAnsi="宋体" w:eastAsia="宋体" w:cs="宋体"/>
                <w:b w:val="0"/>
                <w:color w:val="000000"/>
                <w:kern w:val="0"/>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农林水支出</w:t>
            </w:r>
          </w:p>
        </w:tc>
        <w:tc>
          <w:tcPr>
            <w:tcW w:w="1952"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2"/>
                <w:szCs w:val="22"/>
                <w:u w:val="none"/>
                <w:lang w:val="en-US" w:eastAsia="zh-CN" w:bidi="ar"/>
              </w:rPr>
              <w:t>476.91</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2"/>
                <w:szCs w:val="22"/>
                <w:u w:val="none"/>
                <w:lang w:val="en-US" w:eastAsia="zh-CN" w:bidi="ar"/>
              </w:rPr>
              <w:t>141.50</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2"/>
                <w:szCs w:val="22"/>
                <w:u w:val="none"/>
                <w:lang w:val="en-US" w:eastAsia="zh-CN" w:bidi="ar"/>
              </w:rPr>
              <w:t>335.41</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2"/>
                <w:szCs w:val="22"/>
                <w:u w:val="none"/>
                <w:lang w:val="en-US" w:eastAsia="zh-CN" w:bidi="ar"/>
              </w:rPr>
              <w:t>0.00</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2"/>
                <w:szCs w:val="22"/>
                <w:u w:val="none"/>
                <w:lang w:val="en-US" w:eastAsia="zh-CN" w:bidi="ar"/>
              </w:rPr>
              <w:t>0.00</w:t>
            </w:r>
          </w:p>
        </w:tc>
        <w:tc>
          <w:tcPr>
            <w:tcW w:w="274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12" w:space="0"/>
              <w:left w:val="single" w:color="auto" w:sz="12" w:space="0"/>
              <w:bottom w:val="single" w:color="auto" w:sz="12" w:space="0"/>
              <w:right w:val="single" w:color="auto" w:sz="12" w:space="0"/>
            </w:tcBorders>
            <w:shd w:val="clear" w:color="000000" w:fill="FFFFFF"/>
            <w:vAlign w:val="center"/>
          </w:tcPr>
          <w:p>
            <w:pPr>
              <w:keepNext w:val="0"/>
              <w:keepLines w:val="0"/>
              <w:widowControl/>
              <w:suppressLineNumbers w:val="0"/>
              <w:jc w:val="left"/>
              <w:textAlignment w:val="center"/>
              <w:rPr>
                <w:rFonts w:ascii="宋体" w:hAnsi="宋体" w:eastAsia="宋体" w:cs="宋体"/>
                <w:b w:val="0"/>
                <w:color w:val="000000"/>
                <w:kern w:val="0"/>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21301</w:t>
            </w:r>
          </w:p>
        </w:tc>
        <w:tc>
          <w:tcPr>
            <w:tcW w:w="1481" w:type="dxa"/>
            <w:tcBorders>
              <w:top w:val="single" w:color="auto" w:sz="12" w:space="0"/>
              <w:left w:val="single" w:color="auto" w:sz="12" w:space="0"/>
              <w:bottom w:val="single" w:color="auto" w:sz="12" w:space="0"/>
              <w:right w:val="single" w:color="auto" w:sz="12" w:space="0"/>
            </w:tcBorders>
            <w:shd w:val="clear" w:color="000000" w:fill="FFFFFF"/>
            <w:vAlign w:val="center"/>
          </w:tcPr>
          <w:p>
            <w:pPr>
              <w:keepNext w:val="0"/>
              <w:keepLines w:val="0"/>
              <w:widowControl/>
              <w:suppressLineNumbers w:val="0"/>
              <w:jc w:val="left"/>
              <w:textAlignment w:val="center"/>
              <w:rPr>
                <w:rFonts w:ascii="宋体" w:hAnsi="宋体" w:eastAsia="宋体" w:cs="宋体"/>
                <w:b w:val="0"/>
                <w:color w:val="000000"/>
                <w:kern w:val="0"/>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农业农村</w:t>
            </w:r>
          </w:p>
        </w:tc>
        <w:tc>
          <w:tcPr>
            <w:tcW w:w="1952"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2"/>
                <w:szCs w:val="22"/>
                <w:u w:val="none"/>
                <w:lang w:val="en-US" w:eastAsia="zh-CN" w:bidi="ar"/>
              </w:rPr>
              <w:t>476.91</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2"/>
                <w:szCs w:val="22"/>
                <w:u w:val="none"/>
                <w:lang w:val="en-US" w:eastAsia="zh-CN" w:bidi="ar"/>
              </w:rPr>
              <w:t>141.50</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2"/>
                <w:szCs w:val="22"/>
                <w:u w:val="none"/>
                <w:lang w:val="en-US" w:eastAsia="zh-CN" w:bidi="ar"/>
              </w:rPr>
              <w:t>335.41</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2"/>
                <w:szCs w:val="22"/>
                <w:u w:val="none"/>
                <w:lang w:val="en-US" w:eastAsia="zh-CN" w:bidi="ar"/>
              </w:rPr>
              <w:t>0.00</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2"/>
                <w:szCs w:val="22"/>
                <w:u w:val="none"/>
                <w:lang w:val="en-US" w:eastAsia="zh-CN" w:bidi="ar"/>
              </w:rPr>
              <w:t>0.00</w:t>
            </w:r>
          </w:p>
        </w:tc>
        <w:tc>
          <w:tcPr>
            <w:tcW w:w="274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12" w:space="0"/>
              <w:left w:val="single" w:color="auto" w:sz="12" w:space="0"/>
              <w:bottom w:val="single" w:color="auto" w:sz="12" w:space="0"/>
              <w:right w:val="single" w:color="auto" w:sz="12" w:space="0"/>
            </w:tcBorders>
            <w:shd w:val="clear" w:color="000000" w:fill="FFFFFF"/>
            <w:vAlign w:val="center"/>
          </w:tcPr>
          <w:p>
            <w:pPr>
              <w:keepNext w:val="0"/>
              <w:keepLines w:val="0"/>
              <w:widowControl/>
              <w:suppressLineNumbers w:val="0"/>
              <w:jc w:val="left"/>
              <w:textAlignment w:val="center"/>
              <w:rPr>
                <w:rFonts w:ascii="宋体" w:hAnsi="宋体" w:eastAsia="宋体" w:cs="宋体"/>
                <w:b w:val="0"/>
                <w:color w:val="000000"/>
                <w:kern w:val="0"/>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2130101</w:t>
            </w:r>
          </w:p>
        </w:tc>
        <w:tc>
          <w:tcPr>
            <w:tcW w:w="1481" w:type="dxa"/>
            <w:tcBorders>
              <w:top w:val="single" w:color="auto" w:sz="12" w:space="0"/>
              <w:left w:val="single" w:color="auto" w:sz="12" w:space="0"/>
              <w:bottom w:val="single" w:color="auto" w:sz="12" w:space="0"/>
              <w:right w:val="single" w:color="auto" w:sz="12" w:space="0"/>
            </w:tcBorders>
            <w:shd w:val="clear" w:color="000000" w:fill="FFFFFF"/>
            <w:vAlign w:val="center"/>
          </w:tcPr>
          <w:p>
            <w:pPr>
              <w:keepNext w:val="0"/>
              <w:keepLines w:val="0"/>
              <w:widowControl/>
              <w:suppressLineNumbers w:val="0"/>
              <w:jc w:val="left"/>
              <w:textAlignment w:val="center"/>
              <w:rPr>
                <w:rFonts w:ascii="宋体" w:hAnsi="宋体" w:eastAsia="宋体" w:cs="宋体"/>
                <w:b w:val="0"/>
                <w:color w:val="000000"/>
                <w:kern w:val="0"/>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行政运行</w:t>
            </w:r>
          </w:p>
        </w:tc>
        <w:tc>
          <w:tcPr>
            <w:tcW w:w="1952"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17.29</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17.29</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74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12" w:space="0"/>
              <w:left w:val="single" w:color="auto" w:sz="12" w:space="0"/>
              <w:bottom w:val="single" w:color="auto" w:sz="12" w:space="0"/>
              <w:right w:val="single" w:color="auto" w:sz="12" w:space="0"/>
            </w:tcBorders>
            <w:shd w:val="clear" w:color="000000" w:fill="FFFFFF"/>
            <w:vAlign w:val="center"/>
          </w:tcPr>
          <w:p>
            <w:pPr>
              <w:keepNext w:val="0"/>
              <w:keepLines w:val="0"/>
              <w:widowControl/>
              <w:suppressLineNumbers w:val="0"/>
              <w:jc w:val="left"/>
              <w:textAlignment w:val="center"/>
              <w:rPr>
                <w:rFonts w:ascii="宋体" w:hAnsi="宋体" w:eastAsia="宋体" w:cs="宋体"/>
                <w:b w:val="0"/>
                <w:color w:val="000000"/>
                <w:kern w:val="0"/>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2130104</w:t>
            </w:r>
          </w:p>
        </w:tc>
        <w:tc>
          <w:tcPr>
            <w:tcW w:w="1481" w:type="dxa"/>
            <w:tcBorders>
              <w:top w:val="single" w:color="auto" w:sz="12" w:space="0"/>
              <w:left w:val="single" w:color="auto" w:sz="12" w:space="0"/>
              <w:bottom w:val="single" w:color="auto" w:sz="12" w:space="0"/>
              <w:right w:val="single" w:color="auto" w:sz="12" w:space="0"/>
            </w:tcBorders>
            <w:shd w:val="clear" w:color="000000" w:fill="FFFFFF"/>
            <w:vAlign w:val="center"/>
          </w:tcPr>
          <w:p>
            <w:pPr>
              <w:keepNext w:val="0"/>
              <w:keepLines w:val="0"/>
              <w:widowControl/>
              <w:suppressLineNumbers w:val="0"/>
              <w:jc w:val="left"/>
              <w:textAlignment w:val="center"/>
              <w:rPr>
                <w:rFonts w:ascii="宋体" w:hAnsi="宋体" w:eastAsia="宋体" w:cs="宋体"/>
                <w:b w:val="0"/>
                <w:color w:val="000000"/>
                <w:kern w:val="0"/>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事业运行</w:t>
            </w:r>
          </w:p>
        </w:tc>
        <w:tc>
          <w:tcPr>
            <w:tcW w:w="1952"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134.21</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124.21</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10.00</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74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12" w:space="0"/>
              <w:left w:val="single" w:color="auto" w:sz="12" w:space="0"/>
              <w:bottom w:val="single" w:color="auto" w:sz="12" w:space="0"/>
              <w:right w:val="single" w:color="auto" w:sz="12" w:space="0"/>
            </w:tcBorders>
            <w:shd w:val="clear" w:color="000000" w:fill="FFFFFF"/>
            <w:vAlign w:val="center"/>
          </w:tcPr>
          <w:p>
            <w:pPr>
              <w:keepNext w:val="0"/>
              <w:keepLines w:val="0"/>
              <w:widowControl/>
              <w:suppressLineNumbers w:val="0"/>
              <w:jc w:val="left"/>
              <w:textAlignment w:val="center"/>
              <w:rPr>
                <w:rFonts w:ascii="宋体" w:hAnsi="宋体" w:eastAsia="宋体" w:cs="宋体"/>
                <w:b w:val="0"/>
                <w:color w:val="000000"/>
                <w:kern w:val="0"/>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2130109</w:t>
            </w:r>
          </w:p>
        </w:tc>
        <w:tc>
          <w:tcPr>
            <w:tcW w:w="1481" w:type="dxa"/>
            <w:tcBorders>
              <w:top w:val="single" w:color="auto" w:sz="12" w:space="0"/>
              <w:left w:val="single" w:color="auto" w:sz="12" w:space="0"/>
              <w:bottom w:val="single" w:color="auto" w:sz="12" w:space="0"/>
              <w:right w:val="single" w:color="auto" w:sz="12" w:space="0"/>
            </w:tcBorders>
            <w:shd w:val="clear" w:color="000000" w:fill="FFFFFF"/>
            <w:vAlign w:val="center"/>
          </w:tcPr>
          <w:p>
            <w:pPr>
              <w:keepNext w:val="0"/>
              <w:keepLines w:val="0"/>
              <w:widowControl/>
              <w:suppressLineNumbers w:val="0"/>
              <w:jc w:val="left"/>
              <w:textAlignment w:val="center"/>
              <w:rPr>
                <w:rFonts w:ascii="宋体" w:hAnsi="宋体" w:eastAsia="宋体" w:cs="宋体"/>
                <w:b w:val="0"/>
                <w:color w:val="000000"/>
                <w:kern w:val="0"/>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农产品质量安全</w:t>
            </w:r>
          </w:p>
        </w:tc>
        <w:tc>
          <w:tcPr>
            <w:tcW w:w="1952"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10.00</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10.00</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74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12" w:space="0"/>
              <w:left w:val="single" w:color="auto" w:sz="12" w:space="0"/>
              <w:bottom w:val="single" w:color="auto" w:sz="12" w:space="0"/>
              <w:right w:val="single" w:color="auto" w:sz="12" w:space="0"/>
            </w:tcBorders>
            <w:shd w:val="clear" w:color="000000" w:fill="FFFFFF"/>
            <w:vAlign w:val="center"/>
          </w:tcPr>
          <w:p>
            <w:pPr>
              <w:keepNext w:val="0"/>
              <w:keepLines w:val="0"/>
              <w:widowControl/>
              <w:suppressLineNumbers w:val="0"/>
              <w:jc w:val="left"/>
              <w:textAlignment w:val="center"/>
              <w:rPr>
                <w:rFonts w:ascii="宋体" w:hAnsi="宋体" w:eastAsia="宋体" w:cs="宋体"/>
                <w:b w:val="0"/>
                <w:color w:val="000000"/>
                <w:kern w:val="0"/>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2130122</w:t>
            </w:r>
          </w:p>
        </w:tc>
        <w:tc>
          <w:tcPr>
            <w:tcW w:w="1481" w:type="dxa"/>
            <w:tcBorders>
              <w:top w:val="single" w:color="auto" w:sz="12" w:space="0"/>
              <w:left w:val="single" w:color="auto" w:sz="12" w:space="0"/>
              <w:bottom w:val="single" w:color="auto" w:sz="12" w:space="0"/>
              <w:right w:val="single" w:color="auto" w:sz="12" w:space="0"/>
            </w:tcBorders>
            <w:shd w:val="clear" w:color="000000" w:fill="FFFFFF"/>
            <w:vAlign w:val="center"/>
          </w:tcPr>
          <w:p>
            <w:pPr>
              <w:keepNext w:val="0"/>
              <w:keepLines w:val="0"/>
              <w:widowControl/>
              <w:suppressLineNumbers w:val="0"/>
              <w:jc w:val="left"/>
              <w:textAlignment w:val="center"/>
              <w:rPr>
                <w:rFonts w:ascii="宋体" w:hAnsi="宋体" w:eastAsia="宋体" w:cs="宋体"/>
                <w:b w:val="0"/>
                <w:color w:val="000000"/>
                <w:kern w:val="0"/>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农业生产发展</w:t>
            </w:r>
          </w:p>
        </w:tc>
        <w:tc>
          <w:tcPr>
            <w:tcW w:w="1952"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315.41</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315.41</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91"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74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828" w:hRule="atLeast"/>
        </w:trPr>
        <w:tc>
          <w:tcPr>
            <w:tcW w:w="15640" w:type="dxa"/>
            <w:gridSpan w:val="9"/>
            <w:tcBorders>
              <w:top w:val="single" w:color="auto" w:sz="12" w:space="0"/>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jc w:val="both"/>
        <w:rPr>
          <w:rFonts w:ascii="Times New Roman" w:hAnsi="Times New Roman" w:eastAsia="方正小标宋_GBK" w:cs="Times New Roman"/>
          <w:color w:val="000000"/>
          <w:kern w:val="0"/>
          <w:sz w:val="36"/>
          <w:szCs w:val="21"/>
        </w:rPr>
      </w:pPr>
    </w:p>
    <w:tbl>
      <w:tblPr>
        <w:tblStyle w:val="9"/>
        <w:tblW w:w="15521" w:type="dxa"/>
        <w:tblInd w:w="93" w:type="dxa"/>
        <w:tblLayout w:type="fixed"/>
        <w:tblCellMar>
          <w:top w:w="0" w:type="dxa"/>
          <w:left w:w="108" w:type="dxa"/>
          <w:bottom w:w="0" w:type="dxa"/>
          <w:right w:w="108" w:type="dxa"/>
        </w:tblCellMar>
      </w:tblPr>
      <w:tblGrid>
        <w:gridCol w:w="3595"/>
        <w:gridCol w:w="436"/>
        <w:gridCol w:w="1078"/>
        <w:gridCol w:w="496"/>
        <w:gridCol w:w="2915"/>
        <w:gridCol w:w="632"/>
        <w:gridCol w:w="435"/>
        <w:gridCol w:w="1573"/>
        <w:gridCol w:w="1394"/>
        <w:gridCol w:w="1394"/>
        <w:gridCol w:w="1573"/>
      </w:tblGrid>
      <w:tr>
        <w:tblPrEx>
          <w:tblLayout w:type="fixed"/>
          <w:tblCellMar>
            <w:top w:w="0" w:type="dxa"/>
            <w:left w:w="108" w:type="dxa"/>
            <w:bottom w:w="0" w:type="dxa"/>
            <w:right w:w="108" w:type="dxa"/>
          </w:tblCellMar>
        </w:tblPrEx>
        <w:trPr>
          <w:trHeight w:val="285" w:hRule="atLeast"/>
        </w:trPr>
        <w:tc>
          <w:tcPr>
            <w:tcW w:w="3595" w:type="dxa"/>
            <w:tcBorders>
              <w:top w:val="nil"/>
              <w:left w:val="nil"/>
              <w:bottom w:val="nil"/>
              <w:right w:val="nil"/>
            </w:tcBorders>
            <w:shd w:val="clear" w:color="auto" w:fill="auto"/>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436" w:type="dxa"/>
            <w:tcBorders>
              <w:top w:val="nil"/>
              <w:left w:val="nil"/>
              <w:bottom w:val="nil"/>
              <w:right w:val="nil"/>
            </w:tcBorders>
            <w:shd w:val="clear" w:color="auto" w:fill="auto"/>
            <w:vAlign w:val="center"/>
          </w:tcPr>
          <w:p>
            <w:pPr>
              <w:widowControl/>
              <w:jc w:val="right"/>
              <w:rPr>
                <w:rFonts w:ascii="宋体" w:hAnsi="宋体" w:eastAsia="宋体" w:cs="宋体"/>
                <w:kern w:val="0"/>
                <w:sz w:val="24"/>
                <w:szCs w:val="24"/>
              </w:rPr>
            </w:pPr>
          </w:p>
        </w:tc>
        <w:tc>
          <w:tcPr>
            <w:tcW w:w="1574" w:type="dxa"/>
            <w:gridSpan w:val="2"/>
            <w:tcBorders>
              <w:top w:val="nil"/>
              <w:left w:val="nil"/>
              <w:bottom w:val="nil"/>
              <w:right w:val="nil"/>
            </w:tcBorders>
            <w:shd w:val="clear" w:color="auto" w:fill="auto"/>
            <w:vAlign w:val="center"/>
          </w:tcPr>
          <w:p>
            <w:pPr>
              <w:widowControl/>
              <w:jc w:val="right"/>
              <w:rPr>
                <w:rFonts w:ascii="宋体" w:hAnsi="宋体" w:eastAsia="宋体" w:cs="宋体"/>
                <w:kern w:val="0"/>
                <w:sz w:val="24"/>
                <w:szCs w:val="24"/>
              </w:rPr>
            </w:pPr>
          </w:p>
        </w:tc>
        <w:tc>
          <w:tcPr>
            <w:tcW w:w="3547" w:type="dxa"/>
            <w:gridSpan w:val="2"/>
            <w:tcBorders>
              <w:top w:val="nil"/>
              <w:left w:val="nil"/>
              <w:bottom w:val="nil"/>
              <w:right w:val="nil"/>
            </w:tcBorders>
            <w:shd w:val="clear" w:color="auto" w:fill="auto"/>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vAlign w:val="center"/>
          </w:tcPr>
          <w:p>
            <w:pPr>
              <w:widowControl/>
              <w:jc w:val="righ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Layout w:type="fixed"/>
          <w:tblCellMar>
            <w:top w:w="0" w:type="dxa"/>
            <w:left w:w="108" w:type="dxa"/>
            <w:bottom w:w="0" w:type="dxa"/>
            <w:right w:w="108" w:type="dxa"/>
          </w:tblCellMar>
        </w:tblPrEx>
        <w:trPr>
          <w:trHeight w:val="199" w:hRule="atLeast"/>
        </w:trPr>
        <w:tc>
          <w:tcPr>
            <w:tcW w:w="3595" w:type="dxa"/>
            <w:tcBorders>
              <w:top w:val="nil"/>
              <w:left w:val="nil"/>
              <w:bottom w:val="nil"/>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Layout w:type="fixed"/>
          <w:tblCellMar>
            <w:top w:w="0" w:type="dxa"/>
            <w:left w:w="108" w:type="dxa"/>
            <w:bottom w:w="0" w:type="dxa"/>
            <w:right w:w="108" w:type="dxa"/>
          </w:tblCellMar>
        </w:tblPrEx>
        <w:trPr>
          <w:trHeight w:val="300" w:hRule="atLeast"/>
        </w:trPr>
        <w:tc>
          <w:tcPr>
            <w:tcW w:w="3595" w:type="dxa"/>
            <w:tcBorders>
              <w:top w:val="nil"/>
              <w:left w:val="nil"/>
              <w:bottom w:val="single" w:color="auto" w:sz="12" w:space="0"/>
              <w:right w:val="nil"/>
            </w:tcBorders>
            <w:shd w:val="clear" w:color="000000" w:fill="FFFFFF"/>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hint="eastAsia" w:ascii="Times New Roman" w:hAnsi="Times New Roman" w:eastAsia="仿宋_GB2312" w:cs="Times New Roman"/>
                <w:color w:val="000000"/>
                <w:kern w:val="0"/>
                <w:szCs w:val="21"/>
                <w:lang w:val="en-US" w:eastAsia="zh-CN"/>
              </w:rPr>
              <w:t>湖南省农作物种子南繁中心</w:t>
            </w:r>
          </w:p>
        </w:tc>
        <w:tc>
          <w:tcPr>
            <w:tcW w:w="436" w:type="dxa"/>
            <w:tcBorders>
              <w:top w:val="nil"/>
              <w:left w:val="nil"/>
              <w:bottom w:val="single" w:color="auto" w:sz="12" w:space="0"/>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single" w:color="auto" w:sz="12" w:space="0"/>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single" w:color="auto" w:sz="12" w:space="0"/>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single" w:color="auto" w:sz="12" w:space="0"/>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single" w:color="auto" w:sz="12" w:space="0"/>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single" w:color="auto" w:sz="12" w:space="0"/>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single" w:color="auto" w:sz="12" w:space="0"/>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single" w:color="auto" w:sz="12" w:space="0"/>
              <w:right w:val="nil"/>
            </w:tcBorders>
            <w:shd w:val="clear" w:color="000000" w:fill="FFFFFF"/>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402" w:hRule="atLeast"/>
        </w:trPr>
        <w:tc>
          <w:tcPr>
            <w:tcW w:w="5109" w:type="dxa"/>
            <w:gridSpan w:val="3"/>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8"/>
            <w:tcBorders>
              <w:top w:val="single" w:color="auto" w:sz="12" w:space="0"/>
              <w:left w:val="single" w:color="auto" w:sz="12" w:space="0"/>
              <w:bottom w:val="single" w:color="auto" w:sz="12" w:space="0"/>
              <w:right w:val="single" w:color="auto" w:sz="12"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Layout w:type="fixed"/>
          <w:tblCellMar>
            <w:top w:w="0" w:type="dxa"/>
            <w:left w:w="108" w:type="dxa"/>
            <w:bottom w:w="0" w:type="dxa"/>
            <w:right w:w="108" w:type="dxa"/>
          </w:tblCellMar>
        </w:tblPrEx>
        <w:trPr>
          <w:trHeight w:val="630"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257.24</w:t>
            </w: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33</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二、外交支出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34</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三、国防支出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35</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ascii="宋体" w:hAnsi="宋体" w:eastAsia="宋体" w:cs="宋体"/>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四、公共安全支出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36</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5</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ascii="宋体" w:hAnsi="宋体" w:eastAsia="宋体" w:cs="宋体"/>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五、教育支出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37</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6</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ascii="宋体" w:hAnsi="宋体" w:eastAsia="宋体" w:cs="宋体"/>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六、科学技术支出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38</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7</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ascii="宋体" w:hAnsi="宋体" w:eastAsia="宋体" w:cs="宋体"/>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39</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8</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ascii="宋体" w:hAnsi="宋体" w:eastAsia="宋体" w:cs="宋体"/>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hint="eastAsia" w:ascii="宋体" w:hAnsi="宋体" w:eastAsia="宋体" w:cs="宋体"/>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9</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eastAsia" w:ascii="宋体" w:hAnsi="宋体" w:eastAsia="宋体" w:cs="宋体"/>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九、卫生健康支出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41</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hint="eastAsia" w:ascii="宋体" w:hAnsi="宋体" w:eastAsia="宋体" w:cs="宋体"/>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10</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eastAsia" w:ascii="宋体" w:hAnsi="宋体" w:eastAsia="宋体" w:cs="宋体"/>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十、节能环保支出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42</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hint="eastAsia" w:ascii="宋体" w:hAnsi="宋体" w:eastAsia="宋体" w:cs="宋体"/>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11</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eastAsia" w:ascii="宋体" w:hAnsi="宋体" w:eastAsia="宋体" w:cs="宋体"/>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十一、城乡社区支出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43</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hint="eastAsia" w:ascii="宋体" w:hAnsi="宋体" w:eastAsia="宋体" w:cs="宋体"/>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12</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eastAsia" w:ascii="宋体" w:hAnsi="宋体" w:eastAsia="宋体" w:cs="宋体"/>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十二、农林水支出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44</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241.50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241.50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hint="eastAsia" w:ascii="宋体" w:hAnsi="宋体" w:eastAsia="宋体" w:cs="宋体"/>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13</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eastAsia" w:ascii="宋体" w:hAnsi="宋体" w:eastAsia="宋体" w:cs="宋体"/>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十三、交通运输支出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45</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hint="eastAsia" w:ascii="宋体" w:hAnsi="宋体" w:eastAsia="宋体" w:cs="宋体"/>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14</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eastAsia" w:ascii="宋体" w:hAnsi="宋体" w:eastAsia="宋体" w:cs="宋体"/>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46</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hint="eastAsia" w:ascii="宋体" w:hAnsi="宋体" w:eastAsia="宋体" w:cs="宋体"/>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15</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eastAsia" w:ascii="宋体" w:hAnsi="宋体" w:eastAsia="宋体" w:cs="宋体"/>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47</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hint="eastAsia" w:ascii="宋体" w:hAnsi="宋体" w:eastAsia="宋体" w:cs="宋体"/>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16</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eastAsia" w:ascii="宋体" w:hAnsi="宋体" w:eastAsia="宋体" w:cs="宋体"/>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十六、金融支出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48</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hint="eastAsia" w:ascii="宋体" w:hAnsi="宋体" w:eastAsia="宋体" w:cs="宋体"/>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17</w:t>
            </w:r>
          </w:p>
        </w:tc>
        <w:tc>
          <w:tcPr>
            <w:tcW w:w="1078"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eastAsia" w:ascii="宋体" w:hAnsi="宋体" w:eastAsia="宋体" w:cs="宋体"/>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49</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l2br w:val="nil"/>
            </w:tcBorders>
            <w:shd w:val="clear" w:color="auto" w:fill="FFFFFF"/>
            <w:vAlign w:val="center"/>
          </w:tcPr>
          <w:p>
            <w:pPr>
              <w:widowControl/>
              <w:jc w:val="left"/>
              <w:rPr>
                <w:rFonts w:hint="eastAsia" w:ascii="宋体" w:hAnsi="宋体" w:eastAsia="宋体" w:cs="宋体"/>
                <w:b w:val="0"/>
                <w:color w:val="000000"/>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18</w:t>
            </w:r>
          </w:p>
        </w:tc>
        <w:tc>
          <w:tcPr>
            <w:tcW w:w="1078"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color w:val="000000"/>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十八、自然资源海洋气象等支出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50</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hint="eastAsia" w:ascii="宋体" w:hAnsi="宋体" w:eastAsia="宋体" w:cs="宋体"/>
                <w:b w:val="0"/>
                <w:color w:val="000000"/>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19</w:t>
            </w:r>
          </w:p>
        </w:tc>
        <w:tc>
          <w:tcPr>
            <w:tcW w:w="1078"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color w:val="000000"/>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十九、住房保障支出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51</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hint="eastAsia" w:ascii="宋体" w:hAnsi="宋体" w:eastAsia="宋体" w:cs="宋体"/>
                <w:b w:val="0"/>
                <w:color w:val="000000"/>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20</w:t>
            </w:r>
          </w:p>
        </w:tc>
        <w:tc>
          <w:tcPr>
            <w:tcW w:w="1078"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color w:val="000000"/>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二十、粮油物资储备支出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52</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hint="eastAsia" w:ascii="宋体" w:hAnsi="宋体" w:eastAsia="宋体" w:cs="宋体"/>
                <w:b w:val="0"/>
                <w:color w:val="000000"/>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21</w:t>
            </w:r>
          </w:p>
        </w:tc>
        <w:tc>
          <w:tcPr>
            <w:tcW w:w="1078"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color w:val="000000"/>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二十一、国有资本经营预算支出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53</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hint="eastAsia" w:ascii="宋体" w:hAnsi="宋体" w:eastAsia="宋体" w:cs="宋体"/>
                <w:b w:val="0"/>
                <w:color w:val="000000"/>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22</w:t>
            </w:r>
          </w:p>
        </w:tc>
        <w:tc>
          <w:tcPr>
            <w:tcW w:w="1078"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color w:val="000000"/>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二十二、灾害防治及应急管理支出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54</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hint="eastAsia" w:ascii="宋体" w:hAnsi="宋体" w:eastAsia="宋体" w:cs="宋体"/>
                <w:b w:val="0"/>
                <w:color w:val="000000"/>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23</w:t>
            </w:r>
          </w:p>
        </w:tc>
        <w:tc>
          <w:tcPr>
            <w:tcW w:w="1078"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color w:val="000000"/>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二十三、其他支出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55</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hint="eastAsia" w:ascii="宋体" w:hAnsi="宋体" w:eastAsia="宋体" w:cs="宋体"/>
                <w:b w:val="0"/>
                <w:color w:val="000000"/>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24</w:t>
            </w:r>
          </w:p>
        </w:tc>
        <w:tc>
          <w:tcPr>
            <w:tcW w:w="1078"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color w:val="000000"/>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二十四、债务还本支出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56</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hint="eastAsia" w:ascii="宋体" w:hAnsi="宋体" w:eastAsia="宋体" w:cs="宋体"/>
                <w:b w:val="0"/>
                <w:color w:val="000000"/>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25</w:t>
            </w:r>
          </w:p>
        </w:tc>
        <w:tc>
          <w:tcPr>
            <w:tcW w:w="1078"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color w:val="000000"/>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二十五、债务付息支出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57</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hint="eastAsia" w:ascii="宋体" w:hAnsi="宋体" w:eastAsia="宋体" w:cs="宋体"/>
                <w:b w:val="0"/>
                <w:color w:val="000000"/>
                <w:kern w:val="0"/>
                <w:sz w:val="22"/>
              </w:rPr>
            </w:pPr>
          </w:p>
        </w:tc>
        <w:tc>
          <w:tcPr>
            <w:tcW w:w="43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26</w:t>
            </w:r>
          </w:p>
        </w:tc>
        <w:tc>
          <w:tcPr>
            <w:tcW w:w="1078"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hint="eastAsia" w:ascii="宋体" w:hAnsi="宋体" w:eastAsia="宋体" w:cs="宋体"/>
                <w:b w:val="0"/>
                <w:color w:val="000000"/>
                <w:kern w:val="0"/>
                <w:sz w:val="22"/>
              </w:rPr>
            </w:pPr>
          </w:p>
        </w:tc>
        <w:tc>
          <w:tcPr>
            <w:tcW w:w="3411"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二十六、抗疫特别国债安排的支出</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58</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center"/>
              <w:rPr>
                <w:rFonts w:hint="eastAsia" w:ascii="宋体" w:hAnsi="宋体" w:eastAsia="宋体" w:cs="宋体"/>
                <w:b w:val="0"/>
                <w:bCs/>
                <w:color w:val="000000"/>
                <w:kern w:val="0"/>
                <w:sz w:val="22"/>
                <w:szCs w:val="22"/>
                <w:lang w:val="en-US" w:eastAsia="zh-CN" w:bidi="ar-SA"/>
              </w:rPr>
            </w:pPr>
            <w:r>
              <w:rPr>
                <w:rFonts w:hint="eastAsia" w:ascii="宋体" w:hAnsi="宋体" w:eastAsia="宋体" w:cs="宋体"/>
                <w:b w:val="0"/>
                <w:bCs/>
                <w:color w:val="000000"/>
                <w:kern w:val="0"/>
                <w:sz w:val="22"/>
              </w:rPr>
              <w:t>本年收入合计</w:t>
            </w:r>
          </w:p>
        </w:tc>
        <w:tc>
          <w:tcPr>
            <w:tcW w:w="43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27</w:t>
            </w:r>
          </w:p>
        </w:tc>
        <w:tc>
          <w:tcPr>
            <w:tcW w:w="107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color w:val="000000"/>
                <w:kern w:val="0"/>
                <w:sz w:val="22"/>
              </w:rPr>
            </w:pPr>
            <w:r>
              <w:rPr>
                <w:rFonts w:hint="eastAsia" w:ascii="宋体" w:hAnsi="宋体" w:eastAsia="宋体" w:cs="宋体"/>
                <w:b w:val="0"/>
                <w:bCs/>
                <w:i w:val="0"/>
                <w:iCs w:val="0"/>
                <w:color w:val="000000"/>
                <w:kern w:val="0"/>
                <w:sz w:val="22"/>
                <w:szCs w:val="22"/>
                <w:u w:val="none"/>
                <w:lang w:val="en-US" w:eastAsia="zh-CN" w:bidi="ar"/>
              </w:rPr>
              <w:t>257.24</w:t>
            </w:r>
          </w:p>
        </w:tc>
        <w:tc>
          <w:tcPr>
            <w:tcW w:w="3411"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center"/>
              <w:rPr>
                <w:rFonts w:hint="eastAsia" w:ascii="宋体" w:hAnsi="宋体" w:eastAsia="宋体" w:cs="宋体"/>
                <w:b w:val="0"/>
                <w:bCs/>
                <w:color w:val="000000"/>
                <w:kern w:val="0"/>
                <w:sz w:val="22"/>
                <w:szCs w:val="22"/>
                <w:lang w:val="en-US" w:eastAsia="zh-CN" w:bidi="ar-SA"/>
              </w:rPr>
            </w:pPr>
            <w:r>
              <w:rPr>
                <w:rFonts w:hint="eastAsia" w:ascii="宋体" w:hAnsi="宋体" w:eastAsia="宋体" w:cs="宋体"/>
                <w:b w:val="0"/>
                <w:bCs/>
                <w:color w:val="000000"/>
                <w:kern w:val="0"/>
                <w:sz w:val="22"/>
              </w:rPr>
              <w:t>本年支出合计</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59</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bCs/>
                <w:color w:val="000000"/>
                <w:kern w:val="0"/>
                <w:sz w:val="22"/>
              </w:rPr>
            </w:pPr>
            <w:r>
              <w:rPr>
                <w:rFonts w:hint="eastAsia" w:ascii="宋体" w:hAnsi="宋体" w:eastAsia="宋体" w:cs="宋体"/>
                <w:b w:val="0"/>
                <w:bCs/>
                <w:i w:val="0"/>
                <w:iCs w:val="0"/>
                <w:color w:val="000000"/>
                <w:kern w:val="0"/>
                <w:sz w:val="22"/>
                <w:szCs w:val="22"/>
                <w:u w:val="none"/>
                <w:lang w:val="en-US" w:eastAsia="zh-CN" w:bidi="ar"/>
              </w:rPr>
              <w:t>241.50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bCs/>
                <w:color w:val="000000"/>
                <w:kern w:val="0"/>
                <w:sz w:val="22"/>
              </w:rPr>
            </w:pPr>
            <w:r>
              <w:rPr>
                <w:rFonts w:hint="eastAsia" w:ascii="宋体" w:hAnsi="宋体" w:eastAsia="宋体" w:cs="宋体"/>
                <w:b w:val="0"/>
                <w:bCs/>
                <w:i w:val="0"/>
                <w:iCs w:val="0"/>
                <w:color w:val="000000"/>
                <w:kern w:val="0"/>
                <w:sz w:val="22"/>
                <w:szCs w:val="22"/>
                <w:u w:val="none"/>
                <w:lang w:val="en-US" w:eastAsia="zh-CN" w:bidi="ar"/>
              </w:rPr>
              <w:t>241.50</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bCs/>
                <w:color w:val="000000"/>
                <w:kern w:val="0"/>
                <w:sz w:val="22"/>
              </w:rPr>
            </w:pPr>
            <w:r>
              <w:rPr>
                <w:rFonts w:hint="eastAsia" w:ascii="宋体" w:hAnsi="宋体" w:eastAsia="宋体" w:cs="宋体"/>
                <w:b w:val="0"/>
                <w:bCs/>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val="0"/>
                <w:bCs/>
                <w:color w:val="000000"/>
                <w:kern w:val="0"/>
                <w:sz w:val="22"/>
              </w:rPr>
            </w:pPr>
            <w:r>
              <w:rPr>
                <w:rFonts w:hint="eastAsia" w:ascii="宋体" w:hAnsi="宋体" w:eastAsia="宋体" w:cs="宋体"/>
                <w:b w:val="0"/>
                <w:bCs/>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center"/>
              <w:rPr>
                <w:rFonts w:ascii="宋体" w:hAnsi="宋体" w:eastAsia="宋体" w:cs="宋体"/>
                <w:b w:val="0"/>
                <w:color w:val="000000"/>
                <w:kern w:val="0"/>
                <w:sz w:val="22"/>
                <w:szCs w:val="22"/>
                <w:lang w:val="en-US" w:eastAsia="zh-CN" w:bidi="ar-SA"/>
              </w:rPr>
            </w:pPr>
            <w:r>
              <w:rPr>
                <w:rFonts w:hint="eastAsia" w:ascii="宋体" w:hAnsi="宋体" w:eastAsia="宋体" w:cs="宋体"/>
                <w:b w:val="0"/>
                <w:color w:val="000000"/>
                <w:kern w:val="0"/>
                <w:sz w:val="22"/>
              </w:rPr>
              <w:t>年初财政拨款结转和结余</w:t>
            </w:r>
          </w:p>
        </w:tc>
        <w:tc>
          <w:tcPr>
            <w:tcW w:w="43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28</w:t>
            </w:r>
          </w:p>
        </w:tc>
        <w:tc>
          <w:tcPr>
            <w:tcW w:w="107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3411"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center"/>
              <w:rPr>
                <w:rFonts w:ascii="宋体" w:hAnsi="宋体" w:eastAsia="宋体" w:cs="宋体"/>
                <w:b w:val="0"/>
                <w:color w:val="000000"/>
                <w:kern w:val="0"/>
                <w:sz w:val="22"/>
                <w:szCs w:val="22"/>
                <w:lang w:val="en-US" w:eastAsia="zh-CN" w:bidi="ar-SA"/>
              </w:rPr>
            </w:pPr>
            <w:r>
              <w:rPr>
                <w:rFonts w:hint="eastAsia" w:ascii="宋体" w:hAnsi="宋体" w:eastAsia="宋体" w:cs="宋体"/>
                <w:b w:val="0"/>
                <w:color w:val="000000"/>
                <w:kern w:val="0"/>
                <w:sz w:val="22"/>
              </w:rPr>
              <w:t>年末财政拨款结转和结余</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60</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15.74</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15.74</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bCs/>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center"/>
              <w:rPr>
                <w:rFonts w:ascii="宋体" w:hAnsi="宋体" w:eastAsia="宋体" w:cs="宋体"/>
                <w:b w:val="0"/>
                <w:color w:val="000000"/>
                <w:kern w:val="0"/>
                <w:sz w:val="22"/>
                <w:szCs w:val="22"/>
                <w:lang w:val="en-US" w:eastAsia="zh-CN" w:bidi="ar-SA"/>
              </w:rPr>
            </w:pPr>
            <w:r>
              <w:rPr>
                <w:rFonts w:hint="eastAsia" w:ascii="宋体" w:hAnsi="宋体" w:eastAsia="宋体" w:cs="宋体"/>
                <w:b w:val="0"/>
                <w:color w:val="000000"/>
                <w:kern w:val="0"/>
                <w:sz w:val="22"/>
              </w:rPr>
              <w:t xml:space="preserve">   一般公共预算财政拨款</w:t>
            </w:r>
          </w:p>
        </w:tc>
        <w:tc>
          <w:tcPr>
            <w:tcW w:w="43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29</w:t>
            </w:r>
          </w:p>
        </w:tc>
        <w:tc>
          <w:tcPr>
            <w:tcW w:w="107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3411"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ascii="宋体" w:hAnsi="宋体" w:eastAsia="宋体" w:cs="宋体"/>
                <w:b w:val="0"/>
                <w:color w:val="000000"/>
                <w:kern w:val="0"/>
                <w:sz w:val="22"/>
                <w:szCs w:val="22"/>
                <w:lang w:val="en-US" w:eastAsia="zh-CN" w:bidi="ar-SA"/>
              </w:rPr>
            </w:pPr>
            <w:r>
              <w:rPr>
                <w:rFonts w:hint="eastAsia" w:ascii="宋体" w:hAnsi="宋体" w:eastAsia="宋体" w:cs="宋体"/>
                <w:b w:val="0"/>
                <w:color w:val="000000"/>
                <w:kern w:val="0"/>
                <w:sz w:val="22"/>
              </w:rPr>
              <w:t>　</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61</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ascii="宋体" w:hAnsi="宋体" w:eastAsia="宋体" w:cs="宋体"/>
                <w:b w:val="0"/>
                <w:color w:val="000000"/>
                <w:kern w:val="0"/>
                <w:sz w:val="22"/>
              </w:rPr>
            </w:pP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ascii="宋体" w:hAnsi="宋体" w:eastAsia="宋体" w:cs="宋体"/>
                <w:b w:val="0"/>
                <w:color w:val="000000"/>
                <w:kern w:val="0"/>
                <w:sz w:val="22"/>
              </w:rPr>
            </w:pP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ascii="宋体" w:hAnsi="宋体" w:eastAsia="宋体" w:cs="宋体"/>
                <w:b w:val="0"/>
                <w:color w:val="000000"/>
                <w:kern w:val="0"/>
                <w:sz w:val="22"/>
              </w:rPr>
            </w:pP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ascii="宋体" w:hAnsi="宋体" w:eastAsia="宋体" w:cs="宋体"/>
                <w:b w:val="0"/>
                <w:color w:val="000000"/>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center"/>
              <w:rPr>
                <w:rFonts w:ascii="宋体" w:hAnsi="宋体" w:eastAsia="宋体" w:cs="宋体"/>
                <w:b w:val="0"/>
                <w:color w:val="000000"/>
                <w:kern w:val="0"/>
                <w:sz w:val="22"/>
                <w:szCs w:val="22"/>
                <w:lang w:val="en-US" w:eastAsia="zh-CN" w:bidi="ar-SA"/>
              </w:rPr>
            </w:pPr>
            <w:r>
              <w:rPr>
                <w:rFonts w:hint="eastAsia" w:ascii="宋体" w:hAnsi="宋体" w:eastAsia="宋体" w:cs="宋体"/>
                <w:b w:val="0"/>
                <w:color w:val="000000"/>
                <w:kern w:val="0"/>
                <w:sz w:val="22"/>
              </w:rPr>
              <w:t xml:space="preserve">     政府性基金预算财政拨款</w:t>
            </w:r>
          </w:p>
        </w:tc>
        <w:tc>
          <w:tcPr>
            <w:tcW w:w="43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30</w:t>
            </w:r>
          </w:p>
        </w:tc>
        <w:tc>
          <w:tcPr>
            <w:tcW w:w="107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3411"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ascii="宋体" w:hAnsi="宋体" w:eastAsia="宋体" w:cs="宋体"/>
                <w:b w:val="0"/>
                <w:color w:val="000000"/>
                <w:kern w:val="0"/>
                <w:sz w:val="22"/>
                <w:szCs w:val="22"/>
                <w:lang w:val="en-US" w:eastAsia="zh-CN" w:bidi="ar-SA"/>
              </w:rPr>
            </w:pPr>
            <w:r>
              <w:rPr>
                <w:rFonts w:hint="eastAsia" w:ascii="宋体" w:hAnsi="宋体" w:eastAsia="宋体" w:cs="宋体"/>
                <w:b w:val="0"/>
                <w:color w:val="000000"/>
                <w:kern w:val="0"/>
                <w:sz w:val="22"/>
              </w:rPr>
              <w:t>　</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62</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ascii="宋体" w:hAnsi="宋体" w:eastAsia="宋体" w:cs="宋体"/>
                <w:b w:val="0"/>
                <w:color w:val="000000"/>
                <w:kern w:val="0"/>
                <w:sz w:val="22"/>
              </w:rPr>
            </w:pP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ascii="宋体" w:hAnsi="宋体" w:eastAsia="宋体" w:cs="宋体"/>
                <w:b w:val="0"/>
                <w:color w:val="000000"/>
                <w:kern w:val="0"/>
                <w:sz w:val="22"/>
              </w:rPr>
            </w:pP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ascii="宋体" w:hAnsi="宋体" w:eastAsia="宋体" w:cs="宋体"/>
                <w:b w:val="0"/>
                <w:color w:val="000000"/>
                <w:kern w:val="0"/>
                <w:sz w:val="22"/>
              </w:rPr>
            </w:pP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ascii="宋体" w:hAnsi="宋体" w:eastAsia="宋体" w:cs="宋体"/>
                <w:b w:val="0"/>
                <w:color w:val="000000"/>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center"/>
              <w:rPr>
                <w:rFonts w:ascii="宋体" w:hAnsi="宋体" w:eastAsia="宋体" w:cs="宋体"/>
                <w:b w:val="0"/>
                <w:color w:val="000000"/>
                <w:kern w:val="0"/>
                <w:sz w:val="22"/>
                <w:szCs w:val="22"/>
                <w:lang w:val="en-US" w:eastAsia="zh-CN" w:bidi="ar-SA"/>
              </w:rPr>
            </w:pPr>
            <w:r>
              <w:rPr>
                <w:rFonts w:hint="eastAsia" w:ascii="宋体" w:hAnsi="宋体" w:eastAsia="宋体" w:cs="宋体"/>
                <w:b w:val="0"/>
                <w:color w:val="000000"/>
                <w:kern w:val="0"/>
                <w:sz w:val="22"/>
              </w:rPr>
              <w:t xml:space="preserve">      国有资本经营预算财政拨款</w:t>
            </w:r>
          </w:p>
        </w:tc>
        <w:tc>
          <w:tcPr>
            <w:tcW w:w="43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31</w:t>
            </w:r>
          </w:p>
        </w:tc>
        <w:tc>
          <w:tcPr>
            <w:tcW w:w="107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0.00</w:t>
            </w:r>
          </w:p>
        </w:tc>
        <w:tc>
          <w:tcPr>
            <w:tcW w:w="3411"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left"/>
              <w:rPr>
                <w:rFonts w:ascii="宋体" w:hAnsi="宋体" w:eastAsia="宋体" w:cs="宋体"/>
                <w:b w:val="0"/>
                <w:color w:val="000000"/>
                <w:kern w:val="0"/>
                <w:sz w:val="22"/>
                <w:szCs w:val="22"/>
                <w:lang w:val="en-US" w:eastAsia="zh-CN" w:bidi="ar-SA"/>
              </w:rPr>
            </w:pPr>
            <w:r>
              <w:rPr>
                <w:rFonts w:hint="eastAsia" w:ascii="宋体" w:hAnsi="宋体" w:eastAsia="宋体" w:cs="宋体"/>
                <w:b w:val="0"/>
                <w:color w:val="000000"/>
                <w:kern w:val="0"/>
                <w:sz w:val="22"/>
              </w:rPr>
              <w:t>　</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63</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ascii="宋体" w:hAnsi="宋体" w:eastAsia="宋体" w:cs="宋体"/>
                <w:b w:val="0"/>
                <w:color w:val="000000"/>
                <w:kern w:val="0"/>
                <w:sz w:val="22"/>
              </w:rPr>
            </w:pP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ascii="宋体" w:hAnsi="宋体" w:eastAsia="宋体" w:cs="宋体"/>
                <w:b w:val="0"/>
                <w:color w:val="000000"/>
                <w:kern w:val="0"/>
                <w:sz w:val="22"/>
              </w:rPr>
            </w:pP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ascii="宋体" w:hAnsi="宋体" w:eastAsia="宋体" w:cs="宋体"/>
                <w:b w:val="0"/>
                <w:color w:val="000000"/>
                <w:kern w:val="0"/>
                <w:sz w:val="22"/>
              </w:rPr>
            </w:pP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jc w:val="right"/>
              <w:rPr>
                <w:rFonts w:ascii="宋体" w:hAnsi="宋体" w:eastAsia="宋体" w:cs="宋体"/>
                <w:b w:val="0"/>
                <w:color w:val="000000"/>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center"/>
              <w:rPr>
                <w:rFonts w:ascii="宋体" w:hAnsi="宋体" w:eastAsia="宋体" w:cs="宋体"/>
                <w:b w:val="0"/>
                <w:bCs/>
                <w:color w:val="000000"/>
                <w:kern w:val="0"/>
                <w:sz w:val="22"/>
                <w:szCs w:val="22"/>
                <w:lang w:val="en-US" w:eastAsia="zh-CN" w:bidi="ar-SA"/>
              </w:rPr>
            </w:pPr>
            <w:r>
              <w:rPr>
                <w:rFonts w:hint="eastAsia" w:ascii="宋体" w:hAnsi="宋体" w:eastAsia="宋体" w:cs="宋体"/>
                <w:b w:val="0"/>
                <w:bCs/>
                <w:color w:val="000000"/>
                <w:kern w:val="0"/>
                <w:sz w:val="22"/>
              </w:rPr>
              <w:t>总计</w:t>
            </w:r>
          </w:p>
        </w:tc>
        <w:tc>
          <w:tcPr>
            <w:tcW w:w="436"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32</w:t>
            </w:r>
          </w:p>
        </w:tc>
        <w:tc>
          <w:tcPr>
            <w:tcW w:w="1078"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color w:val="000000"/>
                <w:kern w:val="0"/>
                <w:sz w:val="22"/>
              </w:rPr>
            </w:pPr>
            <w:r>
              <w:rPr>
                <w:rFonts w:hint="eastAsia" w:ascii="宋体" w:hAnsi="宋体" w:eastAsia="宋体" w:cs="宋体"/>
                <w:b w:val="0"/>
                <w:bCs/>
                <w:i w:val="0"/>
                <w:iCs w:val="0"/>
                <w:color w:val="000000"/>
                <w:kern w:val="0"/>
                <w:sz w:val="22"/>
                <w:szCs w:val="22"/>
                <w:u w:val="none"/>
                <w:lang w:val="en-US" w:eastAsia="zh-CN" w:bidi="ar"/>
              </w:rPr>
              <w:t>257.24</w:t>
            </w:r>
          </w:p>
        </w:tc>
        <w:tc>
          <w:tcPr>
            <w:tcW w:w="3411"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widowControl/>
              <w:jc w:val="center"/>
              <w:rPr>
                <w:rFonts w:ascii="宋体" w:hAnsi="宋体" w:eastAsia="宋体" w:cs="宋体"/>
                <w:b w:val="0"/>
                <w:bCs/>
                <w:color w:val="000000"/>
                <w:kern w:val="0"/>
                <w:sz w:val="22"/>
                <w:szCs w:val="22"/>
                <w:lang w:val="en-US" w:eastAsia="zh-CN" w:bidi="ar-SA"/>
              </w:rPr>
            </w:pPr>
            <w:r>
              <w:rPr>
                <w:rFonts w:hint="eastAsia" w:ascii="宋体" w:hAnsi="宋体" w:eastAsia="宋体" w:cs="宋体"/>
                <w:b w:val="0"/>
                <w:bCs/>
                <w:color w:val="000000"/>
                <w:kern w:val="0"/>
                <w:sz w:val="22"/>
              </w:rPr>
              <w:t>总计</w:t>
            </w:r>
          </w:p>
        </w:tc>
        <w:tc>
          <w:tcPr>
            <w:tcW w:w="1067" w:type="dxa"/>
            <w:gridSpan w:val="2"/>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center"/>
              <w:textAlignment w:val="center"/>
              <w:rPr>
                <w:rFonts w:ascii="宋体" w:hAnsi="宋体" w:eastAsia="宋体" w:cs="宋体"/>
                <w:b w:val="0"/>
                <w:color w:val="000000"/>
                <w:kern w:val="0"/>
                <w:sz w:val="22"/>
              </w:rPr>
            </w:pPr>
            <w:r>
              <w:rPr>
                <w:rFonts w:hint="eastAsia" w:ascii="宋体" w:hAnsi="宋体" w:eastAsia="宋体" w:cs="宋体"/>
                <w:b w:val="0"/>
                <w:i w:val="0"/>
                <w:iCs w:val="0"/>
                <w:color w:val="000000"/>
                <w:kern w:val="0"/>
                <w:sz w:val="22"/>
                <w:szCs w:val="22"/>
                <w:u w:val="none"/>
                <w:lang w:val="en-US" w:eastAsia="zh-CN" w:bidi="ar"/>
              </w:rPr>
              <w:t>64</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bCs/>
                <w:color w:val="000000"/>
                <w:kern w:val="0"/>
                <w:sz w:val="22"/>
              </w:rPr>
            </w:pPr>
            <w:r>
              <w:rPr>
                <w:rFonts w:hint="eastAsia" w:ascii="宋体" w:hAnsi="宋体" w:eastAsia="宋体" w:cs="宋体"/>
                <w:b w:val="0"/>
                <w:bCs/>
                <w:i w:val="0"/>
                <w:iCs w:val="0"/>
                <w:color w:val="000000"/>
                <w:kern w:val="0"/>
                <w:sz w:val="22"/>
                <w:szCs w:val="22"/>
                <w:u w:val="none"/>
                <w:lang w:val="en-US" w:eastAsia="zh-CN" w:bidi="ar"/>
              </w:rPr>
              <w:t>257.24</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bCs/>
                <w:color w:val="000000"/>
                <w:kern w:val="0"/>
                <w:sz w:val="22"/>
              </w:rPr>
            </w:pPr>
            <w:r>
              <w:rPr>
                <w:rFonts w:hint="eastAsia" w:ascii="宋体" w:hAnsi="宋体" w:eastAsia="宋体" w:cs="宋体"/>
                <w:b w:val="0"/>
                <w:bCs/>
                <w:i w:val="0"/>
                <w:iCs w:val="0"/>
                <w:color w:val="000000"/>
                <w:kern w:val="0"/>
                <w:sz w:val="22"/>
                <w:szCs w:val="22"/>
                <w:u w:val="none"/>
                <w:lang w:val="en-US" w:eastAsia="zh-CN" w:bidi="ar"/>
              </w:rPr>
              <w:t>257.24</w:t>
            </w:r>
          </w:p>
        </w:tc>
        <w:tc>
          <w:tcPr>
            <w:tcW w:w="1394"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bCs/>
                <w:color w:val="000000"/>
                <w:kern w:val="0"/>
                <w:sz w:val="22"/>
              </w:rPr>
            </w:pPr>
            <w:r>
              <w:rPr>
                <w:rFonts w:hint="eastAsia" w:ascii="宋体" w:hAnsi="宋体" w:eastAsia="宋体" w:cs="宋体"/>
                <w:b w:val="0"/>
                <w:bCs/>
                <w:i w:val="0"/>
                <w:iCs w:val="0"/>
                <w:color w:val="000000"/>
                <w:kern w:val="0"/>
                <w:sz w:val="22"/>
                <w:szCs w:val="22"/>
                <w:u w:val="none"/>
                <w:lang w:val="en-US" w:eastAsia="zh-CN" w:bidi="ar"/>
              </w:rPr>
              <w:t>0.00</w:t>
            </w:r>
          </w:p>
        </w:tc>
        <w:tc>
          <w:tcPr>
            <w:tcW w:w="1573" w:type="dxa"/>
            <w:tcBorders>
              <w:top w:val="single" w:color="auto" w:sz="12" w:space="0"/>
              <w:left w:val="single" w:color="auto" w:sz="12" w:space="0"/>
              <w:bottom w:val="single" w:color="auto" w:sz="12" w:space="0"/>
              <w:right w:val="single" w:color="auto" w:sz="12" w:space="0"/>
            </w:tcBorders>
            <w:shd w:val="clear" w:color="auto" w:fill="FFFFFF"/>
            <w:vAlign w:val="center"/>
          </w:tcPr>
          <w:p>
            <w:pPr>
              <w:keepNext w:val="0"/>
              <w:keepLines w:val="0"/>
              <w:widowControl/>
              <w:suppressLineNumbers w:val="0"/>
              <w:jc w:val="right"/>
              <w:textAlignment w:val="center"/>
              <w:rPr>
                <w:rFonts w:ascii="宋体" w:hAnsi="宋体" w:eastAsia="宋体" w:cs="宋体"/>
                <w:b w:val="0"/>
                <w:bCs/>
                <w:color w:val="000000"/>
                <w:kern w:val="0"/>
                <w:sz w:val="22"/>
              </w:rPr>
            </w:pPr>
            <w:r>
              <w:rPr>
                <w:rFonts w:hint="eastAsia" w:ascii="宋体" w:hAnsi="宋体" w:eastAsia="宋体" w:cs="宋体"/>
                <w:b w:val="0"/>
                <w:bCs/>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85" w:hRule="atLeast"/>
        </w:trPr>
        <w:tc>
          <w:tcPr>
            <w:tcW w:w="15521" w:type="dxa"/>
            <w:gridSpan w:val="11"/>
            <w:tcBorders>
              <w:top w:val="single" w:color="auto" w:sz="12" w:space="0"/>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pStyle w:val="8"/>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rPr>
          <w:rFonts w:ascii="Times New Roman" w:hAnsi="Times New Roman" w:eastAsia="方正小标宋_GBK" w:cs="Times New Roman"/>
          <w:kern w:val="0"/>
          <w:sz w:val="36"/>
          <w:szCs w:val="36"/>
        </w:rPr>
      </w:pPr>
    </w:p>
    <w:p>
      <w:pPr>
        <w:pStyle w:val="8"/>
      </w:pPr>
    </w:p>
    <w:p>
      <w:pPr>
        <w:widowControl/>
        <w:jc w:val="center"/>
        <w:outlineLvl w:val="1"/>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湖南省农作物种子南繁中心</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9"/>
        <w:tblW w:w="14219" w:type="dxa"/>
        <w:jc w:val="center"/>
        <w:tblInd w:w="0" w:type="dxa"/>
        <w:tblLayout w:type="fixed"/>
        <w:tblCellMar>
          <w:top w:w="0" w:type="dxa"/>
          <w:left w:w="108" w:type="dxa"/>
          <w:bottom w:w="0" w:type="dxa"/>
          <w:right w:w="108" w:type="dxa"/>
        </w:tblCellMar>
      </w:tblPr>
      <w:tblGrid>
        <w:gridCol w:w="1200"/>
        <w:gridCol w:w="3527"/>
        <w:gridCol w:w="3000"/>
        <w:gridCol w:w="3492"/>
        <w:gridCol w:w="3000"/>
      </w:tblGrid>
      <w:tr>
        <w:tblPrEx>
          <w:tblLayout w:type="fixed"/>
          <w:tblCellMar>
            <w:top w:w="0" w:type="dxa"/>
            <w:left w:w="108" w:type="dxa"/>
            <w:bottom w:w="0" w:type="dxa"/>
            <w:right w:w="108" w:type="dxa"/>
          </w:tblCellMar>
        </w:tblPrEx>
        <w:trPr>
          <w:trHeight w:val="405" w:hRule="atLeast"/>
          <w:jc w:val="center"/>
        </w:trPr>
        <w:tc>
          <w:tcPr>
            <w:tcW w:w="472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Layout w:type="fixed"/>
          <w:tblCellMar>
            <w:top w:w="0" w:type="dxa"/>
            <w:left w:w="108" w:type="dxa"/>
            <w:bottom w:w="0" w:type="dxa"/>
            <w:right w:w="108" w:type="dxa"/>
          </w:tblCellMar>
        </w:tblPrEx>
        <w:trPr>
          <w:trHeight w:val="495" w:hRule="atLeast"/>
          <w:jc w:val="center"/>
        </w:trPr>
        <w:tc>
          <w:tcPr>
            <w:tcW w:w="1200"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Layout w:type="fixed"/>
          <w:tblCellMar>
            <w:top w:w="0" w:type="dxa"/>
            <w:left w:w="108" w:type="dxa"/>
            <w:bottom w:w="0" w:type="dxa"/>
            <w:right w:w="108" w:type="dxa"/>
          </w:tblCellMar>
        </w:tblPrEx>
        <w:trPr>
          <w:trHeight w:val="360" w:hRule="atLeast"/>
          <w:jc w:val="center"/>
        </w:trPr>
        <w:tc>
          <w:tcPr>
            <w:tcW w:w="1200" w:type="dxa"/>
            <w:vMerge w:val="continue"/>
            <w:tcBorders>
              <w:top w:val="single" w:color="auto" w:sz="12" w:space="0"/>
              <w:left w:val="single" w:color="auto" w:sz="12" w:space="0"/>
              <w:bottom w:val="single" w:color="auto" w:sz="12" w:space="0"/>
              <w:right w:val="single" w:color="auto" w:sz="12"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single" w:color="auto" w:sz="12" w:space="0"/>
              <w:left w:val="single" w:color="auto" w:sz="12" w:space="0"/>
              <w:bottom w:val="single" w:color="auto" w:sz="12" w:space="0"/>
              <w:right w:val="single" w:color="auto" w:sz="12"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single" w:color="auto" w:sz="12" w:space="0"/>
              <w:left w:val="single" w:color="auto" w:sz="12" w:space="0"/>
              <w:bottom w:val="single" w:color="auto" w:sz="12" w:space="0"/>
              <w:right w:val="single" w:color="auto" w:sz="12"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single" w:color="auto" w:sz="12" w:space="0"/>
              <w:left w:val="single" w:color="auto" w:sz="12" w:space="0"/>
              <w:bottom w:val="single" w:color="auto" w:sz="12" w:space="0"/>
              <w:right w:val="single" w:color="auto" w:sz="12"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single" w:color="auto" w:sz="12" w:space="0"/>
              <w:left w:val="single" w:color="auto" w:sz="12" w:space="0"/>
              <w:bottom w:val="single" w:color="auto" w:sz="12" w:space="0"/>
              <w:right w:val="single" w:color="auto" w:sz="12"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1200" w:type="dxa"/>
            <w:vMerge w:val="continue"/>
            <w:tcBorders>
              <w:top w:val="single" w:color="auto" w:sz="12" w:space="0"/>
              <w:left w:val="single" w:color="auto" w:sz="12" w:space="0"/>
              <w:bottom w:val="single" w:color="auto" w:sz="12" w:space="0"/>
              <w:right w:val="single" w:color="auto" w:sz="12"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single" w:color="auto" w:sz="12" w:space="0"/>
              <w:left w:val="single" w:color="auto" w:sz="12" w:space="0"/>
              <w:bottom w:val="single" w:color="auto" w:sz="12" w:space="0"/>
              <w:right w:val="single" w:color="auto" w:sz="12"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single" w:color="auto" w:sz="12" w:space="0"/>
              <w:left w:val="single" w:color="auto" w:sz="12" w:space="0"/>
              <w:bottom w:val="single" w:color="auto" w:sz="12" w:space="0"/>
              <w:right w:val="single" w:color="auto" w:sz="12"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single" w:color="auto" w:sz="12" w:space="0"/>
              <w:left w:val="single" w:color="auto" w:sz="12" w:space="0"/>
              <w:bottom w:val="single" w:color="auto" w:sz="12" w:space="0"/>
              <w:right w:val="single" w:color="auto" w:sz="12"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single" w:color="auto" w:sz="12" w:space="0"/>
              <w:left w:val="single" w:color="auto" w:sz="12" w:space="0"/>
              <w:bottom w:val="single" w:color="auto" w:sz="12" w:space="0"/>
              <w:right w:val="single" w:color="auto" w:sz="12"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257.24</w:t>
            </w:r>
          </w:p>
        </w:tc>
        <w:tc>
          <w:tcPr>
            <w:tcW w:w="3492"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157.24</w:t>
            </w:r>
          </w:p>
        </w:tc>
        <w:tc>
          <w:tcPr>
            <w:tcW w:w="30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100.00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12" w:space="0"/>
              <w:left w:val="single" w:color="auto" w:sz="12" w:space="0"/>
              <w:bottom w:val="single" w:color="auto" w:sz="12" w:space="0"/>
              <w:right w:val="single" w:color="auto" w:sz="12" w:space="0"/>
            </w:tcBorders>
            <w:shd w:val="clear" w:color="000000" w:fill="FFFFFF"/>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213</w:t>
            </w:r>
          </w:p>
        </w:tc>
        <w:tc>
          <w:tcPr>
            <w:tcW w:w="3527" w:type="dxa"/>
            <w:tcBorders>
              <w:top w:val="single" w:color="auto" w:sz="12" w:space="0"/>
              <w:left w:val="single" w:color="auto" w:sz="12" w:space="0"/>
              <w:bottom w:val="single" w:color="auto" w:sz="12" w:space="0"/>
              <w:right w:val="single" w:color="auto" w:sz="12" w:space="0"/>
            </w:tcBorders>
            <w:shd w:val="clear" w:color="000000" w:fill="FFFFFF"/>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农林水支出</w:t>
            </w:r>
          </w:p>
        </w:tc>
        <w:tc>
          <w:tcPr>
            <w:tcW w:w="30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b w:val="0"/>
                <w:bCs w:val="0"/>
                <w:kern w:val="0"/>
                <w:szCs w:val="21"/>
              </w:rPr>
            </w:pPr>
            <w:r>
              <w:rPr>
                <w:rFonts w:hint="eastAsia" w:ascii="宋体" w:hAnsi="宋体" w:eastAsia="宋体" w:cs="宋体"/>
                <w:b w:val="0"/>
                <w:bCs w:val="0"/>
                <w:i w:val="0"/>
                <w:iCs w:val="0"/>
                <w:color w:val="000000"/>
                <w:kern w:val="0"/>
                <w:sz w:val="22"/>
                <w:szCs w:val="22"/>
                <w:u w:val="none"/>
                <w:lang w:val="en-US" w:eastAsia="zh-CN" w:bidi="ar"/>
              </w:rPr>
              <w:t>257.24</w:t>
            </w:r>
          </w:p>
        </w:tc>
        <w:tc>
          <w:tcPr>
            <w:tcW w:w="3492"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b w:val="0"/>
                <w:bCs w:val="0"/>
                <w:kern w:val="0"/>
                <w:szCs w:val="21"/>
              </w:rPr>
            </w:pPr>
            <w:r>
              <w:rPr>
                <w:rFonts w:hint="eastAsia" w:ascii="宋体" w:hAnsi="宋体" w:eastAsia="宋体" w:cs="宋体"/>
                <w:b w:val="0"/>
                <w:bCs w:val="0"/>
                <w:i w:val="0"/>
                <w:iCs w:val="0"/>
                <w:color w:val="000000"/>
                <w:kern w:val="0"/>
                <w:sz w:val="22"/>
                <w:szCs w:val="22"/>
                <w:u w:val="none"/>
                <w:lang w:val="en-US" w:eastAsia="zh-CN" w:bidi="ar"/>
              </w:rPr>
              <w:t>157.24</w:t>
            </w:r>
          </w:p>
        </w:tc>
        <w:tc>
          <w:tcPr>
            <w:tcW w:w="30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b w:val="0"/>
                <w:bCs w:val="0"/>
                <w:kern w:val="0"/>
                <w:szCs w:val="21"/>
              </w:rPr>
            </w:pPr>
            <w:r>
              <w:rPr>
                <w:rFonts w:hint="eastAsia" w:ascii="宋体" w:hAnsi="宋体" w:eastAsia="宋体" w:cs="宋体"/>
                <w:b w:val="0"/>
                <w:bCs w:val="0"/>
                <w:i w:val="0"/>
                <w:iCs w:val="0"/>
                <w:color w:val="000000"/>
                <w:kern w:val="0"/>
                <w:sz w:val="22"/>
                <w:szCs w:val="22"/>
                <w:u w:val="none"/>
                <w:lang w:val="en-US" w:eastAsia="zh-CN" w:bidi="ar"/>
              </w:rPr>
              <w:t>100.00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12" w:space="0"/>
              <w:left w:val="single" w:color="auto" w:sz="12" w:space="0"/>
              <w:bottom w:val="single" w:color="auto" w:sz="12" w:space="0"/>
              <w:right w:val="single" w:color="auto" w:sz="12" w:space="0"/>
            </w:tcBorders>
            <w:shd w:val="clear" w:color="000000" w:fill="FFFFFF"/>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21301</w:t>
            </w:r>
          </w:p>
        </w:tc>
        <w:tc>
          <w:tcPr>
            <w:tcW w:w="3527" w:type="dxa"/>
            <w:tcBorders>
              <w:top w:val="single" w:color="auto" w:sz="12" w:space="0"/>
              <w:left w:val="single" w:color="auto" w:sz="12" w:space="0"/>
              <w:bottom w:val="single" w:color="auto" w:sz="12" w:space="0"/>
              <w:right w:val="single" w:color="auto" w:sz="12" w:space="0"/>
            </w:tcBorders>
            <w:shd w:val="clear" w:color="000000" w:fill="FFFFFF"/>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农业农村</w:t>
            </w:r>
          </w:p>
        </w:tc>
        <w:tc>
          <w:tcPr>
            <w:tcW w:w="30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b w:val="0"/>
                <w:bCs w:val="0"/>
                <w:kern w:val="0"/>
                <w:szCs w:val="21"/>
              </w:rPr>
            </w:pPr>
            <w:r>
              <w:rPr>
                <w:rFonts w:hint="eastAsia" w:ascii="宋体" w:hAnsi="宋体" w:eastAsia="宋体" w:cs="宋体"/>
                <w:b w:val="0"/>
                <w:bCs w:val="0"/>
                <w:i w:val="0"/>
                <w:iCs w:val="0"/>
                <w:color w:val="000000"/>
                <w:kern w:val="0"/>
                <w:sz w:val="22"/>
                <w:szCs w:val="22"/>
                <w:u w:val="none"/>
                <w:lang w:val="en-US" w:eastAsia="zh-CN" w:bidi="ar"/>
              </w:rPr>
              <w:t>257.24</w:t>
            </w:r>
          </w:p>
        </w:tc>
        <w:tc>
          <w:tcPr>
            <w:tcW w:w="3492"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b w:val="0"/>
                <w:bCs w:val="0"/>
                <w:kern w:val="0"/>
                <w:szCs w:val="21"/>
              </w:rPr>
            </w:pPr>
            <w:r>
              <w:rPr>
                <w:rFonts w:hint="eastAsia" w:ascii="宋体" w:hAnsi="宋体" w:eastAsia="宋体" w:cs="宋体"/>
                <w:b w:val="0"/>
                <w:bCs w:val="0"/>
                <w:i w:val="0"/>
                <w:iCs w:val="0"/>
                <w:color w:val="000000"/>
                <w:kern w:val="0"/>
                <w:sz w:val="22"/>
                <w:szCs w:val="22"/>
                <w:u w:val="none"/>
                <w:lang w:val="en-US" w:eastAsia="zh-CN" w:bidi="ar"/>
              </w:rPr>
              <w:t>157.24</w:t>
            </w:r>
          </w:p>
        </w:tc>
        <w:tc>
          <w:tcPr>
            <w:tcW w:w="30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b w:val="0"/>
                <w:bCs w:val="0"/>
                <w:kern w:val="0"/>
                <w:szCs w:val="21"/>
              </w:rPr>
            </w:pPr>
            <w:r>
              <w:rPr>
                <w:rFonts w:hint="eastAsia" w:ascii="宋体" w:hAnsi="宋体" w:eastAsia="宋体" w:cs="宋体"/>
                <w:b w:val="0"/>
                <w:bCs w:val="0"/>
                <w:i w:val="0"/>
                <w:iCs w:val="0"/>
                <w:color w:val="000000"/>
                <w:kern w:val="0"/>
                <w:sz w:val="22"/>
                <w:szCs w:val="22"/>
                <w:u w:val="none"/>
                <w:lang w:val="en-US" w:eastAsia="zh-CN" w:bidi="ar"/>
              </w:rPr>
              <w:t>100.00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2130101</w:t>
            </w:r>
          </w:p>
        </w:tc>
        <w:tc>
          <w:tcPr>
            <w:tcW w:w="3527"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行政运行</w:t>
            </w:r>
          </w:p>
        </w:tc>
        <w:tc>
          <w:tcPr>
            <w:tcW w:w="30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24.24</w:t>
            </w:r>
          </w:p>
        </w:tc>
        <w:tc>
          <w:tcPr>
            <w:tcW w:w="3492"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24.24</w:t>
            </w:r>
          </w:p>
        </w:tc>
        <w:tc>
          <w:tcPr>
            <w:tcW w:w="30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2130104</w:t>
            </w:r>
          </w:p>
        </w:tc>
        <w:tc>
          <w:tcPr>
            <w:tcW w:w="3527"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事业运行</w:t>
            </w:r>
          </w:p>
        </w:tc>
        <w:tc>
          <w:tcPr>
            <w:tcW w:w="30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143.00</w:t>
            </w:r>
          </w:p>
        </w:tc>
        <w:tc>
          <w:tcPr>
            <w:tcW w:w="3492"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133.00</w:t>
            </w:r>
          </w:p>
        </w:tc>
        <w:tc>
          <w:tcPr>
            <w:tcW w:w="30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2130109</w:t>
            </w:r>
          </w:p>
        </w:tc>
        <w:tc>
          <w:tcPr>
            <w:tcW w:w="3527"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农产品质量安全</w:t>
            </w:r>
          </w:p>
        </w:tc>
        <w:tc>
          <w:tcPr>
            <w:tcW w:w="30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10.00</w:t>
            </w:r>
          </w:p>
        </w:tc>
        <w:tc>
          <w:tcPr>
            <w:tcW w:w="3492"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30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2130122</w:t>
            </w:r>
          </w:p>
        </w:tc>
        <w:tc>
          <w:tcPr>
            <w:tcW w:w="3527"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农业生产发展</w:t>
            </w:r>
          </w:p>
        </w:tc>
        <w:tc>
          <w:tcPr>
            <w:tcW w:w="30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80.00</w:t>
            </w:r>
          </w:p>
        </w:tc>
        <w:tc>
          <w:tcPr>
            <w:tcW w:w="3492"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300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80.00</w:t>
            </w:r>
          </w:p>
        </w:tc>
      </w:tr>
      <w:tr>
        <w:tblPrEx>
          <w:tblLayout w:type="fixed"/>
          <w:tblCellMar>
            <w:top w:w="0" w:type="dxa"/>
            <w:left w:w="108" w:type="dxa"/>
            <w:bottom w:w="0" w:type="dxa"/>
            <w:right w:w="108" w:type="dxa"/>
          </w:tblCellMar>
        </w:tblPrEx>
        <w:trPr>
          <w:trHeight w:val="645" w:hRule="atLeast"/>
          <w:jc w:val="center"/>
        </w:trPr>
        <w:tc>
          <w:tcPr>
            <w:tcW w:w="14219" w:type="dxa"/>
            <w:gridSpan w:val="5"/>
            <w:tcBorders>
              <w:top w:val="single" w:color="auto" w:sz="12" w:space="0"/>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9"/>
        <w:tblW w:w="15614" w:type="dxa"/>
        <w:tblInd w:w="0" w:type="dxa"/>
        <w:tblLayout w:type="fixed"/>
        <w:tblCellMar>
          <w:top w:w="0" w:type="dxa"/>
          <w:left w:w="108" w:type="dxa"/>
          <w:bottom w:w="0" w:type="dxa"/>
          <w:right w:w="108" w:type="dxa"/>
        </w:tblCellMar>
      </w:tblPr>
      <w:tblGrid>
        <w:gridCol w:w="967"/>
        <w:gridCol w:w="239"/>
        <w:gridCol w:w="91"/>
        <w:gridCol w:w="1257"/>
        <w:gridCol w:w="1975"/>
        <w:gridCol w:w="80"/>
        <w:gridCol w:w="788"/>
        <w:gridCol w:w="1177"/>
        <w:gridCol w:w="297"/>
        <w:gridCol w:w="1925"/>
        <w:gridCol w:w="133"/>
        <w:gridCol w:w="627"/>
        <w:gridCol w:w="1178"/>
        <w:gridCol w:w="353"/>
        <w:gridCol w:w="2078"/>
        <w:gridCol w:w="1688"/>
        <w:gridCol w:w="462"/>
        <w:gridCol w:w="299"/>
      </w:tblGrid>
      <w:tr>
        <w:tblPrEx>
          <w:tblLayout w:type="fixed"/>
          <w:tblCellMar>
            <w:top w:w="0" w:type="dxa"/>
            <w:left w:w="108" w:type="dxa"/>
            <w:bottom w:w="0" w:type="dxa"/>
            <w:right w:w="108" w:type="dxa"/>
          </w:tblCellMar>
        </w:tblPrEx>
        <w:trPr>
          <w:trHeight w:val="113" w:hRule="atLeast"/>
        </w:trPr>
        <w:tc>
          <w:tcPr>
            <w:tcW w:w="15614" w:type="dxa"/>
            <w:gridSpan w:val="18"/>
            <w:tcBorders>
              <w:top w:val="nil"/>
              <w:left w:val="nil"/>
              <w:bottom w:val="single" w:color="auto" w:sz="12" w:space="0"/>
              <w:right w:val="nil"/>
            </w:tcBorders>
            <w:shd w:val="clear" w:color="auto" w:fill="auto"/>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湖南省农作物种子南繁中心</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Layout w:type="fixed"/>
          <w:tblCellMar>
            <w:top w:w="0" w:type="dxa"/>
            <w:left w:w="108" w:type="dxa"/>
            <w:bottom w:w="0" w:type="dxa"/>
            <w:right w:w="108" w:type="dxa"/>
          </w:tblCellMar>
        </w:tblPrEx>
        <w:trPr>
          <w:trHeight w:val="113" w:hRule="atLeas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91.92</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35.21</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20.17</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1.68</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5.70</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12.20</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2.40</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27.66</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6.43</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0.33</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0.03</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5.34</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1.47</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2.13</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10.35</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0.20</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0.85</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14.37</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1.00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0.20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5.03</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0.40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0.92</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20.72</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39907</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国家赔偿费用支出</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2.00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39908</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对民间非营利组织和群众性自治组织补贴</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6.29</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1.52</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3990</w:t>
            </w:r>
            <w:r>
              <w:rPr>
                <w:rFonts w:hint="eastAsia" w:ascii="宋体" w:hAnsi="宋体" w:eastAsia="宋体" w:cs="宋体"/>
                <w:color w:val="000000"/>
                <w:kern w:val="0"/>
                <w:szCs w:val="20"/>
                <w:lang w:val="en-US" w:eastAsia="zh-CN"/>
              </w:rPr>
              <w:t>9</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经常性赠与</w:t>
            </w:r>
          </w:p>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资本性赠与</w:t>
            </w:r>
          </w:p>
          <w:p>
            <w:pPr>
              <w:widowControl/>
              <w:jc w:val="left"/>
              <w:rPr>
                <w:rFonts w:hint="eastAsia" w:ascii="宋体" w:hAnsi="宋体" w:eastAsia="宋体" w:cs="宋体"/>
                <w:color w:val="000000"/>
                <w:kern w:val="0"/>
                <w:szCs w:val="20"/>
              </w:rPr>
            </w:pPr>
          </w:p>
          <w:tbl>
            <w:tblPr>
              <w:tblStyle w:val="9"/>
              <w:tblW w:w="394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hint="eastAsia" w:ascii="宋体" w:hAnsi="宋体" w:eastAsia="宋体" w:cs="宋体"/>
                <w:color w:val="000000"/>
                <w:kern w:val="0"/>
                <w:szCs w:val="20"/>
              </w:rPr>
            </w:pPr>
          </w:p>
          <w:tbl>
            <w:tblPr>
              <w:tblStyle w:val="9"/>
              <w:tblW w:w="394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ascii="宋体" w:hAnsi="宋体" w:eastAsia="宋体" w:cs="宋体"/>
                <w:color w:val="000000"/>
                <w:kern w:val="0"/>
                <w:szCs w:val="20"/>
              </w:rPr>
            </w:pP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399</w:t>
            </w:r>
            <w:r>
              <w:rPr>
                <w:rFonts w:hint="eastAsia" w:ascii="宋体" w:hAnsi="宋体" w:eastAsia="宋体" w:cs="宋体"/>
                <w:color w:val="000000"/>
                <w:kern w:val="0"/>
                <w:szCs w:val="20"/>
                <w:lang w:val="en-US" w:eastAsia="zh-CN"/>
              </w:rPr>
              <w:t>10</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 xml:space="preserve">  资本性赠与</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4.35</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39999</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其他支出</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2.13</w:t>
            </w: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ascii="宋体" w:hAnsi="宋体" w:eastAsia="宋体" w:cs="宋体"/>
                <w:color w:val="000000"/>
                <w:kern w:val="0"/>
                <w:szCs w:val="20"/>
              </w:rPr>
            </w:pPr>
          </w:p>
        </w:tc>
      </w:tr>
      <w:tr>
        <w:tblPrEx>
          <w:tblLayout w:type="fixed"/>
          <w:tblCellMar>
            <w:top w:w="0" w:type="dxa"/>
            <w:left w:w="108" w:type="dxa"/>
            <w:bottom w:w="0" w:type="dxa"/>
            <w:right w:w="108" w:type="dxa"/>
          </w:tblCellMar>
        </w:tblPrEx>
        <w:trPr>
          <w:trHeight w:val="289" w:hRule="exact"/>
        </w:trPr>
        <w:tc>
          <w:tcPr>
            <w:tcW w:w="1297"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23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ascii="宋体" w:hAnsi="宋体" w:eastAsia="宋体" w:cs="宋体"/>
                <w:color w:val="000000"/>
                <w:kern w:val="0"/>
                <w:szCs w:val="20"/>
              </w:rPr>
            </w:pPr>
          </w:p>
        </w:tc>
        <w:tc>
          <w:tcPr>
            <w:tcW w:w="1177"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222"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76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8" w:type="dxa"/>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119"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ascii="宋体" w:hAnsi="宋体" w:eastAsia="宋体" w:cs="宋体"/>
                <w:color w:val="000000"/>
                <w:kern w:val="0"/>
                <w:szCs w:val="20"/>
              </w:rPr>
            </w:pPr>
          </w:p>
        </w:tc>
      </w:tr>
      <w:tr>
        <w:tblPrEx>
          <w:tblLayout w:type="fixed"/>
          <w:tblCellMar>
            <w:top w:w="0" w:type="dxa"/>
            <w:left w:w="108" w:type="dxa"/>
            <w:bottom w:w="0" w:type="dxa"/>
            <w:right w:w="108" w:type="dxa"/>
          </w:tblCellMar>
        </w:tblPrEx>
        <w:trPr>
          <w:trHeight w:val="284" w:hRule="exact"/>
        </w:trPr>
        <w:tc>
          <w:tcPr>
            <w:tcW w:w="4529" w:type="dxa"/>
            <w:gridSpan w:val="5"/>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86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106.29</w:t>
            </w:r>
          </w:p>
        </w:tc>
        <w:tc>
          <w:tcPr>
            <w:tcW w:w="9456" w:type="dxa"/>
            <w:gridSpan w:val="9"/>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7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18"/>
              </w:rPr>
            </w:pPr>
            <w:r>
              <w:rPr>
                <w:rFonts w:hint="eastAsia" w:ascii="宋体" w:hAnsi="宋体" w:eastAsia="宋体" w:cs="宋体"/>
                <w:i w:val="0"/>
                <w:iCs w:val="0"/>
                <w:color w:val="000000"/>
                <w:kern w:val="0"/>
                <w:sz w:val="22"/>
                <w:szCs w:val="22"/>
                <w:u w:val="none"/>
                <w:lang w:val="en-US" w:eastAsia="zh-CN" w:bidi="ar"/>
              </w:rPr>
              <w:t>35.21</w:t>
            </w:r>
          </w:p>
        </w:tc>
      </w:tr>
      <w:tr>
        <w:tblPrEx>
          <w:tblLayout w:type="fixed"/>
          <w:tblCellMar>
            <w:top w:w="0" w:type="dxa"/>
            <w:left w:w="108" w:type="dxa"/>
            <w:bottom w:w="0" w:type="dxa"/>
            <w:right w:w="108" w:type="dxa"/>
          </w:tblCellMar>
        </w:tblPrEx>
        <w:trPr>
          <w:trHeight w:val="284" w:hRule="exact"/>
        </w:trPr>
        <w:tc>
          <w:tcPr>
            <w:tcW w:w="15614" w:type="dxa"/>
            <w:gridSpan w:val="18"/>
            <w:tcBorders>
              <w:top w:val="single" w:color="auto" w:sz="12" w:space="0"/>
              <w:left w:val="nil"/>
              <w:bottom w:val="nil"/>
              <w:right w:val="nil"/>
            </w:tcBorders>
            <w:shd w:val="clear" w:color="auto" w:fill="auto"/>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99" w:type="dxa"/>
          <w:trHeight w:val="690" w:hRule="atLeast"/>
        </w:trPr>
        <w:tc>
          <w:tcPr>
            <w:tcW w:w="15315" w:type="dxa"/>
            <w:gridSpan w:val="17"/>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99" w:type="dxa"/>
          <w:trHeight w:val="345" w:hRule="atLeast"/>
        </w:trPr>
        <w:tc>
          <w:tcPr>
            <w:tcW w:w="967"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39"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348"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055"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262"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58"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58"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78"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50" w:type="dxa"/>
            <w:gridSpan w:val="2"/>
            <w:tcBorders>
              <w:top w:val="nil"/>
              <w:left w:val="nil"/>
              <w:bottom w:val="nil"/>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99" w:type="dxa"/>
          <w:trHeight w:val="690" w:hRule="atLeast"/>
        </w:trPr>
        <w:tc>
          <w:tcPr>
            <w:tcW w:w="6871" w:type="dxa"/>
            <w:gridSpan w:val="9"/>
            <w:tcBorders>
              <w:top w:val="nil"/>
              <w:left w:val="nil"/>
              <w:bottom w:val="single" w:color="auto" w:sz="12" w:space="0"/>
              <w:right w:val="nil"/>
            </w:tcBorders>
            <w:shd w:val="clear" w:color="auto" w:fill="FFFFFF"/>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Times New Roman" w:hAnsi="Times New Roman" w:eastAsia="仿宋_GB2312" w:cs="Times New Roman"/>
                <w:color w:val="000000"/>
                <w:kern w:val="0"/>
                <w:szCs w:val="21"/>
                <w:lang w:val="en-US" w:eastAsia="zh-CN"/>
              </w:rPr>
              <w:t>湖南省农作物种子南繁中心</w:t>
            </w:r>
            <w:r>
              <w:rPr>
                <w:rFonts w:hint="eastAsia" w:ascii="Times New Roman" w:hAnsi="Times New Roman" w:eastAsia="仿宋_GB2312" w:cs="Times New Roman"/>
                <w:color w:val="000000"/>
                <w:kern w:val="0"/>
                <w:szCs w:val="21"/>
              </w:rPr>
              <w:t xml:space="preserve"> </w:t>
            </w:r>
          </w:p>
        </w:tc>
        <w:tc>
          <w:tcPr>
            <w:tcW w:w="2058" w:type="dxa"/>
            <w:gridSpan w:val="2"/>
            <w:tcBorders>
              <w:top w:val="nil"/>
              <w:left w:val="nil"/>
              <w:bottom w:val="single" w:color="auto" w:sz="12" w:space="0"/>
              <w:right w:val="nil"/>
            </w:tcBorders>
            <w:shd w:val="clear" w:color="auto" w:fill="FFFFFF"/>
            <w:vAlign w:val="center"/>
          </w:tcPr>
          <w:p>
            <w:pPr>
              <w:rPr>
                <w:rFonts w:hint="eastAsia" w:ascii="宋体" w:hAnsi="宋体" w:eastAsia="宋体" w:cs="宋体"/>
                <w:i w:val="0"/>
                <w:color w:val="000000"/>
                <w:sz w:val="20"/>
                <w:szCs w:val="20"/>
                <w:u w:val="none"/>
              </w:rPr>
            </w:pPr>
          </w:p>
        </w:tc>
        <w:tc>
          <w:tcPr>
            <w:tcW w:w="2158" w:type="dxa"/>
            <w:gridSpan w:val="3"/>
            <w:tcBorders>
              <w:top w:val="nil"/>
              <w:left w:val="nil"/>
              <w:bottom w:val="single" w:color="auto" w:sz="12" w:space="0"/>
              <w:right w:val="nil"/>
            </w:tcBorders>
            <w:shd w:val="clear" w:color="auto" w:fill="FFFFFF"/>
            <w:vAlign w:val="center"/>
          </w:tcPr>
          <w:p>
            <w:pPr>
              <w:rPr>
                <w:rFonts w:hint="eastAsia" w:ascii="宋体" w:hAnsi="宋体" w:eastAsia="宋体" w:cs="宋体"/>
                <w:i w:val="0"/>
                <w:color w:val="000000"/>
                <w:sz w:val="20"/>
                <w:szCs w:val="20"/>
                <w:u w:val="none"/>
              </w:rPr>
            </w:pPr>
          </w:p>
        </w:tc>
        <w:tc>
          <w:tcPr>
            <w:tcW w:w="2078" w:type="dxa"/>
            <w:tcBorders>
              <w:top w:val="nil"/>
              <w:left w:val="nil"/>
              <w:bottom w:val="single" w:color="auto" w:sz="12" w:space="0"/>
              <w:right w:val="nil"/>
            </w:tcBorders>
            <w:shd w:val="clear" w:color="auto" w:fill="FFFFFF"/>
            <w:vAlign w:val="center"/>
          </w:tcPr>
          <w:p>
            <w:pPr>
              <w:rPr>
                <w:rFonts w:hint="eastAsia" w:ascii="宋体" w:hAnsi="宋体" w:eastAsia="宋体" w:cs="宋体"/>
                <w:i w:val="0"/>
                <w:color w:val="000000"/>
                <w:sz w:val="20"/>
                <w:szCs w:val="20"/>
                <w:u w:val="none"/>
              </w:rPr>
            </w:pPr>
          </w:p>
        </w:tc>
        <w:tc>
          <w:tcPr>
            <w:tcW w:w="2150" w:type="dxa"/>
            <w:gridSpan w:val="2"/>
            <w:tcBorders>
              <w:top w:val="nil"/>
              <w:left w:val="nil"/>
              <w:bottom w:val="single" w:color="auto" w:sz="12"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99" w:type="dxa"/>
          <w:trHeight w:val="459" w:hRule="atLeast"/>
        </w:trPr>
        <w:tc>
          <w:tcPr>
            <w:tcW w:w="2554" w:type="dxa"/>
            <w:gridSpan w:val="4"/>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8"/>
                <w:lang w:val="en-US" w:eastAsia="zh-CN" w:bidi="ar"/>
              </w:rPr>
              <w:t xml:space="preserve">   </w:t>
            </w:r>
            <w:r>
              <w:rPr>
                <w:rStyle w:val="19"/>
                <w:lang w:val="en-US" w:eastAsia="zh-CN" w:bidi="ar"/>
              </w:rPr>
              <w:t>目</w:t>
            </w:r>
          </w:p>
        </w:tc>
        <w:tc>
          <w:tcPr>
            <w:tcW w:w="2055" w:type="dxa"/>
            <w:gridSpan w:val="2"/>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262" w:type="dxa"/>
            <w:gridSpan w:val="3"/>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294" w:type="dxa"/>
            <w:gridSpan w:val="6"/>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50" w:type="dxa"/>
            <w:gridSpan w:val="2"/>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99" w:type="dxa"/>
          <w:trHeight w:val="609" w:hRule="atLeast"/>
        </w:trPr>
        <w:tc>
          <w:tcPr>
            <w:tcW w:w="1206" w:type="dxa"/>
            <w:gridSpan w:val="2"/>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348" w:type="dxa"/>
            <w:gridSpan w:val="2"/>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055" w:type="dxa"/>
            <w:gridSpan w:val="2"/>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62" w:type="dxa"/>
            <w:gridSpan w:val="3"/>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58" w:type="dxa"/>
            <w:gridSpan w:val="2"/>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58" w:type="dxa"/>
            <w:gridSpan w:val="3"/>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078"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50" w:type="dxa"/>
            <w:gridSpan w:val="2"/>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99" w:type="dxa"/>
          <w:trHeight w:val="409" w:hRule="atLeast"/>
        </w:trPr>
        <w:tc>
          <w:tcPr>
            <w:tcW w:w="1206" w:type="dxa"/>
            <w:gridSpan w:val="2"/>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48" w:type="dxa"/>
            <w:gridSpan w:val="2"/>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55" w:type="dxa"/>
            <w:gridSpan w:val="2"/>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62" w:type="dxa"/>
            <w:gridSpan w:val="3"/>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58" w:type="dxa"/>
            <w:gridSpan w:val="2"/>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58" w:type="dxa"/>
            <w:gridSpan w:val="3"/>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8"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50" w:type="dxa"/>
            <w:gridSpan w:val="2"/>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99" w:type="dxa"/>
          <w:trHeight w:val="509" w:hRule="atLeast"/>
        </w:trPr>
        <w:tc>
          <w:tcPr>
            <w:tcW w:w="1206" w:type="dxa"/>
            <w:gridSpan w:val="2"/>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48" w:type="dxa"/>
            <w:gridSpan w:val="2"/>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55" w:type="dxa"/>
            <w:gridSpan w:val="2"/>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62" w:type="dxa"/>
            <w:gridSpan w:val="3"/>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58" w:type="dxa"/>
            <w:gridSpan w:val="2"/>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58" w:type="dxa"/>
            <w:gridSpan w:val="3"/>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8"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50" w:type="dxa"/>
            <w:gridSpan w:val="2"/>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99" w:type="dxa"/>
          <w:trHeight w:val="509" w:hRule="atLeast"/>
        </w:trPr>
        <w:tc>
          <w:tcPr>
            <w:tcW w:w="2554" w:type="dxa"/>
            <w:gridSpan w:val="4"/>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055"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262"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05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58"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078"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5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99" w:type="dxa"/>
          <w:trHeight w:val="509" w:hRule="atLeast"/>
        </w:trPr>
        <w:tc>
          <w:tcPr>
            <w:tcW w:w="2554" w:type="dxa"/>
            <w:gridSpan w:val="4"/>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055"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62"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5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58"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8" w:type="dxa"/>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5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99" w:type="dxa"/>
          <w:trHeight w:val="509" w:hRule="atLeast"/>
        </w:trPr>
        <w:tc>
          <w:tcPr>
            <w:tcW w:w="1206"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4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0"/>
                <w:szCs w:val="20"/>
                <w:u w:val="none"/>
              </w:rPr>
            </w:pPr>
          </w:p>
        </w:tc>
        <w:tc>
          <w:tcPr>
            <w:tcW w:w="2055"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262"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05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158"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078"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15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99" w:type="dxa"/>
          <w:trHeight w:val="509" w:hRule="atLeast"/>
        </w:trPr>
        <w:tc>
          <w:tcPr>
            <w:tcW w:w="1206"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4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055"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262"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05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158"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078"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15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99" w:type="dxa"/>
          <w:trHeight w:val="509" w:hRule="atLeast"/>
        </w:trPr>
        <w:tc>
          <w:tcPr>
            <w:tcW w:w="1206"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4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0"/>
                <w:szCs w:val="20"/>
                <w:u w:val="none"/>
              </w:rPr>
            </w:pPr>
          </w:p>
        </w:tc>
        <w:tc>
          <w:tcPr>
            <w:tcW w:w="2055"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262"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05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158"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078"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15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99" w:type="dxa"/>
          <w:trHeight w:val="509" w:hRule="atLeast"/>
        </w:trPr>
        <w:tc>
          <w:tcPr>
            <w:tcW w:w="1206"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4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055"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262"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05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158"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078"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15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99" w:type="dxa"/>
          <w:trHeight w:val="509" w:hRule="atLeast"/>
        </w:trPr>
        <w:tc>
          <w:tcPr>
            <w:tcW w:w="1206"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4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055"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262"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05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158"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078"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15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99" w:type="dxa"/>
          <w:trHeight w:val="509" w:hRule="atLeast"/>
        </w:trPr>
        <w:tc>
          <w:tcPr>
            <w:tcW w:w="1206"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4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055"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262"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058"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158"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078"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150"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99" w:type="dxa"/>
          <w:trHeight w:val="725" w:hRule="atLeast"/>
        </w:trPr>
        <w:tc>
          <w:tcPr>
            <w:tcW w:w="15315" w:type="dxa"/>
            <w:gridSpan w:val="17"/>
            <w:tcBorders>
              <w:top w:val="single" w:color="auto" w:sz="12" w:space="0"/>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9"/>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336"/>
        <w:gridCol w:w="613"/>
        <w:gridCol w:w="1956"/>
        <w:gridCol w:w="2792"/>
        <w:gridCol w:w="2792"/>
        <w:gridCol w:w="36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333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61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95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792"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792"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631" w:type="dxa"/>
            <w:tcBorders>
              <w:top w:val="nil"/>
              <w:left w:val="nil"/>
              <w:bottom w:val="nil"/>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3336" w:type="dxa"/>
            <w:tcBorders>
              <w:top w:val="nil"/>
              <w:left w:val="nil"/>
              <w:bottom w:val="single" w:color="auto" w:sz="12"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Times New Roman" w:hAnsi="Times New Roman" w:eastAsia="仿宋_GB2312" w:cs="Times New Roman"/>
                <w:color w:val="000000"/>
                <w:kern w:val="0"/>
                <w:szCs w:val="21"/>
                <w:lang w:val="en-US" w:eastAsia="zh-CN"/>
              </w:rPr>
              <w:t>湖南省农作物种子南繁中心</w:t>
            </w:r>
          </w:p>
        </w:tc>
        <w:tc>
          <w:tcPr>
            <w:tcW w:w="613" w:type="dxa"/>
            <w:tcBorders>
              <w:top w:val="nil"/>
              <w:left w:val="nil"/>
              <w:bottom w:val="single" w:color="auto" w:sz="12" w:space="0"/>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956" w:type="dxa"/>
            <w:tcBorders>
              <w:top w:val="nil"/>
              <w:left w:val="nil"/>
              <w:bottom w:val="single" w:color="auto" w:sz="12" w:space="0"/>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792" w:type="dxa"/>
            <w:tcBorders>
              <w:top w:val="nil"/>
              <w:left w:val="nil"/>
              <w:bottom w:val="single" w:color="auto" w:sz="12" w:space="0"/>
              <w:right w:val="nil"/>
            </w:tcBorders>
            <w:shd w:val="clear" w:color="auto" w:fill="FFFFFF"/>
            <w:vAlign w:val="center"/>
          </w:tcPr>
          <w:p>
            <w:pPr>
              <w:rPr>
                <w:rFonts w:hint="eastAsia" w:ascii="宋体" w:hAnsi="宋体" w:eastAsia="宋体" w:cs="宋体"/>
                <w:i w:val="0"/>
                <w:color w:val="000000"/>
                <w:sz w:val="20"/>
                <w:szCs w:val="20"/>
                <w:u w:val="none"/>
              </w:rPr>
            </w:pPr>
          </w:p>
        </w:tc>
        <w:tc>
          <w:tcPr>
            <w:tcW w:w="2792" w:type="dxa"/>
            <w:tcBorders>
              <w:top w:val="nil"/>
              <w:left w:val="nil"/>
              <w:bottom w:val="single" w:color="auto" w:sz="12" w:space="0"/>
              <w:right w:val="nil"/>
            </w:tcBorders>
            <w:shd w:val="clear" w:color="auto" w:fill="FFFFFF"/>
            <w:vAlign w:val="center"/>
          </w:tcPr>
          <w:p>
            <w:pPr>
              <w:rPr>
                <w:rFonts w:hint="eastAsia" w:ascii="宋体" w:hAnsi="宋体" w:eastAsia="宋体" w:cs="宋体"/>
                <w:i w:val="0"/>
                <w:color w:val="000000"/>
                <w:sz w:val="20"/>
                <w:szCs w:val="20"/>
                <w:u w:val="none"/>
              </w:rPr>
            </w:pPr>
          </w:p>
        </w:tc>
        <w:tc>
          <w:tcPr>
            <w:tcW w:w="3631" w:type="dxa"/>
            <w:tcBorders>
              <w:top w:val="nil"/>
              <w:left w:val="nil"/>
              <w:bottom w:val="single" w:color="auto" w:sz="12"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5905"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20"/>
                <w:lang w:val="en-US" w:eastAsia="zh-CN" w:bidi="ar"/>
              </w:rPr>
              <w:t>目</w:t>
            </w:r>
          </w:p>
        </w:tc>
        <w:tc>
          <w:tcPr>
            <w:tcW w:w="9215"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3949" w:type="dxa"/>
            <w:gridSpan w:val="2"/>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956"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792"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792"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3631"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3949" w:type="dxa"/>
            <w:gridSpan w:val="2"/>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56"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792"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792"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631"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3949" w:type="dxa"/>
            <w:gridSpan w:val="2"/>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56"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792"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792"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631"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5905"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792"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792"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3631"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5905"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792" w:type="dxa"/>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792" w:type="dxa"/>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631" w:type="dxa"/>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3949"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56"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0"/>
                <w:szCs w:val="20"/>
                <w:u w:val="none"/>
              </w:rPr>
            </w:pPr>
          </w:p>
        </w:tc>
        <w:tc>
          <w:tcPr>
            <w:tcW w:w="2792"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792"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3631"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3949"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56"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792"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792"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3631"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3949"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56"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0"/>
                <w:szCs w:val="20"/>
                <w:u w:val="none"/>
              </w:rPr>
            </w:pPr>
          </w:p>
        </w:tc>
        <w:tc>
          <w:tcPr>
            <w:tcW w:w="2792"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792"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3631"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3949"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56"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792"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792"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3631"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3949"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56"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792"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792"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3631"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3949"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56"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792"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2792"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c>
          <w:tcPr>
            <w:tcW w:w="3631" w:type="dxa"/>
            <w:tcBorders>
              <w:top w:val="single" w:color="auto" w:sz="12" w:space="0"/>
              <w:left w:val="single" w:color="auto" w:sz="12" w:space="0"/>
              <w:bottom w:val="single" w:color="auto" w:sz="12" w:space="0"/>
              <w:right w:val="single" w:color="auto" w:sz="12"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76" w:hRule="atLeast"/>
        </w:trPr>
        <w:tc>
          <w:tcPr>
            <w:tcW w:w="15120" w:type="dxa"/>
            <w:gridSpan w:val="6"/>
            <w:tcBorders>
              <w:top w:val="single" w:color="auto" w:sz="12" w:space="0"/>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9"/>
        <w:tblW w:w="1561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0"/>
        <w:gridCol w:w="2013"/>
        <w:gridCol w:w="850"/>
        <w:gridCol w:w="1201"/>
        <w:gridCol w:w="1377"/>
        <w:gridCol w:w="1377"/>
        <w:gridCol w:w="850"/>
        <w:gridCol w:w="2013"/>
        <w:gridCol w:w="850"/>
        <w:gridCol w:w="1201"/>
        <w:gridCol w:w="1377"/>
        <w:gridCol w:w="16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trPr>
        <w:tc>
          <w:tcPr>
            <w:tcW w:w="15614"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85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13"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85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0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377"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377"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85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13"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85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0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377"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655" w:type="dxa"/>
            <w:tcBorders>
              <w:top w:val="nil"/>
              <w:left w:val="nil"/>
              <w:bottom w:val="nil"/>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7668" w:type="dxa"/>
            <w:gridSpan w:val="6"/>
            <w:tcBorders>
              <w:top w:val="nil"/>
              <w:left w:val="nil"/>
              <w:bottom w:val="single" w:color="auto" w:sz="12" w:space="0"/>
              <w:right w:val="nil"/>
            </w:tcBorders>
            <w:shd w:val="clear" w:color="auto" w:fill="FFFFFF"/>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Times New Roman" w:hAnsi="Times New Roman" w:eastAsia="仿宋_GB2312" w:cs="Times New Roman"/>
                <w:color w:val="000000"/>
                <w:kern w:val="0"/>
                <w:szCs w:val="21"/>
                <w:lang w:val="en-US" w:eastAsia="zh-CN"/>
              </w:rPr>
              <w:t>湖南省农作物种子南繁中心</w:t>
            </w:r>
          </w:p>
        </w:tc>
        <w:tc>
          <w:tcPr>
            <w:tcW w:w="850" w:type="dxa"/>
            <w:tcBorders>
              <w:top w:val="nil"/>
              <w:left w:val="nil"/>
              <w:bottom w:val="single" w:color="auto" w:sz="12" w:space="0"/>
              <w:right w:val="nil"/>
            </w:tcBorders>
            <w:shd w:val="clear" w:color="auto" w:fill="FFFFFF"/>
            <w:vAlign w:val="center"/>
          </w:tcPr>
          <w:p>
            <w:pPr>
              <w:rPr>
                <w:rFonts w:hint="eastAsia" w:ascii="宋体" w:hAnsi="宋体" w:eastAsia="宋体" w:cs="宋体"/>
                <w:i w:val="0"/>
                <w:color w:val="000000"/>
                <w:sz w:val="20"/>
                <w:szCs w:val="20"/>
                <w:u w:val="none"/>
              </w:rPr>
            </w:pPr>
          </w:p>
        </w:tc>
        <w:tc>
          <w:tcPr>
            <w:tcW w:w="2013" w:type="dxa"/>
            <w:tcBorders>
              <w:top w:val="nil"/>
              <w:left w:val="nil"/>
              <w:bottom w:val="single" w:color="auto" w:sz="12" w:space="0"/>
              <w:right w:val="nil"/>
            </w:tcBorders>
            <w:shd w:val="clear" w:color="auto" w:fill="FFFFFF"/>
            <w:vAlign w:val="center"/>
          </w:tcPr>
          <w:p>
            <w:pPr>
              <w:rPr>
                <w:rFonts w:hint="eastAsia" w:ascii="宋体" w:hAnsi="宋体" w:eastAsia="宋体" w:cs="宋体"/>
                <w:i w:val="0"/>
                <w:color w:val="000000"/>
                <w:sz w:val="20"/>
                <w:szCs w:val="20"/>
                <w:u w:val="none"/>
              </w:rPr>
            </w:pPr>
          </w:p>
        </w:tc>
        <w:tc>
          <w:tcPr>
            <w:tcW w:w="850" w:type="dxa"/>
            <w:tcBorders>
              <w:top w:val="nil"/>
              <w:left w:val="nil"/>
              <w:bottom w:val="single" w:color="auto" w:sz="12" w:space="0"/>
              <w:right w:val="nil"/>
            </w:tcBorders>
            <w:shd w:val="clear" w:color="auto" w:fill="FFFFFF"/>
            <w:vAlign w:val="center"/>
          </w:tcPr>
          <w:p>
            <w:pPr>
              <w:rPr>
                <w:rFonts w:hint="eastAsia" w:ascii="宋体" w:hAnsi="宋体" w:eastAsia="宋体" w:cs="宋体"/>
                <w:i w:val="0"/>
                <w:color w:val="000000"/>
                <w:sz w:val="20"/>
                <w:szCs w:val="20"/>
                <w:u w:val="none"/>
              </w:rPr>
            </w:pPr>
          </w:p>
        </w:tc>
        <w:tc>
          <w:tcPr>
            <w:tcW w:w="1201" w:type="dxa"/>
            <w:tcBorders>
              <w:top w:val="nil"/>
              <w:left w:val="nil"/>
              <w:bottom w:val="single" w:color="auto" w:sz="12" w:space="0"/>
              <w:right w:val="nil"/>
            </w:tcBorders>
            <w:shd w:val="clear" w:color="auto" w:fill="FFFFFF"/>
            <w:vAlign w:val="center"/>
          </w:tcPr>
          <w:p>
            <w:pPr>
              <w:rPr>
                <w:rFonts w:hint="eastAsia" w:ascii="宋体" w:hAnsi="宋体" w:eastAsia="宋体" w:cs="宋体"/>
                <w:i w:val="0"/>
                <w:color w:val="000000"/>
                <w:sz w:val="20"/>
                <w:szCs w:val="20"/>
                <w:u w:val="none"/>
              </w:rPr>
            </w:pPr>
          </w:p>
        </w:tc>
        <w:tc>
          <w:tcPr>
            <w:tcW w:w="1377" w:type="dxa"/>
            <w:tcBorders>
              <w:top w:val="nil"/>
              <w:left w:val="nil"/>
              <w:bottom w:val="single" w:color="auto" w:sz="12" w:space="0"/>
              <w:right w:val="nil"/>
            </w:tcBorders>
            <w:shd w:val="clear" w:color="auto" w:fill="FFFFFF"/>
            <w:vAlign w:val="center"/>
          </w:tcPr>
          <w:p>
            <w:pPr>
              <w:rPr>
                <w:rFonts w:hint="eastAsia" w:ascii="宋体" w:hAnsi="宋体" w:eastAsia="宋体" w:cs="宋体"/>
                <w:i w:val="0"/>
                <w:color w:val="000000"/>
                <w:sz w:val="20"/>
                <w:szCs w:val="20"/>
                <w:u w:val="none"/>
              </w:rPr>
            </w:pPr>
          </w:p>
        </w:tc>
        <w:tc>
          <w:tcPr>
            <w:tcW w:w="1655" w:type="dxa"/>
            <w:tcBorders>
              <w:top w:val="nil"/>
              <w:left w:val="nil"/>
              <w:bottom w:val="single" w:color="auto" w:sz="12"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7668" w:type="dxa"/>
            <w:gridSpan w:val="6"/>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946" w:type="dxa"/>
            <w:gridSpan w:val="6"/>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22" w:hRule="atLeast"/>
        </w:trPr>
        <w:tc>
          <w:tcPr>
            <w:tcW w:w="850"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013"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428"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377"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850"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013"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428" w:type="dxa"/>
            <w:gridSpan w:val="3"/>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655"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74" w:hRule="atLeast"/>
        </w:trPr>
        <w:tc>
          <w:tcPr>
            <w:tcW w:w="850"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013"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85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01"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公务用车</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购置费</w:t>
            </w:r>
          </w:p>
        </w:tc>
        <w:tc>
          <w:tcPr>
            <w:tcW w:w="1377"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公务用车</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运行维护费</w:t>
            </w:r>
          </w:p>
        </w:tc>
        <w:tc>
          <w:tcPr>
            <w:tcW w:w="1377"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850"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013"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85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01"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公务用车</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购置费</w:t>
            </w:r>
          </w:p>
        </w:tc>
        <w:tc>
          <w:tcPr>
            <w:tcW w:w="1377"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公务用车</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运行维护费</w:t>
            </w:r>
          </w:p>
        </w:tc>
        <w:tc>
          <w:tcPr>
            <w:tcW w:w="1655"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85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01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85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01"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77"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77"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85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013"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85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01"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77"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655"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5" w:hRule="atLeast"/>
        </w:trPr>
        <w:tc>
          <w:tcPr>
            <w:tcW w:w="850"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2.40</w:t>
            </w:r>
          </w:p>
        </w:tc>
        <w:tc>
          <w:tcPr>
            <w:tcW w:w="2013"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0.00</w:t>
            </w:r>
          </w:p>
        </w:tc>
        <w:tc>
          <w:tcPr>
            <w:tcW w:w="850"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2.00</w:t>
            </w:r>
          </w:p>
        </w:tc>
        <w:tc>
          <w:tcPr>
            <w:tcW w:w="1201"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0.00</w:t>
            </w:r>
          </w:p>
        </w:tc>
        <w:tc>
          <w:tcPr>
            <w:tcW w:w="1377"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2.00</w:t>
            </w:r>
          </w:p>
        </w:tc>
        <w:tc>
          <w:tcPr>
            <w:tcW w:w="1377"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default"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0.40</w:t>
            </w:r>
          </w:p>
        </w:tc>
        <w:tc>
          <w:tcPr>
            <w:tcW w:w="850"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default"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0.40</w:t>
            </w:r>
          </w:p>
        </w:tc>
        <w:tc>
          <w:tcPr>
            <w:tcW w:w="2013"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default"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0.00</w:t>
            </w:r>
          </w:p>
        </w:tc>
        <w:tc>
          <w:tcPr>
            <w:tcW w:w="850"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default"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0.00</w:t>
            </w:r>
          </w:p>
        </w:tc>
        <w:tc>
          <w:tcPr>
            <w:tcW w:w="1201"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default"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0.00</w:t>
            </w:r>
          </w:p>
        </w:tc>
        <w:tc>
          <w:tcPr>
            <w:tcW w:w="1377"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default"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0.00</w:t>
            </w:r>
          </w:p>
        </w:tc>
        <w:tc>
          <w:tcPr>
            <w:tcW w:w="1655" w:type="dxa"/>
            <w:tcBorders>
              <w:top w:val="single" w:color="auto" w:sz="12" w:space="0"/>
              <w:left w:val="single" w:color="auto" w:sz="12" w:space="0"/>
              <w:bottom w:val="single" w:color="auto" w:sz="12" w:space="0"/>
              <w:right w:val="single" w:color="auto" w:sz="12" w:space="0"/>
            </w:tcBorders>
            <w:shd w:val="clear" w:color="auto" w:fill="auto"/>
            <w:vAlign w:val="center"/>
          </w:tcPr>
          <w:p>
            <w:pPr>
              <w:jc w:val="right"/>
              <w:rPr>
                <w:rFonts w:hint="default"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6" w:hRule="atLeast"/>
        </w:trPr>
        <w:tc>
          <w:tcPr>
            <w:tcW w:w="15614" w:type="dxa"/>
            <w:gridSpan w:val="12"/>
            <w:tcBorders>
              <w:top w:val="single" w:color="auto" w:sz="12" w:space="0"/>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p>
    <w:p>
      <w:pPr>
        <w:pStyle w:val="15"/>
        <w:rPr>
          <w:sz w:val="72"/>
          <w:szCs w:val="72"/>
        </w:rPr>
      </w:pPr>
    </w:p>
    <w:p>
      <w:pPr>
        <w:pStyle w:val="15"/>
        <w:rPr>
          <w:sz w:val="72"/>
          <w:szCs w:val="72"/>
        </w:rPr>
      </w:pPr>
    </w:p>
    <w:p>
      <w:pPr>
        <w:pStyle w:val="15"/>
        <w:rPr>
          <w:sz w:val="72"/>
          <w:szCs w:val="72"/>
        </w:rPr>
      </w:pPr>
    </w:p>
    <w:p>
      <w:pPr>
        <w:pStyle w:val="15"/>
        <w:rPr>
          <w:sz w:val="72"/>
          <w:szCs w:val="72"/>
        </w:rPr>
      </w:pPr>
    </w:p>
    <w:p>
      <w:pPr>
        <w:pStyle w:val="15"/>
        <w:jc w:val="center"/>
        <w:rPr>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outlineLvl w:val="0"/>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770.92</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1,277.05</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62.36</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南繁基地建设项目资金减少。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330.27</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257.24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77.89</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73.03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22.11</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476.91</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141.50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29.67</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335.41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70.33</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5"/>
        <w:keepNext w:val="0"/>
        <w:keepLines w:val="0"/>
        <w:pageBreakBefore w:val="0"/>
        <w:widowControl w:val="0"/>
        <w:kinsoku/>
        <w:wordWrap/>
        <w:overflowPunct/>
        <w:topLinePunct w:val="0"/>
        <w:bidi w:val="0"/>
        <w:snapToGrid/>
        <w:spacing w:line="600" w:lineRule="exact"/>
        <w:textAlignment w:val="auto"/>
        <w:rPr>
          <w:rFonts w:hint="default" w:ascii="Times New Roman" w:hAnsi="Times New Roman" w:eastAsia="仿宋_GB2312"/>
          <w:sz w:val="32"/>
          <w:szCs w:val="32"/>
          <w:lang w:val="en-US"/>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257.24</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589.35</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减少</w:t>
      </w:r>
      <w:r>
        <w:rPr>
          <w:rFonts w:hint="eastAsia" w:ascii="Times New Roman" w:hAnsi="Times New Roman" w:eastAsia="仿宋_GB2312"/>
          <w:sz w:val="32"/>
          <w:szCs w:val="32"/>
          <w:lang w:val="en-US" w:eastAsia="zh-CN"/>
        </w:rPr>
        <w:t>69.61</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南繁基地建设项目资金减少。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257.24</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53.94</w:t>
      </w:r>
      <w:r>
        <w:rPr>
          <w:rFonts w:hint="eastAsia" w:ascii="Times New Roman" w:hAnsi="Times New Roman" w:eastAsia="仿宋_GB2312"/>
          <w:sz w:val="32"/>
          <w:szCs w:val="32"/>
        </w:rPr>
        <w:t>%，与上年相比，财政拨款支出减少</w:t>
      </w:r>
      <w:r>
        <w:rPr>
          <w:rFonts w:hint="eastAsia" w:ascii="Times New Roman" w:hAnsi="Times New Roman" w:eastAsia="仿宋_GB2312"/>
          <w:sz w:val="32"/>
          <w:szCs w:val="32"/>
          <w:lang w:val="en-US" w:eastAsia="zh-CN"/>
        </w:rPr>
        <w:t>571,81</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68.97</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南繁基地建设项目资金减少。</w:t>
      </w:r>
    </w:p>
    <w:p>
      <w:pPr>
        <w:pStyle w:val="15"/>
        <w:keepNext w:val="0"/>
        <w:keepLines w:val="0"/>
        <w:pageBreakBefore w:val="0"/>
        <w:widowControl w:val="0"/>
        <w:kinsoku/>
        <w:wordWrap/>
        <w:overflowPunct/>
        <w:topLinePunct w:val="0"/>
        <w:bidi w:val="0"/>
        <w:snapToGrid/>
        <w:spacing w:line="600" w:lineRule="exact"/>
        <w:ind w:firstLine="480" w:firstLineChars="150"/>
        <w:textAlignment w:val="auto"/>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257.24</w:t>
      </w:r>
      <w:r>
        <w:rPr>
          <w:rFonts w:hint="eastAsia" w:ascii="Times New Roman" w:hAnsi="Times New Roman" w:eastAsia="仿宋_GB2312"/>
          <w:sz w:val="32"/>
          <w:szCs w:val="32"/>
        </w:rPr>
        <w:t>万元，主要用于以下方面</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农林水（类）支出257.24万元，占100%。</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223</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241.50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outlineLvl w:val="3"/>
        <w:rPr>
          <w:rFonts w:ascii="Times New Roman" w:hAnsi="Times New Roman" w:eastAsia="仿宋_GB2312"/>
          <w:sz w:val="32"/>
          <w:szCs w:val="32"/>
        </w:rPr>
      </w:pPr>
      <w:r>
        <w:rPr>
          <w:rFonts w:hint="eastAsia" w:ascii="Times New Roman" w:hAnsi="Times New Roman" w:eastAsia="仿宋_GB2312"/>
          <w:sz w:val="32"/>
          <w:szCs w:val="32"/>
        </w:rPr>
        <w:t>1、</w:t>
      </w:r>
      <w:r>
        <w:rPr>
          <w:rFonts w:hint="eastAsia" w:ascii="Times New Roman" w:hAnsi="Times New Roman" w:eastAsia="仿宋_GB2312"/>
          <w:sz w:val="32"/>
          <w:szCs w:val="32"/>
          <w:highlight w:val="none"/>
        </w:rPr>
        <w:t>农林水支出（类）农业农村</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款）</w:t>
      </w:r>
      <w:r>
        <w:rPr>
          <w:rFonts w:hint="eastAsia" w:ascii="Times New Roman" w:hAnsi="Times New Roman" w:eastAsia="仿宋_GB2312"/>
          <w:sz w:val="32"/>
          <w:szCs w:val="32"/>
          <w:highlight w:val="none"/>
        </w:rPr>
        <w:t>行政运行</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项）</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17.29</w:t>
      </w:r>
      <w:r>
        <w:rPr>
          <w:rFonts w:hint="eastAsia" w:ascii="Times New Roman" w:hAnsi="Times New Roman" w:eastAsia="仿宋_GB2312"/>
          <w:sz w:val="32"/>
          <w:szCs w:val="32"/>
          <w:highlight w:val="none"/>
        </w:rPr>
        <w:t>万元，决算数大于</w:t>
      </w:r>
      <w:r>
        <w:rPr>
          <w:rFonts w:hint="eastAsia" w:ascii="Times New Roman" w:hAnsi="Times New Roman" w:eastAsia="仿宋_GB2312"/>
          <w:sz w:val="32"/>
          <w:szCs w:val="32"/>
        </w:rPr>
        <w:t>年初预算数的主要原因是：</w:t>
      </w:r>
      <w:r>
        <w:rPr>
          <w:rFonts w:hint="eastAsia" w:ascii="Times New Roman" w:hAnsi="Times New Roman" w:eastAsia="仿宋_GB2312"/>
          <w:sz w:val="32"/>
          <w:szCs w:val="32"/>
          <w:highlight w:val="none"/>
          <w:lang w:val="en-US" w:eastAsia="zh-CN"/>
        </w:rPr>
        <w:t>年中增加了预算安排。</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outlineLvl w:val="3"/>
        <w:rPr>
          <w:rFonts w:ascii="Times New Roman" w:hAnsi="Times New Roman" w:eastAsia="仿宋_GB2312"/>
          <w:sz w:val="32"/>
          <w:szCs w:val="32"/>
        </w:rPr>
      </w:pPr>
      <w:r>
        <w:rPr>
          <w:rFonts w:hint="eastAsia" w:ascii="Times New Roman" w:hAnsi="Times New Roman" w:eastAsia="仿宋_GB2312"/>
          <w:sz w:val="32"/>
          <w:szCs w:val="32"/>
        </w:rPr>
        <w:t>2、</w:t>
      </w:r>
      <w:r>
        <w:rPr>
          <w:rFonts w:hint="eastAsia" w:ascii="Times New Roman" w:hAnsi="Times New Roman" w:eastAsia="仿宋_GB2312"/>
          <w:sz w:val="32"/>
          <w:szCs w:val="32"/>
          <w:highlight w:val="none"/>
        </w:rPr>
        <w:t>农林水支出</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类）</w:t>
      </w:r>
      <w:r>
        <w:rPr>
          <w:rFonts w:hint="eastAsia" w:ascii="Times New Roman" w:hAnsi="Times New Roman" w:eastAsia="仿宋_GB2312"/>
          <w:sz w:val="32"/>
          <w:szCs w:val="32"/>
          <w:highlight w:val="none"/>
        </w:rPr>
        <w:t>农业农村</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款）</w:t>
      </w:r>
      <w:r>
        <w:rPr>
          <w:rFonts w:hint="eastAsia" w:ascii="Times New Roman" w:hAnsi="Times New Roman" w:eastAsia="仿宋_GB2312"/>
          <w:sz w:val="32"/>
          <w:szCs w:val="32"/>
          <w:highlight w:val="none"/>
        </w:rPr>
        <w:t>事业运行</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项）</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143</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134.21</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93.85</w:t>
      </w:r>
      <w:r>
        <w:rPr>
          <w:rFonts w:hint="eastAsia" w:ascii="Times New Roman" w:hAnsi="Times New Roman" w:eastAsia="仿宋_GB2312"/>
          <w:sz w:val="32"/>
          <w:szCs w:val="32"/>
          <w:highlight w:val="none"/>
        </w:rPr>
        <w:t>%，决算数小于年初预算数的主要原因是：</w:t>
      </w:r>
      <w:r>
        <w:rPr>
          <w:rFonts w:hint="eastAsia" w:ascii="Times New Roman" w:hAnsi="Times New Roman" w:eastAsia="仿宋_GB2312"/>
          <w:sz w:val="32"/>
          <w:szCs w:val="32"/>
          <w:highlight w:val="none"/>
          <w:lang w:val="en-US" w:eastAsia="zh-CN"/>
        </w:rPr>
        <w:t>结余费用为劳务费8.79万元，系因财政支付系统无法通过其他工资福利支出支付劳务派遣公司劳务费用，该款项财政已收回。</w:t>
      </w:r>
    </w:p>
    <w:p>
      <w:pPr>
        <w:pStyle w:val="15"/>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农林水支出（类）农业农村（款）农产品质量安全（项）。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rPr>
        <w:t>，决</w:t>
      </w:r>
      <w:r>
        <w:rPr>
          <w:rFonts w:hint="eastAsia" w:ascii="Times New Roman" w:hAnsi="Times New Roman" w:eastAsia="仿宋_GB2312"/>
          <w:sz w:val="32"/>
          <w:szCs w:val="32"/>
        </w:rPr>
        <w:t>算数大于年初预算数的主要原因是：</w:t>
      </w:r>
      <w:r>
        <w:rPr>
          <w:rFonts w:hint="eastAsia" w:ascii="Times New Roman" w:hAnsi="Times New Roman" w:eastAsia="仿宋_GB2312"/>
          <w:sz w:val="32"/>
          <w:szCs w:val="32"/>
          <w:highlight w:val="none"/>
          <w:lang w:val="en-US" w:eastAsia="zh-CN"/>
        </w:rPr>
        <w:t>年中增加了预算安排。</w:t>
      </w:r>
    </w:p>
    <w:p>
      <w:pPr>
        <w:pStyle w:val="15"/>
        <w:keepNext w:val="0"/>
        <w:keepLines w:val="0"/>
        <w:pageBreakBefore w:val="0"/>
        <w:widowControl w:val="0"/>
        <w:numPr>
          <w:ilvl w:val="0"/>
          <w:numId w:val="2"/>
        </w:numPr>
        <w:kinsoku/>
        <w:wordWrap/>
        <w:overflowPunct/>
        <w:topLinePunct w:val="0"/>
        <w:bidi w:val="0"/>
        <w:snapToGrid/>
        <w:spacing w:line="600" w:lineRule="exact"/>
        <w:ind w:left="0" w:leftChars="0"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农林水支出（类）农业农村（款）农业生产发展（项）。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80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80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141.40</w:t>
      </w:r>
      <w:r>
        <w:rPr>
          <w:rFonts w:hint="eastAsia" w:ascii="Times New Roman" w:hAnsi="Times New Roman" w:eastAsia="仿宋_GB2312"/>
          <w:sz w:val="32"/>
          <w:szCs w:val="32"/>
        </w:rPr>
        <w:t>万元，其中：</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106.20</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75.11</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、绩效工资、机关事业单位基本养老保险缴费、职工基本医疗保险缴费、</w:t>
      </w:r>
      <w:r>
        <w:rPr>
          <w:rFonts w:hint="eastAsia" w:ascii="Times New Roman" w:hAnsi="Times New Roman" w:eastAsia="仿宋_GB2312"/>
          <w:sz w:val="32"/>
          <w:szCs w:val="32"/>
          <w:lang w:val="en-US" w:eastAsia="zh-CN"/>
        </w:rPr>
        <w:t>其他社会保障缴费、</w:t>
      </w:r>
      <w:r>
        <w:rPr>
          <w:rFonts w:hint="eastAsia" w:ascii="Times New Roman" w:hAnsi="Times New Roman" w:eastAsia="仿宋_GB2312"/>
          <w:sz w:val="32"/>
          <w:szCs w:val="32"/>
          <w:lang w:eastAsia="zh-CN"/>
        </w:rPr>
        <w:t>住房公积金、</w:t>
      </w:r>
      <w:r>
        <w:rPr>
          <w:rFonts w:hint="eastAsia" w:ascii="Times New Roman" w:hAnsi="Times New Roman" w:eastAsia="仿宋_GB2312"/>
          <w:sz w:val="32"/>
          <w:szCs w:val="32"/>
          <w:lang w:val="en-US" w:eastAsia="zh-CN"/>
        </w:rPr>
        <w:t>退休费</w:t>
      </w:r>
      <w:r>
        <w:rPr>
          <w:rFonts w:hint="eastAsia" w:ascii="Times New Roman" w:hAnsi="Times New Roman" w:eastAsia="仿宋_GB2312"/>
          <w:sz w:val="32"/>
          <w:szCs w:val="32"/>
          <w:lang w:eastAsia="zh-CN"/>
        </w:rPr>
        <w:t>、抚恤金、奖励金、</w:t>
      </w:r>
      <w:r>
        <w:rPr>
          <w:rFonts w:hint="eastAsia" w:ascii="Times New Roman" w:hAnsi="Times New Roman" w:eastAsia="仿宋_GB2312"/>
          <w:sz w:val="32"/>
          <w:szCs w:val="32"/>
          <w:lang w:val="en-US" w:eastAsia="zh-CN"/>
        </w:rPr>
        <w:t>其他对个人和家庭的补助</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b/>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35.20</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24.89</w:t>
      </w:r>
      <w:r>
        <w:rPr>
          <w:rFonts w:hint="eastAsia" w:ascii="Times New Roman" w:hAnsi="Times New Roman" w:eastAsia="仿宋_GB2312"/>
          <w:sz w:val="32"/>
          <w:szCs w:val="32"/>
        </w:rPr>
        <w:t>%，主要包括办公费、</w:t>
      </w:r>
      <w:r>
        <w:rPr>
          <w:rFonts w:hint="eastAsia" w:ascii="Times New Roman" w:hAnsi="Times New Roman" w:eastAsia="仿宋_GB2312"/>
          <w:sz w:val="32"/>
          <w:szCs w:val="32"/>
          <w:lang w:val="en-US" w:eastAsia="zh-CN"/>
        </w:rPr>
        <w:t>电费、邮电费、差旅费、租赁费、会议费、培训费、公务接待费、劳务费、福利费、工会经费、其他交通费用</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2"/>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2.40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0.40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16.67</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我单位无公务用车运行维护开支</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无差异</w:t>
      </w:r>
      <w:r>
        <w:rPr>
          <w:rFonts w:hint="eastAsia" w:ascii="Times New Roman" w:hAnsi="Times New Roman" w:eastAsia="仿宋_GB2312"/>
          <w:sz w:val="32"/>
          <w:szCs w:val="32"/>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万元，与上年相比</w:t>
      </w:r>
      <w:r>
        <w:rPr>
          <w:rFonts w:hint="eastAsia" w:ascii="Times New Roman" w:hAnsi="Times New Roman" w:eastAsia="仿宋_GB2312"/>
          <w:sz w:val="32"/>
          <w:szCs w:val="32"/>
          <w:lang w:val="en-US" w:eastAsia="zh-CN"/>
        </w:rPr>
        <w:t>无差异</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0.40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0.40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无差异</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万元，与上年相比</w:t>
      </w:r>
      <w:r>
        <w:rPr>
          <w:rFonts w:hint="eastAsia" w:ascii="Times New Roman" w:hAnsi="Times New Roman" w:eastAsia="仿宋_GB2312"/>
          <w:sz w:val="32"/>
          <w:szCs w:val="32"/>
          <w:lang w:val="en-US" w:eastAsia="zh-CN"/>
        </w:rPr>
        <w:t>无差异</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我单位无公务用车运行维护开支</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与上年相比无差异</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2"/>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0.40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%。其中：</w:t>
      </w:r>
    </w:p>
    <w:p>
      <w:pPr>
        <w:pStyle w:val="15"/>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b/>
          <w:sz w:val="32"/>
          <w:szCs w:val="32"/>
          <w:lang w:val="en-US"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0.40</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29</w:t>
      </w:r>
      <w:r>
        <w:rPr>
          <w:rFonts w:hint="eastAsia" w:ascii="Times New Roman" w:hAnsi="Times New Roman" w:eastAsia="仿宋_GB2312"/>
          <w:sz w:val="32"/>
          <w:szCs w:val="32"/>
        </w:rPr>
        <w:t>人次，主要是湖南省人民政府驻海南办事处调研</w:t>
      </w:r>
      <w:r>
        <w:rPr>
          <w:rFonts w:hint="eastAsia" w:ascii="Times New Roman" w:hAnsi="Times New Roman" w:eastAsia="仿宋_GB2312"/>
          <w:sz w:val="32"/>
          <w:szCs w:val="32"/>
          <w:lang w:eastAsia="zh-CN"/>
        </w:rPr>
        <w:t>，湖南恒德种业科技、湖南优至种业考察调研、长沙利诚种业考察调研</w:t>
      </w:r>
      <w:r>
        <w:rPr>
          <w:rFonts w:hint="eastAsia" w:ascii="Times New Roman" w:hAnsi="Times New Roman" w:eastAsia="仿宋_GB2312"/>
          <w:sz w:val="32"/>
          <w:szCs w:val="32"/>
          <w:lang w:val="en-US" w:eastAsia="zh-CN"/>
        </w:rPr>
        <w:t>活动</w:t>
      </w:r>
      <w:r>
        <w:rPr>
          <w:rFonts w:hint="eastAsia" w:ascii="Times New Roman" w:hAnsi="Times New Roman" w:eastAsia="仿宋_GB2312"/>
          <w:sz w:val="32"/>
          <w:szCs w:val="32"/>
        </w:rPr>
        <w:t>发生的接待支出。</w:t>
      </w:r>
    </w:p>
    <w:p>
      <w:pPr>
        <w:pStyle w:val="15"/>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万元，湖南省农作物种子南繁中心更新公务用车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5"/>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本单位无政府性基金收支。</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本部门202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年度无机关运行经费支出。</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highlight w:val="none"/>
          <w:lang w:val="en-US" w:eastAsia="zh-CN" w:bidi="ar-SA"/>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万元，用于召开</w:t>
      </w:r>
      <w:r>
        <w:rPr>
          <w:rFonts w:hint="eastAsia" w:ascii="Times New Roman" w:hAnsi="Times New Roman" w:eastAsia="仿宋_GB2312"/>
          <w:sz w:val="32"/>
          <w:szCs w:val="32"/>
          <w:lang w:val="en-US" w:eastAsia="zh-CN"/>
        </w:rPr>
        <w:t>1次</w:t>
      </w:r>
      <w:r>
        <w:rPr>
          <w:rFonts w:hint="eastAsia" w:ascii="Times New Roman" w:hAnsi="Times New Roman" w:eastAsia="仿宋_GB2312"/>
          <w:sz w:val="32"/>
          <w:szCs w:val="32"/>
        </w:rPr>
        <w:t>会议，人数</w:t>
      </w:r>
      <w:r>
        <w:rPr>
          <w:rFonts w:hint="eastAsia" w:ascii="Times New Roman" w:hAnsi="Times New Roman" w:eastAsia="仿宋_GB2312"/>
          <w:sz w:val="32"/>
          <w:szCs w:val="32"/>
          <w:lang w:val="en-US" w:eastAsia="zh-CN"/>
        </w:rPr>
        <w:t>84</w:t>
      </w:r>
      <w:r>
        <w:rPr>
          <w:rFonts w:hint="eastAsia" w:ascii="Times New Roman" w:hAnsi="Times New Roman" w:eastAsia="仿宋_GB2312"/>
          <w:sz w:val="32"/>
          <w:szCs w:val="32"/>
        </w:rPr>
        <w:t>人，内容为湖南省南繁科研育种工作交流会；开支培训费</w:t>
      </w:r>
      <w:r>
        <w:rPr>
          <w:rFonts w:hint="eastAsia" w:ascii="Times New Roman" w:hAnsi="Times New Roman" w:eastAsia="仿宋_GB2312"/>
          <w:sz w:val="32"/>
          <w:szCs w:val="32"/>
          <w:lang w:val="en-US" w:eastAsia="zh-CN"/>
        </w:rPr>
        <w:t>0.34</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用于参加2次培训活动，一是</w:t>
      </w:r>
      <w:r>
        <w:rPr>
          <w:rFonts w:hint="eastAsia" w:ascii="Times New Roman" w:hAnsi="Times New Roman" w:eastAsia="仿宋_GB2312"/>
          <w:sz w:val="32"/>
          <w:szCs w:val="32"/>
        </w:rPr>
        <w:t>开展事业单位工作人员培训，人数</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人</w:t>
      </w:r>
      <w:r>
        <w:rPr>
          <w:rFonts w:hint="eastAsia" w:ascii="Times New Roman" w:hAnsi="Times New Roman" w:eastAsia="仿宋_GB2312"/>
          <w:sz w:val="32"/>
          <w:szCs w:val="32"/>
          <w:lang w:eastAsia="zh-CN"/>
        </w:rPr>
        <w:t>，二是用于</w:t>
      </w:r>
      <w:r>
        <w:rPr>
          <w:rFonts w:hint="eastAsia" w:ascii="Times New Roman" w:hAnsi="Times New Roman" w:eastAsia="仿宋_GB2312"/>
          <w:sz w:val="32"/>
          <w:szCs w:val="32"/>
          <w:lang w:val="en-US" w:eastAsia="zh-CN"/>
        </w:rPr>
        <w:t>农业农村人才数字化技术业务培训班，人数1人，内容为学习农业农村部政务信息系统管理平台建设成果等</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未举</w:t>
      </w:r>
      <w:r>
        <w:rPr>
          <w:rFonts w:hint="eastAsia" w:ascii="Times New Roman" w:hAnsi="Times New Roman" w:eastAsia="仿宋_GB2312"/>
          <w:sz w:val="32"/>
          <w:szCs w:val="32"/>
          <w:highlight w:val="none"/>
          <w:lang w:eastAsia="zh-CN"/>
        </w:rPr>
        <w:t>办</w:t>
      </w:r>
      <w:r>
        <w:rPr>
          <w:rFonts w:hint="eastAsia" w:ascii="Times New Roman" w:hAnsi="Times New Roman" w:eastAsia="仿宋_GB2312"/>
          <w:sz w:val="32"/>
          <w:szCs w:val="32"/>
          <w:highlight w:val="none"/>
        </w:rPr>
        <w:t>节庆、晚会、论坛、赛事活动。</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outlineLvl w:val="1"/>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本部门2023年度政府采购支出总额41.40万元，其中：政府采购货物支出34.36万元、政府采购工程支出0万元、政府采购服务支出7.04万元。授予中小企业合同金额41.4</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万元，占政府采购支出总额的100%，其中：授予小微企业合同金额41.40万元，占授予中小企业合同金额的100%。货物采购授予中小企业合同金额占货物支出金额的82.99%，服务采购授予中小企业合同金额占服务支出金额的17.01%。</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outlineLvl w:val="1"/>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val="en-US" w:eastAsia="zh-CN"/>
        </w:rPr>
        <w:t>湖南省农作物种子南繁中心</w:t>
      </w:r>
      <w:r>
        <w:rPr>
          <w:rFonts w:hint="eastAsia" w:ascii="Times New Roman" w:hAnsi="Times New Roman" w:eastAsia="仿宋_GB2312"/>
          <w:color w:val="auto"/>
          <w:sz w:val="32"/>
          <w:szCs w:val="32"/>
        </w:rPr>
        <w:t>共有车辆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辆，其中</w:t>
      </w:r>
      <w:r>
        <w:rPr>
          <w:rFonts w:hint="eastAsia" w:ascii="Times New Roman" w:hAnsi="Times New Roman" w:eastAsia="仿宋_GB2312"/>
          <w:color w:val="auto"/>
          <w:sz w:val="32"/>
          <w:szCs w:val="32"/>
          <w:lang w:eastAsia="zh-CN"/>
        </w:rPr>
        <w:t>，副部（省）级及以上领导用车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负责人</w:t>
      </w:r>
      <w:r>
        <w:rPr>
          <w:rFonts w:hint="eastAsia" w:ascii="Times New Roman" w:hAnsi="Times New Roman" w:eastAsia="仿宋_GB2312"/>
          <w:color w:val="auto"/>
          <w:sz w:val="32"/>
          <w:szCs w:val="32"/>
        </w:rPr>
        <w:t>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机要通信用车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辆、应急保障用车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辆、执法执勤用车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辆、特种专业技术用车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离退休干部服务用车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辆、其他用车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辆；单位价值100万元以上设备</w:t>
      </w:r>
      <w:r>
        <w:rPr>
          <w:rFonts w:hint="eastAsia" w:ascii="Times New Roman" w:hAnsi="Times New Roman" w:eastAsia="仿宋_GB2312"/>
          <w:color w:val="auto"/>
          <w:sz w:val="32"/>
          <w:szCs w:val="32"/>
          <w:lang w:eastAsia="zh-CN"/>
        </w:rPr>
        <w:t>（不含车辆）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outlineLvl w:val="1"/>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w:t>
      </w:r>
      <w:r>
        <w:rPr>
          <w:rFonts w:hint="eastAsia" w:ascii="Times New Roman" w:hAnsi="Times New Roman" w:eastAsia="仿宋_GB2312"/>
          <w:color w:val="auto"/>
          <w:sz w:val="32"/>
          <w:szCs w:val="32"/>
          <w:lang w:val="en-US" w:eastAsia="zh-CN"/>
        </w:rPr>
        <w:t>我单位</w:t>
      </w:r>
      <w:r>
        <w:rPr>
          <w:rFonts w:hint="eastAsia" w:ascii="Times New Roman" w:hAnsi="Times New Roman" w:eastAsia="仿宋_GB2312"/>
          <w:color w:val="auto"/>
          <w:sz w:val="32"/>
          <w:szCs w:val="32"/>
        </w:rPr>
        <w:t>预算绩效管理工作紧紧围绕中央、省关于全面实施预算绩效管理的决策部署，以扩面、提质、增效为总抓手，大力提升绩效目标质量，强化绩效运行监控，拓展绩效评价范围，不断增强预算绩效管理工作效果、影响力和公信力。使用预算一体化系统开展预算编制、预算执行、会计核算和预算绩效管理相关工作</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及时上缴国有资本经营预算资金。</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val="en-US" w:eastAsia="zh-CN"/>
        </w:rPr>
        <w:t>一是</w:t>
      </w:r>
      <w:r>
        <w:rPr>
          <w:rFonts w:hint="eastAsia" w:ascii="Times New Roman" w:hAnsi="Times New Roman" w:eastAsia="仿宋_GB2312"/>
          <w:sz w:val="32"/>
          <w:szCs w:val="32"/>
        </w:rPr>
        <w:t>加强政治学习，抓党建促工作</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按照厅党组的统一部署，全年共组织全体干部职工集中开展政治学习12次，学习习近平同</w:t>
      </w:r>
      <w:r>
        <w:rPr>
          <w:rFonts w:hint="eastAsia" w:ascii="Times New Roman" w:hAnsi="Times New Roman" w:eastAsia="仿宋_GB2312"/>
          <w:sz w:val="32"/>
          <w:szCs w:val="32"/>
          <w:lang w:eastAsia="zh-CN"/>
        </w:rPr>
        <w:t>志在</w:t>
      </w:r>
      <w:r>
        <w:rPr>
          <w:rFonts w:hint="eastAsia" w:ascii="Times New Roman" w:hAnsi="Times New Roman" w:eastAsia="仿宋_GB2312"/>
          <w:sz w:val="32"/>
          <w:szCs w:val="32"/>
        </w:rPr>
        <w:t>中国共产党第二十次全国代表大会上的报告，学习《习近平新时代中国特色社会主义思想专题摘编》和学习厅党组《关于深入开展学习贯彻习近平新时代中国特色社会主义思想主题教育的实施方案》，深刻领会习近平总书记新时代中国特色社会主义思想的重大意义，进一步增强“四个意识”，坚定“四个自信”，做到“两个维护”，坚持党的领导、人民</w:t>
      </w:r>
      <w:r>
        <w:rPr>
          <w:rFonts w:hint="eastAsia" w:ascii="Times New Roman" w:hAnsi="Times New Roman" w:eastAsia="仿宋_GB2312"/>
          <w:sz w:val="32"/>
          <w:szCs w:val="32"/>
          <w:lang w:eastAsia="zh-CN"/>
        </w:rPr>
        <w:t>当家作主</w:t>
      </w:r>
      <w:r>
        <w:rPr>
          <w:rFonts w:hint="eastAsia" w:ascii="Times New Roman" w:hAnsi="Times New Roman" w:eastAsia="仿宋_GB2312"/>
          <w:sz w:val="32"/>
          <w:szCs w:val="32"/>
        </w:rPr>
        <w:t>，坚决维护党中央的权威；同时要求全体干部职工加强学习，切实提高个人素质，加强个人修养</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组织全体党员认真学习宪法和党章，深刻理解宪法和党章。做好党风廉政建设是我们每个党员和干部的责任。中心全体职工能够认真按照中央八项规定和省委九项规定精神开展工作，做到廉洁自律。</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汇编了支部2022年度党建材料。党建工作是我们单位的重中之重，为了总结提高此项工作，中心汇编了《中共湖南省种子质量检测与南繁中心支部委员会2022年度党建材料汇编》，内容包括支部工作计划、思想建设、党建活动、学习心得等方面，受到了厅机关党委和站总支的肯定。</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val="en-US" w:eastAsia="zh-CN"/>
        </w:rPr>
        <w:t>二是</w:t>
      </w:r>
      <w:r>
        <w:rPr>
          <w:rFonts w:hint="eastAsia" w:ascii="Times New Roman" w:hAnsi="Times New Roman" w:eastAsia="仿宋_GB2312"/>
          <w:sz w:val="32"/>
          <w:szCs w:val="32"/>
        </w:rPr>
        <w:t>规范管理，南繁工作成效显著</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1、认真编写了南繁工作指南。为了让各南繁单位依法依规</w:t>
      </w:r>
      <w:r>
        <w:rPr>
          <w:rFonts w:hint="eastAsia" w:ascii="Times New Roman" w:hAnsi="Times New Roman" w:eastAsia="仿宋_GB2312"/>
          <w:sz w:val="32"/>
          <w:szCs w:val="32"/>
          <w:lang w:eastAsia="zh-CN"/>
        </w:rPr>
        <w:t>地</w:t>
      </w:r>
      <w:r>
        <w:rPr>
          <w:rFonts w:hint="eastAsia" w:ascii="Times New Roman" w:hAnsi="Times New Roman" w:eastAsia="仿宋_GB2312"/>
          <w:sz w:val="32"/>
          <w:szCs w:val="32"/>
        </w:rPr>
        <w:t>从事南繁作业，中心整理编写了《南繁工作指南》，内容包括南繁规划、法律法规、南繁工作流程和我省南繁基本情况，是南繁工作者的工具书和参考书。</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高效使用科研用地。今年有40多家单位进驻湖南省南繁科研育种园开展南繁育制种作业，常驻单位的科研用地使用率为100%，机动土地大部分已出租使用，园区土地综合使用率达96%，园区内科研用地得到高效利用，成效显著。</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3、成功举办了首届南繁科研育种工作交流会。为了提升南繁育种效率、提高育种水平，今年4月，中心在陵水组织召开了首届南繁科研育种工作交流会，全省40多家单位近百名南繁育种专家参会，亚华科学院杨远柱院长讲授“杂交水稻商业化育种方法与实践”， 各南繁单位的专家就水稻南繁科研育种最新方法和进展进行了交流探讨，分享了工作经验。会议为南繁育种人员提供了思想碰撞的舞台，参会人员普遍反映收获颇丰。</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4、协助完成了臻两优8612种子生产全过程监管。为解决湖南大米镉超标问题，省政府决定在全省推广120万亩镉低积累水稻品种臻两优8612。亚华种业在海南安排了一万亩种子生产任务，在整个生产季节，中心多次派人到生产基地协调处理种子生产中存在问题，协助监管种子质量，共编写种子生产形势简报9期，确保120万公斤种子生产按质按量按时完成。</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5、建立了平安创建警务室。为了进一步加强警民团结，密切警民关系，增进警民情谊，积极促进陵水黎族自治县精神文明建设，推动现代农业发展，着力打造“育种陵水”名片，维护湖南省南繁科研育种园及周边地区的政治稳定和治安安定，保障园区正常作业。经椰林镇派出所、椰林海岸派出所和湖南省农作物种子南繁中心共同商定，三方结成警民共建单位，在园区内主干道设立警务室一座，由椰林镇派出所和椰林海岸派出所派驻警务人员负责警务室的日常工作和园区巡视工作</w:t>
      </w:r>
      <w:r>
        <w:rPr>
          <w:rFonts w:hint="eastAsia" w:ascii="Times New Roman" w:hAnsi="Times New Roman" w:eastAsia="仿宋_GB2312"/>
          <w:sz w:val="32"/>
          <w:szCs w:val="32"/>
          <w:lang w:eastAsia="zh-CN"/>
        </w:rPr>
        <w:t>，让</w:t>
      </w:r>
      <w:r>
        <w:rPr>
          <w:rFonts w:hint="eastAsia" w:ascii="Times New Roman" w:hAnsi="Times New Roman" w:eastAsia="仿宋_GB2312"/>
          <w:sz w:val="32"/>
          <w:szCs w:val="32"/>
        </w:rPr>
        <w:t>园区育种材料更安全。</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6、及时进行了陵水园区围栏修复和水沟清理工作。海南雨水充沛，空气盐分高，日照强度高，陵水园区围栏经过4年时间，部分有开裂和破皮现象，为了园区的美化和安全，中心聘请专业人员，通过全面检查，确定修复范围和标准，及时修复，延长了围栏使用寿命。非南繁季，田间杂草丛生，水沟内产生较多垃圾和淤泥，为了南繁季节能满足各单位用水需求，中心聘请人员割草和清理水沟水渠，保证水渠通畅。</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7、设法争取了海南省的项目建设资金。随着省南繁科研育种园影响力扩大，海南当地政府对我省南繁工作力度也在加大，今年陵水县安排了15万元维护资金，海南省财政计划安排100万元首批项目提升资金。</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val="en-US" w:eastAsia="zh-CN"/>
        </w:rPr>
        <w:t>三是</w:t>
      </w:r>
      <w:r>
        <w:rPr>
          <w:rFonts w:hint="eastAsia" w:ascii="Times New Roman" w:hAnsi="Times New Roman" w:eastAsia="仿宋_GB2312"/>
          <w:sz w:val="32"/>
          <w:szCs w:val="32"/>
        </w:rPr>
        <w:t>对照标准、严格综合财务工作</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1、全面开展各项综合工作。完成了中心的事业单位法人证书、银行基本账户等的年检工作；五险一金年检等各项工作按质按量适时完成。</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2、积极做好职工职称晋升和薪级工资的调薪晋级工作和每月工资按时发放工作，坚决在国家政策允许的情况下做好中心的福利工作</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认真、仔细做好在职人员养老保险和事业年金的核算和缴纳工作，同时做好退休人员一般性事务工作。</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3、规范工作纪律。严格执行中心制定的《考勤制度》，要求职工都要按制度执行，严肃上班纪律和工作作风，并与个人年终考核和绩效工资挂钩，杜绝出现迟到早退和无故旷工等现象。</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4、节支增效，加强办公室水电管理，获得了2022年度省级公共机构节水型单位称号。</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outlineLvl w:val="2"/>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 w:cs="Times New Roman"/>
          <w:color w:val="000000"/>
          <w:sz w:val="32"/>
          <w:szCs w:val="32"/>
          <w:lang w:val="en-US" w:eastAsia="zh-CN"/>
        </w:rPr>
      </w:pPr>
      <w:r>
        <w:rPr>
          <w:rFonts w:hint="eastAsia" w:ascii="Times New Roman" w:hAnsi="Times New Roman" w:eastAsia="仿宋" w:cs="Times New Roman"/>
          <w:color w:val="000000"/>
          <w:sz w:val="32"/>
          <w:szCs w:val="32"/>
          <w:lang w:val="en-US" w:eastAsia="zh-CN"/>
        </w:rPr>
        <w:t>一是绩效管理有待进一步加强。我中心部分项目绩效目标申报欠全面，未根据项目具体内容全面申报数量、质量、时效、成本、经济效益、社会效益、生态效益和可持续性发展指标。</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lang w:eastAsia="zh-CN"/>
        </w:rPr>
      </w:pPr>
      <w:r>
        <w:rPr>
          <w:rFonts w:hint="eastAsia" w:ascii="Times New Roman" w:hAnsi="Times New Roman" w:eastAsia="仿宋" w:cs="Times New Roman"/>
          <w:color w:val="000000"/>
          <w:sz w:val="32"/>
          <w:szCs w:val="32"/>
          <w:lang w:val="en-US" w:eastAsia="zh-CN"/>
        </w:rPr>
        <w:t>二是单位内部控制制度管理有待进一步加强。</w:t>
      </w:r>
      <w:r>
        <w:rPr>
          <w:rFonts w:ascii="Times New Roman" w:hAnsi="Times New Roman" w:eastAsia="仿宋" w:cs="Times New Roman"/>
          <w:color w:val="000000"/>
          <w:sz w:val="32"/>
          <w:szCs w:val="32"/>
        </w:rPr>
        <w:t>通过</w:t>
      </w:r>
      <w:r>
        <w:rPr>
          <w:rFonts w:hint="eastAsia" w:ascii="Times New Roman" w:hAnsi="Times New Roman" w:eastAsia="仿宋" w:cs="Times New Roman"/>
          <w:color w:val="000000"/>
          <w:sz w:val="32"/>
          <w:szCs w:val="32"/>
        </w:rPr>
        <w:t>加强人员管理、规范财务管理、加强信息管理、建立风险管理机制、加强监督与督促和提升管理水平等措施，可以有效解决内部控制存在的问题，提高内部控制的有效性和适用性</w:t>
      </w:r>
      <w:r>
        <w:rPr>
          <w:rFonts w:hint="eastAsia" w:ascii="Times New Roman" w:hAnsi="Times New Roman" w:eastAsia="仿宋" w:cs="Times New Roman"/>
          <w:color w:val="000000"/>
          <w:sz w:val="32"/>
          <w:szCs w:val="32"/>
          <w:lang w:eastAsia="zh-CN"/>
        </w:rPr>
        <w:t>。</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default" w:ascii="Times New Roman" w:hAnsi="Times New Roman" w:eastAsia="仿宋" w:cs="Times New Roman"/>
          <w:color w:val="000000"/>
          <w:sz w:val="32"/>
          <w:szCs w:val="32"/>
          <w:lang w:val="en-US" w:eastAsia="zh-CN"/>
        </w:rPr>
      </w:pPr>
    </w:p>
    <w:p>
      <w:pPr>
        <w:pStyle w:val="15"/>
        <w:keepNext w:val="0"/>
        <w:keepLines w:val="0"/>
        <w:pageBreakBefore w:val="0"/>
        <w:widowControl w:val="0"/>
        <w:kinsoku/>
        <w:wordWrap/>
        <w:overflowPunct/>
        <w:topLinePunct w:val="0"/>
        <w:autoSpaceDE w:val="0"/>
        <w:autoSpaceDN w:val="0"/>
        <w:bidi w:val="0"/>
        <w:adjustRightInd w:val="0"/>
        <w:snapToGrid/>
        <w:spacing w:line="580" w:lineRule="exact"/>
        <w:jc w:val="left"/>
        <w:textAlignment w:val="auto"/>
        <w:rPr>
          <w:rFonts w:hint="eastAsia" w:ascii="Times New Roman" w:hAnsi="Times New Roman" w:eastAsia="仿宋_GB2312"/>
          <w:sz w:val="32"/>
          <w:szCs w:val="32"/>
        </w:rPr>
      </w:pPr>
    </w:p>
    <w:p>
      <w:pPr>
        <w:pStyle w:val="15"/>
        <w:jc w:val="both"/>
        <w:rPr>
          <w:sz w:val="72"/>
          <w:szCs w:val="72"/>
        </w:rPr>
      </w:pPr>
    </w:p>
    <w:p>
      <w:pPr>
        <w:pStyle w:val="15"/>
        <w:jc w:val="center"/>
        <w:rPr>
          <w:sz w:val="72"/>
          <w:szCs w:val="72"/>
        </w:rPr>
      </w:pPr>
    </w:p>
    <w:p>
      <w:pPr>
        <w:pStyle w:val="15"/>
        <w:jc w:val="center"/>
        <w:rPr>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outlineLvl w:val="0"/>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outlineLvl w:val="1"/>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一、财政拨款收入：指中央和省级财政当年拨付的资金。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二、事业收入：指事业单位开展专业业务活动及辅助活动所取得的收入。</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三、经营收入：指事业单位在专业业务活动及其辅助活动之外开展非独立核算经营活动取得的收入。</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四、其他收入：指除上述“财政拨款收入”、“事业收入”、“经营收入”等以外的收入。</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五、年初结转和结余：指以前年度尚未完成、结转到本年按有关规定继续使用的资金。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六、基本支出：指为保障单位机构正常运转、完成日常工作任务而发生的各项支出。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七、项目支出：指单位为完成特定行政工作任务或事业发展目标而发生的支出，包括有关事业发展专项、专项业务费等。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八、因公出国（境）费：指单位公务出国（境）的住宿费、旅费、伙食补助费、杂费、培训费等支出。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九、公务用车购置费：指单位公务车辆购置支出，包括车辆购置税支出。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十、公务用车运行维护费：指单位公务用车租用费、燃料费、维修费、过路过桥费、保险费、安全奖励费用等支出。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十一、公务接待费：指单位按规定开支的各类公务接待（含 外宾接待）费用。</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十二、年末结转和结余：指本年度或以前年度预算安排、因客观条件发生变化无法按原计划实施，需延迟到以后年度按有关规定继续使用的资金。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十三、机关运行经费：指为保障行政单位（包括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十四、一般公共服务支出（类）其他共产党事务支出（款）一般行政管理事务（项）：指反映行政单位（包括实行公务员管理的事业单位）未单独设置项级科目的其他项目支出。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十五：社会保障和就业支出（类）人力资源和社会保障管理事务（款）行政运行（项）：指反映行政单位（包括实行公务员管理的事业单位）的基本支出。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十六：社会保障和就业支出（类）民政管理事务（款）行政运行（项）：指反映行政单位（包括实行公务员管理的事业单位）的基本支出。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十七：社会保障和就业支出（类）民政管理事务（款）社会组织管理（项）：指反映社会组织管理、支持社会组织发展等方面的支出。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十八：社会保障和就业支出（类）民政管理事务（款）行政区划和地名管理（项）：指反映行政区域界线勘定、维护，以及行政区划和地名管理支出。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十九：社会保障和就业支出（类）民政管理事务（款）基层政权建设和社区治理（项）：指反映开展城乡社区治理、城乡社区服务（乡村便民服务）、村（居）民自治、村（居）务公开、乡镇（街道）服务能力建设等基层政权建设和社区治理工作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二十：社会保障和就业支出（类）民政管理事务（款）其他民政管理事务支出（项）：指反映民政部门接待来访、法制建设、政策宣传方面的支出，以及开展社会救助、社会福利、养老服务、社会事务、信息化建设等方面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二十一：社会保障和就业支出（类）行政事业单位养老支出（款）机关事业单位基本养老保险缴费支出（项）：指反映机关事业单位实施养老保险制度由单位缴纳的基本养老保险费支出。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二十二：社会保障和就业支出（类）行政事业单位养老支出（款）机关事业单位职业年金缴费支出（项）：指反映机关事业单位实施养老保险制度由单位实际缴纳的职业年金支出。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二十三：社会保障和就业支出（类）社会福利（款）康复辅具（项）：指反映民政部门举办的康复辅具机构支出。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二十四：社会保障和就业支出（类）红十字事业（款）行政运行（项）：指反映行政单位（包括实行公务员管理的事业单位）的基本支出。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二十五：社会保障和就业支出（类）其他生活救助（款）其他农村生活救助（项）：指反映除最低生活保障、临时救助、特困人员供养、自然灾害生活救助外，用于农村生活困难居民生活救助的其他支出。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二十六：卫生健康支出（类）行政事业单位医疗（款）行政单位医疗（项）：指反映财政部门安排的行政单位（包括实行公务员管理的事业单位）基本医疗保险缴费经费，未参加医疗保险的行政单位的公费医疗经费，按国家规定享受离休人员、红军老战士待遇人员的医疗经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二十七：节能环保支出（类）能源节约利用（款）能源节约利用（项）：指反映用于能源节约利用方面的支出。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二十八：住房保障支出（类）住房改革支出（款）住房公积金（项）：指反映行政事业单位按人力资源和社会保障部、财政部规定的基本工资和津贴补贴以及规定比例为职工缴纳的住房公积金。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二十九：政府性基金：指根据法律法规，为支持特定公共基 础设施建设和公共事业发展，无偿征收的具有专项用途的财政资金。</w:t>
      </w: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outlineLvl w:val="0"/>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5"/>
        <w:jc w:val="center"/>
        <w:rPr>
          <w:rFonts w:hint="eastAsia" w:ascii="方正小标宋_GBK" w:hAnsi="方正小标宋_GBK" w:eastAsia="方正小标宋_GBK" w:cs="方正小标宋_GBK"/>
          <w:sz w:val="70"/>
          <w:szCs w:val="70"/>
        </w:rPr>
      </w:pPr>
    </w:p>
    <w:p>
      <w:pPr>
        <w:pStyle w:val="15"/>
        <w:jc w:val="center"/>
        <w:outlineLvl w:val="1"/>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rPr>
          <w:sz w:val="72"/>
          <w:szCs w:val="72"/>
        </w:rPr>
      </w:pPr>
    </w:p>
    <w:p>
      <w:pPr>
        <w:pStyle w:val="4"/>
        <w:spacing w:line="288" w:lineRule="auto"/>
        <w:rPr>
          <w:rFonts w:ascii="Times New Roman" w:hAnsi="Times New Roma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宋体"/>
          <w:b/>
          <w:bCs/>
          <w:spacing w:val="-18"/>
          <w:position w:val="16"/>
          <w:sz w:val="43"/>
          <w:szCs w:val="43"/>
          <w:lang w:val="en-US" w:eastAsia="zh-CN"/>
        </w:rPr>
      </w:pPr>
      <w:r>
        <w:rPr>
          <w:rFonts w:ascii="Times New Roman" w:hAnsi="Times New Roman" w:eastAsia="宋体" w:cs="宋体"/>
          <w:b/>
          <w:bCs/>
          <w:spacing w:val="-18"/>
          <w:position w:val="16"/>
          <w:sz w:val="43"/>
          <w:szCs w:val="43"/>
        </w:rPr>
        <w:t>2023年度</w:t>
      </w:r>
      <w:r>
        <w:rPr>
          <w:rFonts w:hint="eastAsia" w:ascii="Times New Roman" w:hAnsi="Times New Roman" w:eastAsia="宋体" w:cs="宋体"/>
          <w:b/>
          <w:bCs/>
          <w:spacing w:val="-18"/>
          <w:position w:val="16"/>
          <w:sz w:val="43"/>
          <w:szCs w:val="43"/>
          <w:lang w:val="en-US" w:eastAsia="zh-CN"/>
        </w:rPr>
        <w:t>湖南省农作物种子南繁中心</w:t>
      </w:r>
    </w:p>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宋体"/>
          <w:b/>
          <w:bCs/>
          <w:spacing w:val="-18"/>
          <w:position w:val="16"/>
          <w:sz w:val="43"/>
          <w:szCs w:val="43"/>
          <w:lang w:val="en-US" w:eastAsia="zh-CN"/>
        </w:rPr>
      </w:pPr>
      <w:r>
        <w:rPr>
          <w:rFonts w:ascii="Times New Roman" w:hAnsi="Times New Roman" w:eastAsia="宋体" w:cs="宋体"/>
          <w:b/>
          <w:bCs/>
          <w:spacing w:val="-18"/>
          <w:position w:val="16"/>
          <w:sz w:val="43"/>
          <w:szCs w:val="43"/>
        </w:rPr>
        <w:t>整体支出</w:t>
      </w:r>
      <w:r>
        <w:rPr>
          <w:rFonts w:hint="eastAsia" w:ascii="Times New Roman" w:hAnsi="Times New Roman" w:eastAsia="宋体" w:cs="宋体"/>
          <w:b/>
          <w:bCs/>
          <w:spacing w:val="-18"/>
          <w:position w:val="16"/>
          <w:sz w:val="43"/>
          <w:szCs w:val="43"/>
          <w:lang w:val="en-US" w:eastAsia="zh-CN"/>
        </w:rPr>
        <w:t>绩效自评报告</w:t>
      </w:r>
    </w:p>
    <w:p>
      <w:pPr>
        <w:pStyle w:val="4"/>
        <w:spacing w:line="304" w:lineRule="auto"/>
        <w:rPr>
          <w:rFonts w:ascii="Times New Roman" w:hAnsi="Times New Roman"/>
        </w:rPr>
      </w:pP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firstLine="420" w:firstLineChars="200"/>
        <w:textAlignment w:val="baseline"/>
        <w:rPr>
          <w:rFonts w:ascii="Times New Roman" w:hAnsi="Times New Roma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ascii="Times New Roman" w:hAnsi="Times New Roman" w:eastAsia="黑体" w:cs="黑体"/>
          <w:sz w:val="32"/>
          <w:szCs w:val="32"/>
        </w:rPr>
      </w:pPr>
      <w:r>
        <w:rPr>
          <w:rFonts w:ascii="Times New Roman" w:hAnsi="Times New Roman" w:eastAsia="黑体" w:cs="黑体"/>
          <w:sz w:val="32"/>
          <w:szCs w:val="32"/>
        </w:rPr>
        <w:t>一</w:t>
      </w:r>
      <w:r>
        <w:rPr>
          <w:rFonts w:ascii="Times New Roman" w:hAnsi="Times New Roman" w:eastAsia="黑体" w:cs="黑体"/>
          <w:spacing w:val="-84"/>
          <w:sz w:val="32"/>
          <w:szCs w:val="32"/>
        </w:rPr>
        <w:t xml:space="preserve"> </w:t>
      </w:r>
      <w:r>
        <w:rPr>
          <w:rFonts w:ascii="Times New Roman" w:hAnsi="Times New Roman" w:eastAsia="黑体" w:cs="黑体"/>
          <w:sz w:val="32"/>
          <w:szCs w:val="32"/>
        </w:rPr>
        <w:t>、部门基本情况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1.主要职能。农作物种子繁殖，促进农业发展。主要农作物种子海南种植鉴定的田间管理工作、南繁各单位的技术服务和协调工作。</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2.机构设置。湖南省农作物种子南繁中心内设机构包括：综合财务科和三亚基地科。</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3.人员情况。我站现有在职人员</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人。处级干部1人，科级干部</w:t>
      </w: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rPr>
        <w:t>人。</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ascii="Times New Roman" w:hAnsi="Times New Roman" w:eastAsia="黑体" w:cs="黑体"/>
          <w:sz w:val="32"/>
          <w:szCs w:val="32"/>
        </w:rPr>
      </w:pPr>
      <w:r>
        <w:rPr>
          <w:rFonts w:ascii="Times New Roman" w:hAnsi="Times New Roman" w:eastAsia="黑体" w:cs="黑体"/>
          <w:sz w:val="32"/>
          <w:szCs w:val="32"/>
        </w:rPr>
        <w:t>二 、一般公共预算支出情况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我单位2023年度年初预算收入223.00万元，为一般公共预算财政拨款收入，较上年初预算收入减少1,165.45万元，为单位自有资金预算减少；年中追加指标34.24万元，其他收入73.03万，追加非财政拨款结余和专用结余440.65万元，调整后2023年收入预算为770.92万元（包括非财政拨款结余和专用结余440.65万元）。</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2023年支出预算批复数770.92万元，其中基本支出157.24万元，项目支出613.68万元。</w:t>
      </w:r>
    </w:p>
    <w:p>
      <w:pPr>
        <w:keepNext w:val="0"/>
        <w:keepLines w:val="0"/>
        <w:pageBreakBefore w:val="0"/>
        <w:widowControl/>
        <w:numPr>
          <w:ilvl w:val="0"/>
          <w:numId w:val="3"/>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楷体_GB2312" w:cs="楷体_GB2312"/>
          <w:b/>
          <w:bCs/>
          <w:color w:val="000000"/>
          <w:kern w:val="0"/>
          <w:sz w:val="32"/>
          <w:szCs w:val="32"/>
          <w:highlight w:val="none"/>
          <w:lang w:val="en-US" w:eastAsia="zh-CN"/>
        </w:rPr>
      </w:pPr>
      <w:r>
        <w:rPr>
          <w:rFonts w:hint="eastAsia" w:ascii="Times New Roman" w:hAnsi="Times New Roman" w:eastAsia="楷体_GB2312" w:cs="楷体_GB2312"/>
          <w:b/>
          <w:bCs/>
          <w:color w:val="000000"/>
          <w:kern w:val="0"/>
          <w:sz w:val="32"/>
          <w:szCs w:val="32"/>
          <w:highlight w:val="none"/>
          <w:lang w:val="en-US" w:eastAsia="zh-CN"/>
        </w:rPr>
        <w:t>基本支出情况</w:t>
      </w:r>
    </w:p>
    <w:p>
      <w:pPr>
        <w:keepNext w:val="0"/>
        <w:keepLines w:val="0"/>
        <w:pageBreakBefore w:val="0"/>
        <w:widowControl w:val="0"/>
        <w:kinsoku w:val="0"/>
        <w:wordWrap/>
        <w:overflowPunct w:val="0"/>
        <w:topLinePunct w:val="0"/>
        <w:autoSpaceDE w:val="0"/>
        <w:autoSpaceDN w:val="0"/>
        <w:bidi w:val="0"/>
        <w:adjustRightInd/>
        <w:snapToGrid w:val="0"/>
        <w:spacing w:line="560" w:lineRule="exact"/>
        <w:ind w:firstLine="640" w:firstLineChars="200"/>
        <w:textAlignment w:val="auto"/>
        <w:rPr>
          <w:rFonts w:hint="eastAsia" w:ascii="Times New Roman" w:hAnsi="Times New Roman" w:eastAsia="仿宋" w:cs="仿宋"/>
          <w:color w:val="000000"/>
          <w:kern w:val="0"/>
          <w:sz w:val="32"/>
          <w:szCs w:val="32"/>
        </w:rPr>
      </w:pPr>
      <w:r>
        <w:rPr>
          <w:rFonts w:hint="eastAsia" w:ascii="Times New Roman" w:hAnsi="Times New Roman" w:eastAsia="仿宋_GB2312"/>
          <w:sz w:val="32"/>
          <w:szCs w:val="32"/>
        </w:rPr>
        <w:t>我</w:t>
      </w:r>
      <w:r>
        <w:rPr>
          <w:rFonts w:hint="eastAsia" w:ascii="Times New Roman" w:hAnsi="Times New Roman" w:eastAsia="仿宋_GB2312"/>
          <w:sz w:val="32"/>
          <w:szCs w:val="32"/>
          <w:lang w:val="en-US" w:eastAsia="zh-CN"/>
        </w:rPr>
        <w:t>中心</w:t>
      </w:r>
      <w:r>
        <w:rPr>
          <w:rFonts w:hint="eastAsia" w:ascii="Times New Roman" w:hAnsi="Times New Roman" w:eastAsia="仿宋_GB2312"/>
          <w:sz w:val="32"/>
          <w:szCs w:val="32"/>
        </w:rPr>
        <w:t>2023年度</w:t>
      </w:r>
      <w:r>
        <w:rPr>
          <w:rFonts w:hint="eastAsia" w:ascii="Times New Roman" w:hAnsi="Times New Roman" w:eastAsia="仿宋_GB2312"/>
          <w:sz w:val="32"/>
          <w:szCs w:val="32"/>
          <w:lang w:val="en-US" w:eastAsia="zh-CN"/>
        </w:rPr>
        <w:t>全年基本支出</w:t>
      </w:r>
      <w:r>
        <w:rPr>
          <w:rFonts w:hint="eastAsia" w:ascii="Times New Roman" w:hAnsi="Times New Roman" w:eastAsia="仿宋_GB2312"/>
          <w:sz w:val="32"/>
          <w:szCs w:val="32"/>
        </w:rPr>
        <w:t>预算收入</w:t>
      </w:r>
      <w:r>
        <w:rPr>
          <w:rFonts w:hint="eastAsia" w:ascii="Times New Roman" w:hAnsi="Times New Roman" w:eastAsia="仿宋_GB2312"/>
          <w:sz w:val="32"/>
          <w:szCs w:val="32"/>
          <w:lang w:val="en-US" w:eastAsia="zh-CN"/>
        </w:rPr>
        <w:t>157.24</w:t>
      </w:r>
      <w:r>
        <w:rPr>
          <w:rFonts w:hint="eastAsia" w:ascii="Times New Roman" w:hAnsi="Times New Roman" w:eastAsia="仿宋_GB2312"/>
          <w:sz w:val="32"/>
          <w:szCs w:val="32"/>
        </w:rPr>
        <w:t>万元，为一般公共预算财政拨款收入，</w:t>
      </w:r>
      <w:r>
        <w:rPr>
          <w:rFonts w:hint="eastAsia" w:ascii="Times New Roman" w:hAnsi="Times New Roman" w:eastAsia="仿宋_GB2312"/>
          <w:sz w:val="32"/>
          <w:szCs w:val="32"/>
          <w:lang w:val="en-US" w:eastAsia="zh-CN"/>
        </w:rPr>
        <w:t>其中：人员经费113.24万元、公用经费44万元。</w:t>
      </w:r>
      <w:r>
        <w:rPr>
          <w:rFonts w:hint="eastAsia" w:ascii="Times New Roman" w:hAnsi="Times New Roman" w:eastAsia="仿宋" w:cs="仿宋"/>
          <w:color w:val="000000"/>
          <w:kern w:val="0"/>
          <w:sz w:val="32"/>
          <w:szCs w:val="32"/>
        </w:rPr>
        <w:t>202</w:t>
      </w:r>
      <w:r>
        <w:rPr>
          <w:rFonts w:hint="eastAsia" w:ascii="Times New Roman" w:hAnsi="Times New Roman" w:eastAsia="仿宋" w:cs="仿宋"/>
          <w:color w:val="000000"/>
          <w:kern w:val="0"/>
          <w:sz w:val="32"/>
          <w:szCs w:val="32"/>
          <w:lang w:val="en-US" w:eastAsia="zh-CN"/>
        </w:rPr>
        <w:t>3</w:t>
      </w:r>
      <w:r>
        <w:rPr>
          <w:rFonts w:hint="eastAsia" w:ascii="Times New Roman" w:hAnsi="Times New Roman" w:eastAsia="仿宋" w:cs="仿宋"/>
          <w:color w:val="000000"/>
          <w:kern w:val="0"/>
          <w:sz w:val="32"/>
          <w:szCs w:val="32"/>
        </w:rPr>
        <w:t>年度一般公共预算基本支出具体情况如下表：</w:t>
      </w:r>
    </w:p>
    <w:p>
      <w:pPr>
        <w:keepNext w:val="0"/>
        <w:keepLines w:val="0"/>
        <w:pageBreakBefore w:val="0"/>
        <w:widowControl w:val="0"/>
        <w:kinsoku w:val="0"/>
        <w:wordWrap/>
        <w:overflowPunct w:val="0"/>
        <w:topLinePunct w:val="0"/>
        <w:autoSpaceDE w:val="0"/>
        <w:autoSpaceDN w:val="0"/>
        <w:bidi w:val="0"/>
        <w:adjustRightInd/>
        <w:snapToGrid w:val="0"/>
        <w:spacing w:line="560" w:lineRule="exact"/>
        <w:ind w:firstLine="360" w:firstLineChars="200"/>
        <w:jc w:val="right"/>
        <w:textAlignment w:val="auto"/>
        <w:rPr>
          <w:rFonts w:hint="default" w:ascii="Times New Roman" w:hAnsi="Times New Roman" w:eastAsia="仿宋" w:cs="仿宋"/>
          <w:color w:val="000000"/>
          <w:kern w:val="0"/>
          <w:sz w:val="18"/>
          <w:szCs w:val="18"/>
          <w:lang w:val="en-US" w:eastAsia="zh-CN"/>
        </w:rPr>
      </w:pPr>
      <w:r>
        <w:rPr>
          <w:rFonts w:hint="eastAsia" w:ascii="Times New Roman" w:hAnsi="Times New Roman" w:eastAsia="仿宋" w:cs="仿宋"/>
          <w:color w:val="000000"/>
          <w:kern w:val="0"/>
          <w:sz w:val="18"/>
          <w:szCs w:val="18"/>
          <w:lang w:val="en-US" w:eastAsia="zh-CN"/>
        </w:rPr>
        <w:t>单位：万元</w:t>
      </w:r>
    </w:p>
    <w:tbl>
      <w:tblPr>
        <w:tblStyle w:val="10"/>
        <w:tblW w:w="10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3782"/>
        <w:gridCol w:w="744"/>
        <w:gridCol w:w="983"/>
        <w:gridCol w:w="983"/>
        <w:gridCol w:w="983"/>
        <w:gridCol w:w="1100"/>
        <w:gridCol w:w="895"/>
        <w:gridCol w:w="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序号</w:t>
            </w:r>
          </w:p>
        </w:tc>
        <w:tc>
          <w:tcPr>
            <w:tcW w:w="3782"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项目</w:t>
            </w:r>
          </w:p>
        </w:tc>
        <w:tc>
          <w:tcPr>
            <w:tcW w:w="3693" w:type="dxa"/>
            <w:gridSpan w:val="4"/>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预算指标金额</w:t>
            </w:r>
          </w:p>
        </w:tc>
        <w:tc>
          <w:tcPr>
            <w:tcW w:w="1100"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实际执行金额</w:t>
            </w:r>
          </w:p>
        </w:tc>
        <w:tc>
          <w:tcPr>
            <w:tcW w:w="895"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结余金额</w:t>
            </w:r>
          </w:p>
        </w:tc>
        <w:tc>
          <w:tcPr>
            <w:tcW w:w="605"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Merge w:val="continue"/>
            <w:vAlign w:val="center"/>
          </w:tcPr>
          <w:p>
            <w:pPr>
              <w:widowControl w:val="0"/>
              <w:jc w:val="center"/>
              <w:rPr>
                <w:rFonts w:hint="eastAsia" w:ascii="Times New Roman" w:hAnsi="Times New Roman" w:eastAsia="仿宋_GB2312" w:cs="仿宋_GB2312"/>
                <w:b w:val="0"/>
                <w:bCs w:val="0"/>
                <w:sz w:val="18"/>
                <w:szCs w:val="18"/>
                <w:vertAlign w:val="baseline"/>
                <w:lang w:val="en-US" w:eastAsia="zh-CN"/>
              </w:rPr>
            </w:pPr>
          </w:p>
        </w:tc>
        <w:tc>
          <w:tcPr>
            <w:tcW w:w="3782" w:type="dxa"/>
            <w:vMerge w:val="continue"/>
            <w:vAlign w:val="center"/>
          </w:tcPr>
          <w:p>
            <w:pPr>
              <w:widowControl w:val="0"/>
              <w:jc w:val="center"/>
              <w:rPr>
                <w:rFonts w:hint="eastAsia" w:ascii="Times New Roman" w:hAnsi="Times New Roman" w:eastAsia="仿宋_GB2312" w:cs="仿宋_GB2312"/>
                <w:b w:val="0"/>
                <w:bCs w:val="0"/>
                <w:sz w:val="18"/>
                <w:szCs w:val="18"/>
                <w:vertAlign w:val="baseline"/>
                <w:lang w:val="en-US" w:eastAsia="zh-CN"/>
              </w:rPr>
            </w:pPr>
          </w:p>
        </w:tc>
        <w:tc>
          <w:tcPr>
            <w:tcW w:w="744" w:type="dxa"/>
            <w:vAlign w:val="center"/>
          </w:tcPr>
          <w:p>
            <w:pPr>
              <w:keepNext w:val="0"/>
              <w:keepLines w:val="0"/>
              <w:widowControl/>
              <w:suppressLineNumbers w:val="0"/>
              <w:jc w:val="both"/>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合计</w:t>
            </w:r>
          </w:p>
        </w:tc>
        <w:tc>
          <w:tcPr>
            <w:tcW w:w="983" w:type="dxa"/>
            <w:vAlign w:val="center"/>
          </w:tcPr>
          <w:p>
            <w:pPr>
              <w:keepNext w:val="0"/>
              <w:keepLines w:val="0"/>
              <w:widowControl/>
              <w:suppressLineNumbers w:val="0"/>
              <w:jc w:val="left"/>
              <w:textAlignment w:val="center"/>
              <w:rPr>
                <w:rFonts w:hint="eastAsia" w:ascii="Times New Roman" w:hAnsi="Times New Roman" w:eastAsia="仿宋_GB2312" w:cs="仿宋_GB2312"/>
                <w:b/>
                <w:bCs/>
                <w:sz w:val="18"/>
                <w:szCs w:val="18"/>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年初批复</w:t>
            </w:r>
          </w:p>
        </w:tc>
        <w:tc>
          <w:tcPr>
            <w:tcW w:w="983" w:type="dxa"/>
            <w:vAlign w:val="center"/>
          </w:tcPr>
          <w:p>
            <w:pPr>
              <w:keepNext w:val="0"/>
              <w:keepLines w:val="0"/>
              <w:widowControl/>
              <w:suppressLineNumbers w:val="0"/>
              <w:jc w:val="left"/>
              <w:textAlignment w:val="center"/>
              <w:rPr>
                <w:rFonts w:hint="eastAsia" w:ascii="Times New Roman" w:hAnsi="Times New Roman" w:eastAsia="仿宋_GB2312" w:cs="仿宋_GB2312"/>
                <w:b/>
                <w:bCs/>
                <w:sz w:val="18"/>
                <w:szCs w:val="18"/>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指标调剂</w:t>
            </w:r>
          </w:p>
        </w:tc>
        <w:tc>
          <w:tcPr>
            <w:tcW w:w="983" w:type="dxa"/>
            <w:vAlign w:val="center"/>
          </w:tcPr>
          <w:p>
            <w:pPr>
              <w:keepNext w:val="0"/>
              <w:keepLines w:val="0"/>
              <w:widowControl/>
              <w:suppressLineNumbers w:val="0"/>
              <w:jc w:val="left"/>
              <w:textAlignment w:val="center"/>
              <w:rPr>
                <w:rFonts w:hint="eastAsia" w:ascii="Times New Roman" w:hAnsi="Times New Roman" w:eastAsia="仿宋_GB2312" w:cs="仿宋_GB2312"/>
                <w:b/>
                <w:bCs/>
                <w:sz w:val="18"/>
                <w:szCs w:val="18"/>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指标追加</w:t>
            </w:r>
          </w:p>
        </w:tc>
        <w:tc>
          <w:tcPr>
            <w:tcW w:w="1100" w:type="dxa"/>
            <w:vMerge w:val="continue"/>
            <w:vAlign w:val="center"/>
          </w:tcPr>
          <w:p>
            <w:pPr>
              <w:widowControl w:val="0"/>
              <w:jc w:val="center"/>
              <w:rPr>
                <w:rFonts w:hint="eastAsia" w:ascii="Times New Roman" w:hAnsi="Times New Roman" w:eastAsia="仿宋_GB2312" w:cs="仿宋_GB2312"/>
                <w:b w:val="0"/>
                <w:bCs w:val="0"/>
                <w:sz w:val="18"/>
                <w:szCs w:val="18"/>
                <w:vertAlign w:val="baseline"/>
                <w:lang w:val="en-US" w:eastAsia="zh-CN"/>
              </w:rPr>
            </w:pPr>
          </w:p>
        </w:tc>
        <w:tc>
          <w:tcPr>
            <w:tcW w:w="895" w:type="dxa"/>
            <w:vMerge w:val="continue"/>
            <w:vAlign w:val="center"/>
          </w:tcPr>
          <w:p>
            <w:pPr>
              <w:widowControl w:val="0"/>
              <w:jc w:val="center"/>
              <w:rPr>
                <w:rFonts w:hint="eastAsia" w:ascii="Times New Roman" w:hAnsi="Times New Roman" w:eastAsia="仿宋_GB2312" w:cs="仿宋_GB2312"/>
                <w:b w:val="0"/>
                <w:bCs w:val="0"/>
                <w:sz w:val="18"/>
                <w:szCs w:val="18"/>
                <w:vertAlign w:val="baseline"/>
                <w:lang w:val="en-US" w:eastAsia="zh-CN"/>
              </w:rPr>
            </w:pPr>
          </w:p>
        </w:tc>
        <w:tc>
          <w:tcPr>
            <w:tcW w:w="605" w:type="dxa"/>
            <w:vMerge w:val="continue"/>
            <w:vAlign w:val="center"/>
          </w:tcPr>
          <w:p>
            <w:pPr>
              <w:widowControl w:val="0"/>
              <w:jc w:val="center"/>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left"/>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一</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人员经费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142.74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bCs/>
                <w:sz w:val="18"/>
                <w:szCs w:val="18"/>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89.00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bCs/>
                <w:sz w:val="18"/>
                <w:szCs w:val="18"/>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49.29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bCs/>
                <w:sz w:val="18"/>
                <w:szCs w:val="18"/>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4.45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u w:val="none"/>
                <w:lang w:val="en-US" w:eastAsia="zh-CN" w:bidi="ar"/>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127.01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u w:val="none"/>
                <w:lang w:val="en-US" w:eastAsia="zh-CN" w:bidi="ar"/>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15.73 </w:t>
            </w:r>
          </w:p>
        </w:tc>
        <w:tc>
          <w:tcPr>
            <w:tcW w:w="605" w:type="dxa"/>
            <w:vAlign w:val="center"/>
          </w:tcPr>
          <w:p>
            <w:pPr>
              <w:widowControl w:val="0"/>
              <w:jc w:val="right"/>
              <w:rPr>
                <w:rFonts w:hint="eastAsia" w:ascii="Times New Roman" w:hAnsi="Times New Roman" w:eastAsia="仿宋_GB2312" w:cs="仿宋_GB2312"/>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1</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2023年年度省直农口事业单位JX工资补助</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19.79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19.79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13.10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6.69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2</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基本工资</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20.17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20.17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20.17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3</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绩效工资</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13.42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13.42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13.42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4</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奖金</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12.20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12.20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12.20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5</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奖励金</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6.29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6.29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6.29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6</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津贴补贴</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5.70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5.70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5.70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7</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劳务费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29.50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29.50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20.72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8.78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8</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其他对个人和家庭补助</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2.13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2.13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2.13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9</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其他工资福利支出</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3.46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3.46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3.46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10</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抚恤金</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0.92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0.92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0.92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11</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伙食补助费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2.40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2.40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2.40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12</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其他社会保障缴费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1.47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1.47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1.47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13</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省直事业单位相关补助经费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4.45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4.45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4.19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0.26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14</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医疗费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0.20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0.20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0.20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15</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职工基本医疗保险缴费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5.34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5.34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5.34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16</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住房公积金</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8.87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8.87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8.87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17</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机关事业单位基本养老保险缴费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6.43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6.43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6.43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left"/>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二</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公用经费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14.50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bCs/>
                <w:sz w:val="18"/>
                <w:szCs w:val="18"/>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14.50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bCs/>
                <w:sz w:val="18"/>
                <w:szCs w:val="18"/>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bCs/>
                <w:sz w:val="18"/>
                <w:szCs w:val="18"/>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u w:val="none"/>
                <w:lang w:val="en-US" w:eastAsia="zh-CN" w:bidi="ar"/>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14.49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u w:val="none"/>
                <w:lang w:val="en-US" w:eastAsia="zh-CN" w:bidi="ar"/>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0.01 </w:t>
            </w:r>
          </w:p>
        </w:tc>
        <w:tc>
          <w:tcPr>
            <w:tcW w:w="605" w:type="dxa"/>
            <w:vAlign w:val="center"/>
          </w:tcPr>
          <w:p>
            <w:pPr>
              <w:widowControl w:val="0"/>
              <w:jc w:val="right"/>
              <w:rPr>
                <w:rFonts w:hint="eastAsia" w:ascii="Times New Roman" w:hAnsi="Times New Roman" w:eastAsia="仿宋_GB2312" w:cs="仿宋_GB2312"/>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1</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办公费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2.00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2</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差旅费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2.13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2.13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2.13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3</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电费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0.20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0.20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0.20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4</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福利费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1.52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1.52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1.52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5</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工会经费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2.01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2.01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2.00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0.01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6</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公务接待费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0.40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0.40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0.40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7</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公务用车运行维护费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2.00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8</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会议费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1.00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9</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其他交通费用</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2.94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2.94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2.94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5"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10</w:t>
            </w:r>
          </w:p>
        </w:tc>
        <w:tc>
          <w:tcPr>
            <w:tcW w:w="3782"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租赁费</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0.30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0.30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0.30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u w:val="none"/>
                <w:lang w:val="en-US" w:eastAsia="zh-CN" w:bidi="ar"/>
              </w:rPr>
              <w:t xml:space="preserve">0.00 </w:t>
            </w:r>
          </w:p>
        </w:tc>
        <w:tc>
          <w:tcPr>
            <w:tcW w:w="605" w:type="dxa"/>
            <w:vAlign w:val="center"/>
          </w:tcPr>
          <w:p>
            <w:pPr>
              <w:widowControl w:val="0"/>
              <w:jc w:val="right"/>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387" w:type="dxa"/>
            <w:gridSpan w:val="2"/>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总计</w:t>
            </w:r>
          </w:p>
        </w:tc>
        <w:tc>
          <w:tcPr>
            <w:tcW w:w="744" w:type="dxa"/>
            <w:vAlign w:val="center"/>
          </w:tcPr>
          <w:p>
            <w:pPr>
              <w:keepNext w:val="0"/>
              <w:keepLines w:val="0"/>
              <w:widowControl/>
              <w:suppressLineNumbers w:val="0"/>
              <w:jc w:val="right"/>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157.24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bCs/>
                <w:sz w:val="18"/>
                <w:szCs w:val="18"/>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103.50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bCs/>
                <w:sz w:val="18"/>
                <w:szCs w:val="18"/>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49.29 </w:t>
            </w:r>
          </w:p>
        </w:tc>
        <w:tc>
          <w:tcPr>
            <w:tcW w:w="983" w:type="dxa"/>
            <w:vAlign w:val="center"/>
          </w:tcPr>
          <w:p>
            <w:pPr>
              <w:keepNext w:val="0"/>
              <w:keepLines w:val="0"/>
              <w:widowControl/>
              <w:suppressLineNumbers w:val="0"/>
              <w:jc w:val="right"/>
              <w:textAlignment w:val="center"/>
              <w:rPr>
                <w:rFonts w:hint="eastAsia" w:ascii="Times New Roman" w:hAnsi="Times New Roman" w:eastAsia="仿宋_GB2312" w:cs="仿宋_GB2312"/>
                <w:b/>
                <w:bCs/>
                <w:sz w:val="18"/>
                <w:szCs w:val="18"/>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4.45 </w:t>
            </w:r>
          </w:p>
        </w:tc>
        <w:tc>
          <w:tcPr>
            <w:tcW w:w="1100"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u w:val="none"/>
                <w:lang w:val="en-US" w:eastAsia="zh-CN" w:bidi="ar"/>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141.50 </w:t>
            </w:r>
          </w:p>
        </w:tc>
        <w:tc>
          <w:tcPr>
            <w:tcW w:w="895"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u w:val="none"/>
                <w:lang w:val="en-US" w:eastAsia="zh-CN" w:bidi="ar"/>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 xml:space="preserve">15.74 </w:t>
            </w:r>
          </w:p>
        </w:tc>
        <w:tc>
          <w:tcPr>
            <w:tcW w:w="605" w:type="dxa"/>
            <w:vAlign w:val="center"/>
          </w:tcPr>
          <w:p>
            <w:pPr>
              <w:widowControl w:val="0"/>
              <w:jc w:val="right"/>
              <w:rPr>
                <w:rFonts w:hint="eastAsia" w:ascii="Times New Roman" w:hAnsi="Times New Roman" w:eastAsia="仿宋_GB2312" w:cs="仿宋_GB2312"/>
                <w:b/>
                <w:bCs/>
                <w:sz w:val="18"/>
                <w:szCs w:val="18"/>
                <w:vertAlign w:val="baseline"/>
                <w:lang w:val="en-US" w:eastAsia="zh-CN"/>
              </w:rPr>
            </w:pPr>
          </w:p>
        </w:tc>
      </w:tr>
    </w:tbl>
    <w:p>
      <w:pPr>
        <w:keepNext w:val="0"/>
        <w:keepLines w:val="0"/>
        <w:pageBreakBefore w:val="0"/>
        <w:widowControl/>
        <w:numPr>
          <w:ilvl w:val="0"/>
          <w:numId w:val="3"/>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楷体_GB2312" w:cs="楷体_GB2312"/>
          <w:b/>
          <w:bCs/>
          <w:color w:val="000000"/>
          <w:kern w:val="0"/>
          <w:sz w:val="32"/>
          <w:szCs w:val="32"/>
          <w:highlight w:val="none"/>
          <w:lang w:val="en-US" w:eastAsia="zh-CN"/>
        </w:rPr>
      </w:pPr>
      <w:r>
        <w:rPr>
          <w:rFonts w:hint="eastAsia" w:ascii="Times New Roman" w:hAnsi="Times New Roman" w:eastAsia="楷体_GB2312" w:cs="楷体_GB2312"/>
          <w:b/>
          <w:bCs/>
          <w:color w:val="000000"/>
          <w:kern w:val="0"/>
          <w:sz w:val="32"/>
          <w:szCs w:val="32"/>
          <w:highlight w:val="none"/>
          <w:lang w:val="en-US" w:eastAsia="zh-CN"/>
        </w:rPr>
        <w:t>项目支出情况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我</w:t>
      </w:r>
      <w:r>
        <w:rPr>
          <w:rFonts w:hint="eastAsia" w:ascii="Times New Roman" w:hAnsi="Times New Roman" w:eastAsia="仿宋_GB2312"/>
          <w:sz w:val="32"/>
          <w:szCs w:val="32"/>
          <w:lang w:val="en-US" w:eastAsia="zh-CN"/>
        </w:rPr>
        <w:t>中心</w:t>
      </w:r>
      <w:r>
        <w:rPr>
          <w:rFonts w:hint="eastAsia" w:ascii="Times New Roman" w:hAnsi="Times New Roman" w:eastAsia="仿宋_GB2312"/>
          <w:sz w:val="32"/>
          <w:szCs w:val="32"/>
        </w:rPr>
        <w:t>2023年度</w:t>
      </w:r>
      <w:r>
        <w:rPr>
          <w:rFonts w:hint="eastAsia" w:ascii="Times New Roman" w:hAnsi="Times New Roman" w:eastAsia="仿宋_GB2312"/>
          <w:sz w:val="32"/>
          <w:szCs w:val="32"/>
          <w:lang w:val="en-US" w:eastAsia="zh-CN"/>
        </w:rPr>
        <w:t>全年项目支出</w:t>
      </w:r>
      <w:r>
        <w:rPr>
          <w:rFonts w:hint="eastAsia" w:ascii="Times New Roman" w:hAnsi="Times New Roman" w:eastAsia="仿宋_GB2312"/>
          <w:sz w:val="32"/>
          <w:szCs w:val="32"/>
        </w:rPr>
        <w:t>预算收入</w:t>
      </w:r>
      <w:r>
        <w:rPr>
          <w:rFonts w:hint="eastAsia" w:ascii="Times New Roman" w:hAnsi="Times New Roman" w:eastAsia="仿宋_GB2312"/>
          <w:sz w:val="32"/>
          <w:szCs w:val="32"/>
          <w:lang w:val="en-US" w:eastAsia="zh-CN"/>
        </w:rPr>
        <w:t>613.68</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2023年项目支出情况如下：</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360" w:firstLineChars="200"/>
        <w:jc w:val="right"/>
        <w:textAlignment w:val="baseline"/>
        <w:rPr>
          <w:rFonts w:hint="default" w:ascii="Times New Roman" w:hAnsi="Times New Roman" w:eastAsia="仿宋_GB2312"/>
          <w:sz w:val="18"/>
          <w:szCs w:val="18"/>
          <w:lang w:val="en-US" w:eastAsia="zh-CN"/>
        </w:rPr>
      </w:pPr>
      <w:r>
        <w:rPr>
          <w:rFonts w:hint="eastAsia" w:ascii="Times New Roman" w:hAnsi="Times New Roman" w:eastAsia="仿宋_GB2312"/>
          <w:sz w:val="18"/>
          <w:szCs w:val="18"/>
          <w:lang w:val="en-US" w:eastAsia="zh-CN"/>
        </w:rPr>
        <w:t>单位：万元</w:t>
      </w:r>
    </w:p>
    <w:tbl>
      <w:tblPr>
        <w:tblStyle w:val="10"/>
        <w:tblW w:w="106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2857"/>
        <w:gridCol w:w="891"/>
        <w:gridCol w:w="1077"/>
        <w:gridCol w:w="1036"/>
        <w:gridCol w:w="1081"/>
        <w:gridCol w:w="1372"/>
        <w:gridCol w:w="1077"/>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3"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序号</w:t>
            </w:r>
          </w:p>
        </w:tc>
        <w:tc>
          <w:tcPr>
            <w:tcW w:w="2857"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项目</w:t>
            </w:r>
          </w:p>
        </w:tc>
        <w:tc>
          <w:tcPr>
            <w:tcW w:w="4085" w:type="dxa"/>
            <w:gridSpan w:val="4"/>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预算指标金额</w:t>
            </w:r>
          </w:p>
        </w:tc>
        <w:tc>
          <w:tcPr>
            <w:tcW w:w="1372"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实际执行金额</w:t>
            </w:r>
          </w:p>
        </w:tc>
        <w:tc>
          <w:tcPr>
            <w:tcW w:w="1077"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结余金额</w:t>
            </w:r>
          </w:p>
        </w:tc>
        <w:tc>
          <w:tcPr>
            <w:tcW w:w="644"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3" w:type="dxa"/>
            <w:vMerge w:val="continue"/>
            <w:vAlign w:val="center"/>
          </w:tcPr>
          <w:p>
            <w:pPr>
              <w:widowControl w:val="0"/>
              <w:jc w:val="center"/>
              <w:rPr>
                <w:rFonts w:hint="eastAsia" w:ascii="Times New Roman" w:hAnsi="Times New Roman" w:eastAsia="仿宋_GB2312" w:cs="仿宋_GB2312"/>
                <w:b w:val="0"/>
                <w:bCs w:val="0"/>
                <w:sz w:val="18"/>
                <w:szCs w:val="18"/>
                <w:vertAlign w:val="baseline"/>
                <w:lang w:val="en-US" w:eastAsia="zh-CN"/>
              </w:rPr>
            </w:pPr>
          </w:p>
        </w:tc>
        <w:tc>
          <w:tcPr>
            <w:tcW w:w="2857" w:type="dxa"/>
            <w:vMerge w:val="continue"/>
            <w:vAlign w:val="center"/>
          </w:tcPr>
          <w:p>
            <w:pPr>
              <w:widowControl w:val="0"/>
              <w:jc w:val="center"/>
              <w:rPr>
                <w:rFonts w:hint="eastAsia" w:ascii="Times New Roman" w:hAnsi="Times New Roman" w:eastAsia="仿宋_GB2312" w:cs="仿宋_GB2312"/>
                <w:b w:val="0"/>
                <w:bCs w:val="0"/>
                <w:sz w:val="18"/>
                <w:szCs w:val="18"/>
                <w:vertAlign w:val="baseline"/>
                <w:lang w:val="en-US" w:eastAsia="zh-CN"/>
              </w:rPr>
            </w:pPr>
          </w:p>
        </w:tc>
        <w:tc>
          <w:tcPr>
            <w:tcW w:w="891" w:type="dxa"/>
            <w:vAlign w:val="center"/>
          </w:tcPr>
          <w:p>
            <w:pPr>
              <w:keepNext w:val="0"/>
              <w:keepLines w:val="0"/>
              <w:widowControl/>
              <w:suppressLineNumbers w:val="0"/>
              <w:jc w:val="both"/>
              <w:textAlignment w:val="center"/>
              <w:rPr>
                <w:rFonts w:hint="eastAsia" w:ascii="Times New Roman" w:hAnsi="Times New Roman" w:eastAsia="仿宋_GB2312" w:cs="仿宋_GB2312"/>
                <w:b/>
                <w:bCs/>
                <w:sz w:val="18"/>
                <w:szCs w:val="18"/>
                <w:vertAlign w:val="baseline"/>
                <w:lang w:val="en-US" w:eastAsia="zh-CN"/>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合计</w:t>
            </w:r>
          </w:p>
        </w:tc>
        <w:tc>
          <w:tcPr>
            <w:tcW w:w="1077" w:type="dxa"/>
            <w:vAlign w:val="center"/>
          </w:tcPr>
          <w:p>
            <w:pPr>
              <w:keepNext w:val="0"/>
              <w:keepLines w:val="0"/>
              <w:widowControl/>
              <w:suppressLineNumbers w:val="0"/>
              <w:jc w:val="left"/>
              <w:textAlignment w:val="center"/>
              <w:rPr>
                <w:rFonts w:hint="eastAsia" w:ascii="Times New Roman" w:hAnsi="Times New Roman" w:eastAsia="仿宋_GB2312" w:cs="仿宋_GB2312"/>
                <w:b/>
                <w:bCs/>
                <w:sz w:val="18"/>
                <w:szCs w:val="18"/>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年初批复</w:t>
            </w:r>
          </w:p>
        </w:tc>
        <w:tc>
          <w:tcPr>
            <w:tcW w:w="1036" w:type="dxa"/>
            <w:vAlign w:val="center"/>
          </w:tcPr>
          <w:p>
            <w:pPr>
              <w:keepNext w:val="0"/>
              <w:keepLines w:val="0"/>
              <w:widowControl/>
              <w:suppressLineNumbers w:val="0"/>
              <w:jc w:val="left"/>
              <w:textAlignment w:val="center"/>
              <w:rPr>
                <w:rFonts w:hint="default" w:ascii="Times New Roman" w:hAnsi="Times New Roman" w:eastAsia="仿宋_GB2312" w:cs="仿宋_GB2312"/>
                <w:b/>
                <w:bCs/>
                <w:sz w:val="18"/>
                <w:szCs w:val="18"/>
                <w:lang w:val="en-US" w:eastAsia="zh-CN"/>
              </w:rPr>
            </w:pPr>
            <w:r>
              <w:rPr>
                <w:rFonts w:hint="eastAsia" w:ascii="Times New Roman" w:hAnsi="Times New Roman" w:eastAsia="仿宋_GB2312" w:cs="仿宋_GB2312"/>
                <w:b/>
                <w:bCs/>
                <w:sz w:val="18"/>
                <w:szCs w:val="18"/>
                <w:lang w:val="en-US" w:eastAsia="zh-CN"/>
              </w:rPr>
              <w:t>其他收入</w:t>
            </w:r>
          </w:p>
        </w:tc>
        <w:tc>
          <w:tcPr>
            <w:tcW w:w="1081" w:type="dxa"/>
            <w:vAlign w:val="center"/>
          </w:tcPr>
          <w:p>
            <w:pPr>
              <w:keepNext w:val="0"/>
              <w:keepLines w:val="0"/>
              <w:widowControl/>
              <w:suppressLineNumbers w:val="0"/>
              <w:jc w:val="left"/>
              <w:textAlignment w:val="center"/>
              <w:rPr>
                <w:rFonts w:hint="default" w:ascii="Times New Roman" w:hAnsi="Times New Roman" w:eastAsia="仿宋_GB2312" w:cs="仿宋_GB2312"/>
                <w:b/>
                <w:bCs/>
                <w:sz w:val="18"/>
                <w:szCs w:val="18"/>
                <w:lang w:val="en-US"/>
              </w:rPr>
            </w:pPr>
            <w:r>
              <w:rPr>
                <w:rFonts w:hint="eastAsia" w:ascii="Times New Roman" w:hAnsi="Times New Roman" w:eastAsia="仿宋_GB2312" w:cs="仿宋_GB2312"/>
                <w:b/>
                <w:bCs/>
                <w:i w:val="0"/>
                <w:iCs w:val="0"/>
                <w:snapToGrid w:val="0"/>
                <w:color w:val="000000"/>
                <w:kern w:val="0"/>
                <w:sz w:val="18"/>
                <w:szCs w:val="18"/>
                <w:u w:val="none"/>
                <w:lang w:val="en-US" w:eastAsia="zh-CN" w:bidi="ar"/>
              </w:rPr>
              <w:t>上年结转</w:t>
            </w:r>
          </w:p>
        </w:tc>
        <w:tc>
          <w:tcPr>
            <w:tcW w:w="1372" w:type="dxa"/>
            <w:vMerge w:val="continue"/>
            <w:vAlign w:val="center"/>
          </w:tcPr>
          <w:p>
            <w:pPr>
              <w:widowControl w:val="0"/>
              <w:jc w:val="center"/>
              <w:rPr>
                <w:rFonts w:hint="eastAsia" w:ascii="Times New Roman" w:hAnsi="Times New Roman" w:eastAsia="仿宋_GB2312" w:cs="仿宋_GB2312"/>
                <w:b w:val="0"/>
                <w:bCs w:val="0"/>
                <w:sz w:val="18"/>
                <w:szCs w:val="18"/>
                <w:vertAlign w:val="baseline"/>
                <w:lang w:val="en-US" w:eastAsia="zh-CN"/>
              </w:rPr>
            </w:pPr>
          </w:p>
        </w:tc>
        <w:tc>
          <w:tcPr>
            <w:tcW w:w="1077" w:type="dxa"/>
            <w:vMerge w:val="continue"/>
            <w:vAlign w:val="center"/>
          </w:tcPr>
          <w:p>
            <w:pPr>
              <w:widowControl w:val="0"/>
              <w:jc w:val="center"/>
              <w:rPr>
                <w:rFonts w:hint="eastAsia" w:ascii="Times New Roman" w:hAnsi="Times New Roman" w:eastAsia="仿宋_GB2312" w:cs="仿宋_GB2312"/>
                <w:b w:val="0"/>
                <w:bCs w:val="0"/>
                <w:sz w:val="18"/>
                <w:szCs w:val="18"/>
                <w:vertAlign w:val="baseline"/>
                <w:lang w:val="en-US" w:eastAsia="zh-CN"/>
              </w:rPr>
            </w:pPr>
          </w:p>
        </w:tc>
        <w:tc>
          <w:tcPr>
            <w:tcW w:w="644" w:type="dxa"/>
            <w:vMerge w:val="continue"/>
            <w:vAlign w:val="center"/>
          </w:tcPr>
          <w:p>
            <w:pPr>
              <w:widowControl w:val="0"/>
              <w:jc w:val="center"/>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3" w:type="dxa"/>
            <w:vAlign w:val="center"/>
          </w:tcPr>
          <w:p>
            <w:pPr>
              <w:keepNext w:val="0"/>
              <w:keepLines w:val="0"/>
              <w:widowControl/>
              <w:suppressLineNumbers w:val="0"/>
              <w:jc w:val="center"/>
              <w:textAlignment w:val="center"/>
              <w:rPr>
                <w:rFonts w:hint="eastAsia" w:ascii="Times New Roman" w:hAnsi="Times New Roman" w:eastAsia="仿宋_GB2312" w:cs="宋体"/>
                <w:b w:val="0"/>
                <w:bCs w:val="0"/>
                <w:i w:val="0"/>
                <w:iCs w:val="0"/>
                <w:snapToGrid w:val="0"/>
                <w:color w:val="000000"/>
                <w:kern w:val="0"/>
                <w:sz w:val="18"/>
                <w:szCs w:val="18"/>
                <w:u w:val="none"/>
                <w:lang w:val="en-US" w:eastAsia="zh-CN" w:bidi="ar"/>
              </w:rPr>
            </w:pPr>
            <w:r>
              <w:rPr>
                <w:rFonts w:hint="eastAsia" w:ascii="Times New Roman" w:hAnsi="Times New Roman" w:eastAsia="仿宋_GB2312" w:cs="宋体"/>
                <w:b w:val="0"/>
                <w:bCs w:val="0"/>
                <w:i w:val="0"/>
                <w:iCs w:val="0"/>
                <w:snapToGrid w:val="0"/>
                <w:color w:val="000000"/>
                <w:kern w:val="0"/>
                <w:sz w:val="18"/>
                <w:szCs w:val="18"/>
                <w:u w:val="none"/>
                <w:lang w:val="en-US" w:eastAsia="zh-CN" w:bidi="ar"/>
              </w:rPr>
              <w:t>1</w:t>
            </w:r>
          </w:p>
        </w:tc>
        <w:tc>
          <w:tcPr>
            <w:tcW w:w="2857"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宋体"/>
                <w:b w:val="0"/>
                <w:bCs w:val="0"/>
                <w:i w:val="0"/>
                <w:iCs w:val="0"/>
                <w:snapToGrid w:val="0"/>
                <w:color w:val="000000"/>
                <w:kern w:val="0"/>
                <w:sz w:val="18"/>
                <w:szCs w:val="18"/>
                <w:u w:val="none"/>
                <w:lang w:val="en-US" w:eastAsia="zh-CN" w:bidi="ar"/>
              </w:rPr>
              <w:t>其他事业发展资金-南繁管理-1</w:t>
            </w:r>
          </w:p>
        </w:tc>
        <w:tc>
          <w:tcPr>
            <w:tcW w:w="891"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vertAlign w:val="baseline"/>
                <w:lang w:val="en-US" w:eastAsia="zh-CN"/>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10.00 </w:t>
            </w:r>
          </w:p>
        </w:tc>
        <w:tc>
          <w:tcPr>
            <w:tcW w:w="1077"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10.00 </w:t>
            </w:r>
          </w:p>
        </w:tc>
        <w:tc>
          <w:tcPr>
            <w:tcW w:w="1036"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0.00 </w:t>
            </w:r>
          </w:p>
        </w:tc>
        <w:tc>
          <w:tcPr>
            <w:tcW w:w="1081"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0.00 </w:t>
            </w:r>
          </w:p>
        </w:tc>
        <w:tc>
          <w:tcPr>
            <w:tcW w:w="1372"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10.00 </w:t>
            </w:r>
          </w:p>
        </w:tc>
        <w:tc>
          <w:tcPr>
            <w:tcW w:w="1077"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0.00 </w:t>
            </w:r>
          </w:p>
        </w:tc>
        <w:tc>
          <w:tcPr>
            <w:tcW w:w="644"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3" w:type="dxa"/>
            <w:vAlign w:val="center"/>
          </w:tcPr>
          <w:p>
            <w:pPr>
              <w:keepNext w:val="0"/>
              <w:keepLines w:val="0"/>
              <w:widowControl/>
              <w:suppressLineNumbers w:val="0"/>
              <w:tabs>
                <w:tab w:val="left" w:pos="273"/>
              </w:tabs>
              <w:jc w:val="center"/>
              <w:textAlignment w:val="center"/>
              <w:rPr>
                <w:rFonts w:hint="default" w:ascii="Times New Roman" w:hAnsi="Times New Roman" w:eastAsia="仿宋_GB2312" w:cs="仿宋_GB2312"/>
                <w:b w:val="0"/>
                <w:bCs w:val="0"/>
                <w:snapToGrid w:val="0"/>
                <w:color w:val="000000"/>
                <w:kern w:val="0"/>
                <w:sz w:val="18"/>
                <w:szCs w:val="18"/>
                <w:vertAlign w:val="baseline"/>
                <w:lang w:val="en-US" w:eastAsia="zh-CN" w:bidi="ar-SA"/>
              </w:rPr>
            </w:pPr>
            <w:r>
              <w:rPr>
                <w:rFonts w:hint="eastAsia" w:ascii="Times New Roman" w:hAnsi="Times New Roman" w:eastAsia="仿宋_GB2312" w:cs="仿宋_GB2312"/>
                <w:b w:val="0"/>
                <w:bCs w:val="0"/>
                <w:snapToGrid w:val="0"/>
                <w:color w:val="000000"/>
                <w:kern w:val="0"/>
                <w:sz w:val="18"/>
                <w:szCs w:val="18"/>
                <w:vertAlign w:val="baseline"/>
                <w:lang w:val="en-US" w:eastAsia="zh-CN" w:bidi="ar-SA"/>
              </w:rPr>
              <w:t>2</w:t>
            </w:r>
          </w:p>
        </w:tc>
        <w:tc>
          <w:tcPr>
            <w:tcW w:w="2857" w:type="dxa"/>
            <w:vAlign w:val="center"/>
          </w:tcPr>
          <w:p>
            <w:pPr>
              <w:keepNext w:val="0"/>
              <w:keepLines w:val="0"/>
              <w:widowControl/>
              <w:suppressLineNumbers w:val="0"/>
              <w:jc w:val="left"/>
              <w:textAlignment w:val="center"/>
              <w:rPr>
                <w:rFonts w:hint="eastAsia" w:ascii="Times New Roman" w:hAnsi="Times New Roman" w:eastAsia="仿宋_GB2312" w:cs="宋体"/>
                <w:b w:val="0"/>
                <w:bCs w:val="0"/>
                <w:i w:val="0"/>
                <w:iCs w:val="0"/>
                <w:snapToGrid w:val="0"/>
                <w:color w:val="000000"/>
                <w:kern w:val="0"/>
                <w:sz w:val="18"/>
                <w:szCs w:val="18"/>
                <w:u w:val="none"/>
                <w:lang w:val="en-US" w:eastAsia="zh-CN" w:bidi="ar"/>
              </w:rPr>
            </w:pPr>
            <w:r>
              <w:rPr>
                <w:rFonts w:hint="eastAsia" w:ascii="Times New Roman" w:hAnsi="Times New Roman" w:eastAsia="仿宋_GB2312" w:cs="宋体"/>
                <w:b w:val="0"/>
                <w:bCs w:val="0"/>
                <w:i w:val="0"/>
                <w:iCs w:val="0"/>
                <w:snapToGrid w:val="0"/>
                <w:color w:val="000000"/>
                <w:kern w:val="0"/>
                <w:sz w:val="18"/>
                <w:szCs w:val="18"/>
                <w:u w:val="none"/>
                <w:lang w:val="en-US" w:eastAsia="zh-CN" w:bidi="ar"/>
              </w:rPr>
              <w:t>其他事业发展资金-用于南繁基地建设</w:t>
            </w:r>
          </w:p>
        </w:tc>
        <w:tc>
          <w:tcPr>
            <w:tcW w:w="891"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513.68 </w:t>
            </w:r>
          </w:p>
        </w:tc>
        <w:tc>
          <w:tcPr>
            <w:tcW w:w="1077"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0.00 </w:t>
            </w:r>
          </w:p>
        </w:tc>
        <w:tc>
          <w:tcPr>
            <w:tcW w:w="1036"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73.03 </w:t>
            </w:r>
          </w:p>
        </w:tc>
        <w:tc>
          <w:tcPr>
            <w:tcW w:w="1081"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440.65 </w:t>
            </w:r>
          </w:p>
        </w:tc>
        <w:tc>
          <w:tcPr>
            <w:tcW w:w="1372"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235.41 </w:t>
            </w:r>
          </w:p>
        </w:tc>
        <w:tc>
          <w:tcPr>
            <w:tcW w:w="1077"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278.27 </w:t>
            </w:r>
          </w:p>
        </w:tc>
        <w:tc>
          <w:tcPr>
            <w:tcW w:w="644"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napToGrid w:val="0"/>
                <w:color w:val="000000"/>
                <w:kern w:val="0"/>
                <w:sz w:val="18"/>
                <w:szCs w:val="1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3" w:type="dxa"/>
            <w:vAlign w:val="center"/>
          </w:tcPr>
          <w:p>
            <w:pPr>
              <w:keepNext w:val="0"/>
              <w:keepLines w:val="0"/>
              <w:widowControl/>
              <w:suppressLineNumbers w:val="0"/>
              <w:jc w:val="center"/>
              <w:textAlignment w:val="center"/>
              <w:rPr>
                <w:rFonts w:hint="default"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sz w:val="18"/>
                <w:szCs w:val="18"/>
                <w:vertAlign w:val="baseline"/>
                <w:lang w:val="en-US" w:eastAsia="zh-CN"/>
              </w:rPr>
              <w:t>3</w:t>
            </w:r>
          </w:p>
        </w:tc>
        <w:tc>
          <w:tcPr>
            <w:tcW w:w="2857"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宋体"/>
                <w:b w:val="0"/>
                <w:bCs w:val="0"/>
                <w:i w:val="0"/>
                <w:iCs w:val="0"/>
                <w:snapToGrid w:val="0"/>
                <w:color w:val="000000"/>
                <w:kern w:val="0"/>
                <w:sz w:val="18"/>
                <w:szCs w:val="18"/>
                <w:u w:val="none"/>
                <w:lang w:val="en-US" w:eastAsia="zh-CN" w:bidi="ar"/>
              </w:rPr>
              <w:t>农作物种子南繁基地管理</w:t>
            </w:r>
          </w:p>
        </w:tc>
        <w:tc>
          <w:tcPr>
            <w:tcW w:w="891"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vertAlign w:val="baseline"/>
                <w:lang w:val="en-US" w:eastAsia="zh-CN"/>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80.00 </w:t>
            </w:r>
          </w:p>
        </w:tc>
        <w:tc>
          <w:tcPr>
            <w:tcW w:w="1077"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80.00 </w:t>
            </w:r>
          </w:p>
        </w:tc>
        <w:tc>
          <w:tcPr>
            <w:tcW w:w="1036"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0.00 </w:t>
            </w:r>
          </w:p>
        </w:tc>
        <w:tc>
          <w:tcPr>
            <w:tcW w:w="1081"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0.00 </w:t>
            </w:r>
          </w:p>
        </w:tc>
        <w:tc>
          <w:tcPr>
            <w:tcW w:w="1372"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80.00 </w:t>
            </w:r>
          </w:p>
        </w:tc>
        <w:tc>
          <w:tcPr>
            <w:tcW w:w="1077"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0.00 </w:t>
            </w:r>
          </w:p>
        </w:tc>
        <w:tc>
          <w:tcPr>
            <w:tcW w:w="644"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3" w:type="dxa"/>
            <w:vAlign w:val="center"/>
          </w:tcPr>
          <w:p>
            <w:pPr>
              <w:keepNext w:val="0"/>
              <w:keepLines w:val="0"/>
              <w:widowControl/>
              <w:suppressLineNumbers w:val="0"/>
              <w:jc w:val="center"/>
              <w:textAlignment w:val="center"/>
              <w:rPr>
                <w:rFonts w:hint="default"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仿宋_GB2312"/>
                <w:b w:val="0"/>
                <w:bCs w:val="0"/>
                <w:sz w:val="18"/>
                <w:szCs w:val="18"/>
                <w:vertAlign w:val="baseline"/>
                <w:lang w:val="en-US" w:eastAsia="zh-CN"/>
              </w:rPr>
              <w:t>4</w:t>
            </w:r>
          </w:p>
        </w:tc>
        <w:tc>
          <w:tcPr>
            <w:tcW w:w="2857"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宋体"/>
                <w:b w:val="0"/>
                <w:bCs w:val="0"/>
                <w:i w:val="0"/>
                <w:iCs w:val="0"/>
                <w:snapToGrid w:val="0"/>
                <w:color w:val="000000"/>
                <w:kern w:val="0"/>
                <w:sz w:val="18"/>
                <w:szCs w:val="18"/>
                <w:u w:val="none"/>
                <w:lang w:val="en-US" w:eastAsia="zh-CN" w:bidi="ar"/>
              </w:rPr>
              <w:t>省级农作物、畜禽种业安全监管资金</w:t>
            </w:r>
          </w:p>
        </w:tc>
        <w:tc>
          <w:tcPr>
            <w:tcW w:w="891"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vertAlign w:val="baseline"/>
                <w:lang w:val="en-US" w:eastAsia="zh-CN"/>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10.00 </w:t>
            </w:r>
          </w:p>
        </w:tc>
        <w:tc>
          <w:tcPr>
            <w:tcW w:w="1077"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10.00 </w:t>
            </w:r>
          </w:p>
        </w:tc>
        <w:tc>
          <w:tcPr>
            <w:tcW w:w="1036"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0.00 </w:t>
            </w:r>
          </w:p>
        </w:tc>
        <w:tc>
          <w:tcPr>
            <w:tcW w:w="1081"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0.00 </w:t>
            </w:r>
          </w:p>
        </w:tc>
        <w:tc>
          <w:tcPr>
            <w:tcW w:w="1372"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10.00 </w:t>
            </w:r>
          </w:p>
        </w:tc>
        <w:tc>
          <w:tcPr>
            <w:tcW w:w="1077"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pPr>
            <w: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t xml:space="preserve">0.00 </w:t>
            </w:r>
          </w:p>
        </w:tc>
        <w:tc>
          <w:tcPr>
            <w:tcW w:w="644"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500" w:type="dxa"/>
            <w:gridSpan w:val="2"/>
            <w:vAlign w:val="center"/>
          </w:tcPr>
          <w:p>
            <w:pPr>
              <w:widowControl w:val="0"/>
              <w:jc w:val="center"/>
              <w:rPr>
                <w:rFonts w:hint="eastAsia" w:ascii="Times New Roman" w:hAnsi="Times New Roman" w:eastAsia="仿宋_GB2312" w:cs="仿宋_GB2312"/>
                <w:b w:val="0"/>
                <w:bCs w:val="0"/>
                <w:sz w:val="18"/>
                <w:szCs w:val="18"/>
                <w:vertAlign w:val="baseline"/>
                <w:lang w:val="en-US" w:eastAsia="zh-CN"/>
              </w:rPr>
            </w:pPr>
            <w:r>
              <w:rPr>
                <w:rFonts w:hint="eastAsia" w:ascii="Times New Roman" w:hAnsi="Times New Roman" w:eastAsia="仿宋_GB2312" w:cs="宋体"/>
                <w:b/>
                <w:bCs/>
                <w:i w:val="0"/>
                <w:iCs w:val="0"/>
                <w:snapToGrid w:val="0"/>
                <w:color w:val="000000"/>
                <w:kern w:val="0"/>
                <w:sz w:val="18"/>
                <w:szCs w:val="18"/>
                <w:u w:val="none"/>
                <w:lang w:val="en-US" w:eastAsia="zh-CN" w:bidi="ar"/>
              </w:rPr>
              <w:t>总计</w:t>
            </w:r>
          </w:p>
        </w:tc>
        <w:tc>
          <w:tcPr>
            <w:tcW w:w="891"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vertAlign w:val="baseline"/>
                <w:lang w:val="en-US" w:eastAsia="zh-CN"/>
              </w:rPr>
            </w:pPr>
            <w:r>
              <w:rPr>
                <w:rFonts w:hint="default" w:ascii="Times New Roman" w:hAnsi="Times New Roman" w:eastAsia="仿宋_GB2312" w:cs="Times New Roman"/>
                <w:b/>
                <w:bCs/>
                <w:i w:val="0"/>
                <w:iCs w:val="0"/>
                <w:snapToGrid w:val="0"/>
                <w:color w:val="000000"/>
                <w:kern w:val="0"/>
                <w:sz w:val="18"/>
                <w:szCs w:val="18"/>
                <w:u w:val="none"/>
                <w:lang w:val="en-US" w:eastAsia="zh-CN" w:bidi="ar"/>
              </w:rPr>
              <w:t xml:space="preserve">613.68 </w:t>
            </w:r>
          </w:p>
        </w:tc>
        <w:tc>
          <w:tcPr>
            <w:tcW w:w="1077"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rPr>
            </w:pPr>
            <w:r>
              <w:rPr>
                <w:rFonts w:hint="default" w:ascii="Times New Roman" w:hAnsi="Times New Roman" w:eastAsia="仿宋_GB2312" w:cs="Times New Roman"/>
                <w:b/>
                <w:bCs/>
                <w:i w:val="0"/>
                <w:iCs w:val="0"/>
                <w:snapToGrid w:val="0"/>
                <w:color w:val="000000"/>
                <w:kern w:val="0"/>
                <w:sz w:val="18"/>
                <w:szCs w:val="18"/>
                <w:u w:val="none"/>
                <w:lang w:val="en-US" w:eastAsia="zh-CN" w:bidi="ar"/>
              </w:rPr>
              <w:t xml:space="preserve">100.00 </w:t>
            </w:r>
          </w:p>
        </w:tc>
        <w:tc>
          <w:tcPr>
            <w:tcW w:w="1036"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rPr>
            </w:pPr>
            <w:r>
              <w:rPr>
                <w:rFonts w:hint="default" w:ascii="Times New Roman" w:hAnsi="Times New Roman" w:eastAsia="仿宋_GB2312" w:cs="Times New Roman"/>
                <w:b/>
                <w:bCs/>
                <w:i w:val="0"/>
                <w:iCs w:val="0"/>
                <w:snapToGrid w:val="0"/>
                <w:color w:val="000000"/>
                <w:kern w:val="0"/>
                <w:sz w:val="18"/>
                <w:szCs w:val="18"/>
                <w:u w:val="none"/>
                <w:lang w:val="en-US" w:eastAsia="zh-CN" w:bidi="ar"/>
              </w:rPr>
              <w:t xml:space="preserve">73.03 </w:t>
            </w:r>
          </w:p>
        </w:tc>
        <w:tc>
          <w:tcPr>
            <w:tcW w:w="1081"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rPr>
            </w:pPr>
            <w:r>
              <w:rPr>
                <w:rFonts w:hint="default" w:ascii="Times New Roman" w:hAnsi="Times New Roman" w:eastAsia="仿宋_GB2312" w:cs="Times New Roman"/>
                <w:b/>
                <w:bCs/>
                <w:i w:val="0"/>
                <w:iCs w:val="0"/>
                <w:snapToGrid w:val="0"/>
                <w:color w:val="000000"/>
                <w:kern w:val="0"/>
                <w:sz w:val="18"/>
                <w:szCs w:val="18"/>
                <w:u w:val="none"/>
                <w:lang w:val="en-US" w:eastAsia="zh-CN" w:bidi="ar"/>
              </w:rPr>
              <w:t xml:space="preserve">440.65 </w:t>
            </w:r>
          </w:p>
        </w:tc>
        <w:tc>
          <w:tcPr>
            <w:tcW w:w="1372"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pPr>
            <w:r>
              <w:rPr>
                <w:rFonts w:hint="default" w:ascii="Times New Roman" w:hAnsi="Times New Roman" w:eastAsia="仿宋_GB2312" w:cs="Times New Roman"/>
                <w:b/>
                <w:bCs/>
                <w:i w:val="0"/>
                <w:iCs w:val="0"/>
                <w:snapToGrid w:val="0"/>
                <w:color w:val="000000"/>
                <w:kern w:val="0"/>
                <w:sz w:val="18"/>
                <w:szCs w:val="18"/>
                <w:u w:val="none"/>
                <w:lang w:val="en-US" w:eastAsia="zh-CN" w:bidi="ar"/>
              </w:rPr>
              <w:t xml:space="preserve">335.41 </w:t>
            </w:r>
          </w:p>
        </w:tc>
        <w:tc>
          <w:tcPr>
            <w:tcW w:w="1077"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u w:val="none"/>
                <w:lang w:val="en-US" w:eastAsia="zh-CN" w:bidi="ar"/>
              </w:rPr>
            </w:pPr>
            <w:r>
              <w:rPr>
                <w:rFonts w:hint="default" w:ascii="Times New Roman" w:hAnsi="Times New Roman" w:eastAsia="仿宋_GB2312" w:cs="Times New Roman"/>
                <w:b/>
                <w:bCs/>
                <w:i w:val="0"/>
                <w:iCs w:val="0"/>
                <w:snapToGrid w:val="0"/>
                <w:color w:val="000000"/>
                <w:kern w:val="0"/>
                <w:sz w:val="18"/>
                <w:szCs w:val="18"/>
                <w:u w:val="none"/>
                <w:lang w:val="en-US" w:eastAsia="zh-CN" w:bidi="ar"/>
              </w:rPr>
              <w:t xml:space="preserve">278.27 </w:t>
            </w:r>
          </w:p>
        </w:tc>
        <w:tc>
          <w:tcPr>
            <w:tcW w:w="644"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vertAlign w:val="baseline"/>
                <w:lang w:val="en-US" w:eastAsia="zh-CN"/>
              </w:rPr>
            </w:pPr>
          </w:p>
        </w:tc>
      </w:tr>
    </w:tbl>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textAlignment w:val="baseline"/>
        <w:rPr>
          <w:rFonts w:ascii="Times New Roman" w:hAnsi="Times New Roman" w:eastAsia="楷体" w:cs="楷体"/>
          <w:b/>
          <w:bCs/>
          <w:spacing w:val="24"/>
          <w:sz w:val="31"/>
          <w:szCs w:val="31"/>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ascii="Times New Roman" w:hAnsi="Times New Roman" w:eastAsia="黑体" w:cs="黑体"/>
          <w:sz w:val="32"/>
          <w:szCs w:val="32"/>
        </w:rPr>
      </w:pPr>
      <w:r>
        <w:rPr>
          <w:rFonts w:hint="eastAsia" w:ascii="Times New Roman" w:hAnsi="Times New Roman" w:eastAsia="黑体" w:cs="黑体"/>
          <w:sz w:val="32"/>
          <w:szCs w:val="32"/>
          <w:lang w:val="en-US" w:eastAsia="zh-CN"/>
        </w:rPr>
        <w:t>三、</w:t>
      </w:r>
      <w:r>
        <w:rPr>
          <w:rFonts w:ascii="Times New Roman" w:hAnsi="Times New Roman" w:eastAsia="黑体" w:cs="黑体"/>
          <w:sz w:val="32"/>
          <w:szCs w:val="32"/>
        </w:rPr>
        <w:t>政府性基金预算支出情况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firstLine="628" w:firstLineChars="200"/>
        <w:textAlignment w:val="baseline"/>
        <w:rPr>
          <w:rFonts w:hint="eastAsia" w:ascii="Times New Roman" w:hAnsi="Times New Roman" w:eastAsia="仿宋_GB2312" w:cs="仿宋_GB2312"/>
          <w:b/>
          <w:bCs/>
          <w:spacing w:val="-3"/>
          <w:sz w:val="32"/>
          <w:szCs w:val="32"/>
          <w:lang w:val="en-US" w:eastAsia="zh-CN"/>
        </w:rPr>
      </w:pPr>
      <w:r>
        <w:rPr>
          <w:rFonts w:hint="eastAsia" w:ascii="Times New Roman" w:hAnsi="Times New Roman" w:eastAsia="仿宋_GB2312" w:cs="仿宋_GB2312"/>
          <w:b/>
          <w:bCs/>
          <w:spacing w:val="-3"/>
          <w:sz w:val="32"/>
          <w:szCs w:val="32"/>
          <w:lang w:val="en-US" w:eastAsia="zh-CN"/>
        </w:rPr>
        <w:t>无。</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ascii="Times New Roman" w:hAnsi="Times New Roman" w:eastAsia="黑体" w:cs="黑体"/>
          <w:sz w:val="32"/>
          <w:szCs w:val="32"/>
        </w:rPr>
      </w:pPr>
      <w:r>
        <w:rPr>
          <w:rFonts w:ascii="Times New Roman" w:hAnsi="Times New Roman" w:eastAsia="黑体" w:cs="黑体"/>
          <w:sz w:val="32"/>
          <w:szCs w:val="32"/>
        </w:rPr>
        <w:t>四</w:t>
      </w:r>
      <w:r>
        <w:rPr>
          <w:rFonts w:hint="eastAsia" w:ascii="Times New Roman" w:hAnsi="Times New Roman" w:eastAsia="黑体" w:cs="黑体"/>
          <w:sz w:val="32"/>
          <w:szCs w:val="32"/>
          <w:lang w:eastAsia="zh-CN"/>
        </w:rPr>
        <w:t>、</w:t>
      </w:r>
      <w:r>
        <w:rPr>
          <w:rFonts w:ascii="Times New Roman" w:hAnsi="Times New Roman" w:eastAsia="黑体" w:cs="黑体"/>
          <w:sz w:val="32"/>
          <w:szCs w:val="32"/>
        </w:rPr>
        <w:t>国有资本经营预算支出情况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firstLine="628" w:firstLineChars="200"/>
        <w:textAlignment w:val="baseline"/>
        <w:rPr>
          <w:rFonts w:hint="eastAsia" w:ascii="Times New Roman" w:hAnsi="Times New Roman" w:eastAsia="仿宋_GB2312" w:cs="仿宋_GB2312"/>
          <w:b/>
          <w:bCs/>
          <w:spacing w:val="-3"/>
          <w:sz w:val="32"/>
          <w:szCs w:val="32"/>
          <w:lang w:val="en-US" w:eastAsia="zh-CN"/>
        </w:rPr>
      </w:pPr>
      <w:r>
        <w:rPr>
          <w:rFonts w:hint="eastAsia" w:ascii="Times New Roman" w:hAnsi="Times New Roman" w:eastAsia="仿宋_GB2312" w:cs="仿宋_GB2312"/>
          <w:b/>
          <w:bCs/>
          <w:spacing w:val="-3"/>
          <w:sz w:val="32"/>
          <w:szCs w:val="32"/>
          <w:lang w:val="en-US" w:eastAsia="zh-CN"/>
        </w:rPr>
        <w:t>无。</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ascii="Times New Roman" w:hAnsi="Times New Roman" w:eastAsia="黑体" w:cs="黑体"/>
          <w:sz w:val="32"/>
          <w:szCs w:val="32"/>
        </w:rPr>
      </w:pPr>
      <w:r>
        <w:rPr>
          <w:rFonts w:ascii="Times New Roman" w:hAnsi="Times New Roman" w:eastAsia="黑体" w:cs="黑体"/>
          <w:sz w:val="32"/>
          <w:szCs w:val="32"/>
        </w:rPr>
        <w:t>五</w:t>
      </w:r>
      <w:r>
        <w:rPr>
          <w:rFonts w:hint="eastAsia" w:ascii="Times New Roman" w:hAnsi="Times New Roman" w:eastAsia="黑体" w:cs="黑体"/>
          <w:sz w:val="32"/>
          <w:szCs w:val="32"/>
          <w:lang w:eastAsia="zh-CN"/>
        </w:rPr>
        <w:t>、</w:t>
      </w:r>
      <w:r>
        <w:rPr>
          <w:rFonts w:ascii="Times New Roman" w:hAnsi="Times New Roman" w:eastAsia="黑体" w:cs="黑体"/>
          <w:sz w:val="32"/>
          <w:szCs w:val="32"/>
        </w:rPr>
        <w:t>社会保险基金预算支出情况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firstLine="628" w:firstLineChars="200"/>
        <w:textAlignment w:val="baseline"/>
        <w:rPr>
          <w:rFonts w:ascii="Times New Roman" w:hAnsi="Times New Roman" w:eastAsia="黑体" w:cs="黑体"/>
          <w:b/>
          <w:bCs/>
          <w:spacing w:val="-5"/>
          <w:sz w:val="31"/>
          <w:szCs w:val="31"/>
        </w:rPr>
      </w:pPr>
      <w:r>
        <w:rPr>
          <w:rFonts w:hint="eastAsia" w:ascii="Times New Roman" w:hAnsi="Times New Roman" w:eastAsia="仿宋_GB2312" w:cs="仿宋_GB2312"/>
          <w:b/>
          <w:bCs/>
          <w:spacing w:val="-3"/>
          <w:sz w:val="32"/>
          <w:szCs w:val="32"/>
          <w:lang w:val="en-US" w:eastAsia="zh-CN"/>
        </w:rPr>
        <w:t>无。</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Chars="0" w:firstLine="640" w:firstLineChars="200"/>
        <w:textAlignment w:val="baseline"/>
        <w:rPr>
          <w:rFonts w:ascii="Times New Roman" w:hAnsi="Times New Roman" w:eastAsia="黑体" w:cs="黑体"/>
          <w:b/>
          <w:bCs/>
          <w:spacing w:val="-8"/>
          <w:sz w:val="31"/>
          <w:szCs w:val="31"/>
        </w:rPr>
      </w:pPr>
      <w:r>
        <w:rPr>
          <w:rFonts w:hint="eastAsia" w:ascii="Times New Roman" w:hAnsi="Times New Roman" w:eastAsia="黑体" w:cs="黑体"/>
          <w:sz w:val="32"/>
          <w:szCs w:val="32"/>
          <w:lang w:val="en-US" w:eastAsia="zh-CN"/>
        </w:rPr>
        <w:t>六、</w:t>
      </w:r>
      <w:r>
        <w:rPr>
          <w:rFonts w:ascii="Times New Roman" w:hAnsi="Times New Roman" w:eastAsia="黑体" w:cs="黑体"/>
          <w:sz w:val="32"/>
          <w:szCs w:val="32"/>
        </w:rPr>
        <w:t>部门整体支出绩效情况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楷体_GB2312" w:hAnsi="楷体_GB2312" w:eastAsia="楷体_GB2312" w:cs="楷体_GB2312"/>
          <w:b/>
          <w:bCs/>
          <w:color w:val="000000"/>
          <w:sz w:val="32"/>
          <w:szCs w:val="32"/>
          <w:lang w:val="en-US" w:eastAsia="zh-CN"/>
        </w:rPr>
      </w:pPr>
      <w:r>
        <w:rPr>
          <w:rFonts w:hint="eastAsia" w:ascii="楷体_GB2312" w:hAnsi="楷体_GB2312" w:eastAsia="楷体_GB2312" w:cs="楷体_GB2312"/>
          <w:b/>
          <w:bCs/>
          <w:color w:val="000000"/>
          <w:sz w:val="32"/>
          <w:szCs w:val="32"/>
          <w:lang w:val="en-US" w:eastAsia="zh-CN"/>
        </w:rPr>
        <w:t>（一）加强政治学习，抓党建促工作</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lang w:val="en-US" w:eastAsia="en-US"/>
        </w:rPr>
      </w:pPr>
      <w:r>
        <w:rPr>
          <w:rFonts w:hint="eastAsia" w:ascii="Times New Roman" w:hAnsi="Times New Roman" w:eastAsia="仿宋" w:cs="Times New Roman"/>
          <w:color w:val="000000"/>
          <w:sz w:val="32"/>
          <w:szCs w:val="32"/>
          <w:lang w:val="en-US" w:eastAsia="en-US"/>
        </w:rPr>
        <w:t>按照</w:t>
      </w:r>
      <w:r>
        <w:rPr>
          <w:rFonts w:hint="eastAsia" w:ascii="Times New Roman" w:hAnsi="Times New Roman" w:eastAsia="仿宋" w:cs="Times New Roman"/>
          <w:color w:val="000000"/>
          <w:sz w:val="32"/>
          <w:szCs w:val="32"/>
          <w:lang w:val="en-US" w:eastAsia="zh-CN"/>
        </w:rPr>
        <w:t>厅党组的统一部署</w:t>
      </w:r>
      <w:r>
        <w:rPr>
          <w:rFonts w:hint="eastAsia" w:ascii="Times New Roman" w:hAnsi="Times New Roman" w:eastAsia="仿宋" w:cs="Times New Roman"/>
          <w:color w:val="000000"/>
          <w:sz w:val="32"/>
          <w:szCs w:val="32"/>
          <w:lang w:val="en-US" w:eastAsia="en-US"/>
        </w:rPr>
        <w:t>，</w:t>
      </w:r>
      <w:r>
        <w:rPr>
          <w:rFonts w:hint="eastAsia" w:ascii="Times New Roman" w:hAnsi="Times New Roman" w:eastAsia="仿宋" w:cs="Times New Roman"/>
          <w:color w:val="000000"/>
          <w:sz w:val="32"/>
          <w:szCs w:val="32"/>
          <w:lang w:val="en-US" w:eastAsia="zh-CN"/>
        </w:rPr>
        <w:t>全年共</w:t>
      </w:r>
      <w:r>
        <w:rPr>
          <w:rFonts w:hint="eastAsia" w:ascii="Times New Roman" w:hAnsi="Times New Roman" w:eastAsia="仿宋" w:cs="Times New Roman"/>
          <w:color w:val="000000"/>
          <w:sz w:val="32"/>
          <w:szCs w:val="32"/>
          <w:lang w:val="en-US" w:eastAsia="en-US"/>
        </w:rPr>
        <w:t>组织全体干部职工集中开展政治学习</w:t>
      </w:r>
      <w:r>
        <w:rPr>
          <w:rFonts w:hint="eastAsia" w:ascii="Times New Roman" w:hAnsi="Times New Roman" w:eastAsia="仿宋" w:cs="Times New Roman"/>
          <w:color w:val="000000"/>
          <w:sz w:val="32"/>
          <w:szCs w:val="32"/>
          <w:lang w:val="en-US" w:eastAsia="zh-CN"/>
        </w:rPr>
        <w:t>12</w:t>
      </w:r>
      <w:r>
        <w:rPr>
          <w:rFonts w:hint="eastAsia" w:ascii="Times New Roman" w:hAnsi="Times New Roman" w:eastAsia="仿宋" w:cs="Times New Roman"/>
          <w:color w:val="000000"/>
          <w:sz w:val="32"/>
          <w:szCs w:val="32"/>
          <w:lang w:val="en-US" w:eastAsia="en-US"/>
        </w:rPr>
        <w:t>次，学习习近平同志中国共产党第二十次全国代表大会上的报告，学习《习近平新时代中国特色社会主义思想专题摘编》和学习厅党组《关于深入开展学习贯彻习近平新时代中国特色社会主义思想主题教育的实施方</w:t>
      </w:r>
      <w:r>
        <w:rPr>
          <w:rFonts w:hint="eastAsia" w:ascii="Times New Roman" w:hAnsi="Times New Roman" w:eastAsia="仿宋" w:cs="Times New Roman"/>
          <w:color w:val="000000"/>
          <w:sz w:val="32"/>
          <w:szCs w:val="32"/>
          <w:lang w:val="en-US" w:eastAsia="zh-CN"/>
        </w:rPr>
        <w:t>案</w:t>
      </w:r>
      <w:r>
        <w:rPr>
          <w:rFonts w:hint="eastAsia" w:ascii="Times New Roman" w:hAnsi="Times New Roman" w:eastAsia="仿宋" w:cs="Times New Roman"/>
          <w:color w:val="000000"/>
          <w:sz w:val="32"/>
          <w:szCs w:val="32"/>
          <w:lang w:val="en-US" w:eastAsia="en-US"/>
        </w:rPr>
        <w:t>》，深刻领会习近平总书记新时代中国特色社会主义思想的重大意义，进一步增强“四个意识”，坚定“四个自信”，做到“两个维护”，坚持党的领导、人民当家做主，坚决维护党中央的权威；同时要求全体干部职工加强学习，切实提高个人素质，加强个人修养;组织全体党员认真学习宪法和党章，深刻理解宪法和党章。做好党风廉政建设是我们每个党员和干部的责任。中心全体职工能够认真按照中央八项规定和省委九项规定精神开展工作，做到廉洁自律。</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lang w:val="en-US" w:eastAsia="en-US"/>
        </w:rPr>
      </w:pPr>
      <w:r>
        <w:rPr>
          <w:rFonts w:hint="eastAsia" w:ascii="Times New Roman" w:hAnsi="Times New Roman" w:eastAsia="仿宋" w:cs="Times New Roman"/>
          <w:color w:val="000000"/>
          <w:sz w:val="32"/>
          <w:szCs w:val="32"/>
          <w:lang w:val="en-US" w:eastAsia="en-US"/>
        </w:rPr>
        <w:t>汇编了支部2022年度党建材料</w:t>
      </w:r>
      <w:r>
        <w:rPr>
          <w:rFonts w:hint="eastAsia" w:ascii="Times New Roman" w:hAnsi="Times New Roman" w:eastAsia="仿宋" w:cs="Times New Roman"/>
          <w:color w:val="000000"/>
          <w:sz w:val="32"/>
          <w:szCs w:val="32"/>
          <w:lang w:val="en-US" w:eastAsia="zh-CN"/>
        </w:rPr>
        <w:t>。</w:t>
      </w:r>
      <w:r>
        <w:rPr>
          <w:rFonts w:hint="eastAsia" w:ascii="Times New Roman" w:hAnsi="Times New Roman" w:eastAsia="仿宋" w:cs="Times New Roman"/>
          <w:color w:val="000000"/>
          <w:sz w:val="32"/>
          <w:szCs w:val="32"/>
          <w:lang w:val="en-US" w:eastAsia="en-US"/>
        </w:rPr>
        <w:t>党建工作是我们单位的重中之重，为</w:t>
      </w:r>
      <w:r>
        <w:rPr>
          <w:rFonts w:hint="eastAsia" w:ascii="Times New Roman" w:hAnsi="Times New Roman" w:eastAsia="仿宋" w:cs="Times New Roman"/>
          <w:color w:val="000000"/>
          <w:sz w:val="32"/>
          <w:szCs w:val="32"/>
          <w:lang w:val="en-US" w:eastAsia="zh-CN"/>
        </w:rPr>
        <w:t>了总结提高此项工作</w:t>
      </w:r>
      <w:r>
        <w:rPr>
          <w:rFonts w:hint="eastAsia" w:ascii="Times New Roman" w:hAnsi="Times New Roman" w:eastAsia="仿宋" w:cs="Times New Roman"/>
          <w:color w:val="000000"/>
          <w:sz w:val="32"/>
          <w:szCs w:val="32"/>
          <w:lang w:val="en-US" w:eastAsia="en-US"/>
        </w:rPr>
        <w:t>，</w:t>
      </w:r>
      <w:r>
        <w:rPr>
          <w:rFonts w:hint="eastAsia" w:ascii="Times New Roman" w:hAnsi="Times New Roman" w:eastAsia="仿宋" w:cs="Times New Roman"/>
          <w:color w:val="000000"/>
          <w:sz w:val="32"/>
          <w:szCs w:val="32"/>
          <w:lang w:val="en-US" w:eastAsia="zh-CN"/>
        </w:rPr>
        <w:t>中心汇编</w:t>
      </w:r>
      <w:r>
        <w:rPr>
          <w:rFonts w:hint="eastAsia" w:ascii="Times New Roman" w:hAnsi="Times New Roman" w:eastAsia="仿宋" w:cs="Times New Roman"/>
          <w:color w:val="000000"/>
          <w:sz w:val="32"/>
          <w:szCs w:val="32"/>
          <w:lang w:val="en-US" w:eastAsia="en-US"/>
        </w:rPr>
        <w:t>了《中共湖南省种子质量检测与南繁中心支部委员会2022年度党建材料汇编》，</w:t>
      </w:r>
      <w:r>
        <w:rPr>
          <w:rFonts w:hint="eastAsia" w:ascii="Times New Roman" w:hAnsi="Times New Roman" w:eastAsia="仿宋" w:cs="Times New Roman"/>
          <w:color w:val="000000"/>
          <w:sz w:val="32"/>
          <w:szCs w:val="32"/>
          <w:lang w:val="en-US" w:eastAsia="zh-CN"/>
        </w:rPr>
        <w:t>内容包括</w:t>
      </w:r>
      <w:r>
        <w:rPr>
          <w:rFonts w:hint="eastAsia" w:ascii="Times New Roman" w:hAnsi="Times New Roman" w:eastAsia="仿宋" w:cs="Times New Roman"/>
          <w:color w:val="000000"/>
          <w:sz w:val="32"/>
          <w:szCs w:val="32"/>
          <w:lang w:val="en-US" w:eastAsia="en-US"/>
        </w:rPr>
        <w:t>支部工作计划、思想建设、党建活动、学习心得等方面，</w:t>
      </w:r>
      <w:r>
        <w:rPr>
          <w:rFonts w:hint="eastAsia" w:ascii="Times New Roman" w:hAnsi="Times New Roman" w:eastAsia="仿宋" w:cs="Times New Roman"/>
          <w:color w:val="000000"/>
          <w:sz w:val="32"/>
          <w:szCs w:val="32"/>
          <w:lang w:val="en-US" w:eastAsia="zh-CN"/>
        </w:rPr>
        <w:t>受到了厅机关党委和站总支的肯定</w:t>
      </w:r>
      <w:r>
        <w:rPr>
          <w:rFonts w:hint="eastAsia" w:ascii="Times New Roman" w:hAnsi="Times New Roman" w:eastAsia="仿宋" w:cs="Times New Roman"/>
          <w:color w:val="000000"/>
          <w:sz w:val="32"/>
          <w:szCs w:val="32"/>
          <w:lang w:val="en-US" w:eastAsia="en-US"/>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default" w:ascii="楷体_GB2312" w:hAnsi="楷体_GB2312" w:eastAsia="楷体_GB2312" w:cs="楷体_GB2312"/>
          <w:b/>
          <w:bCs/>
          <w:color w:val="000000"/>
          <w:sz w:val="32"/>
          <w:szCs w:val="32"/>
          <w:lang w:val="en-US" w:eastAsia="en-US"/>
        </w:rPr>
      </w:pPr>
      <w:r>
        <w:rPr>
          <w:rFonts w:hint="eastAsia" w:ascii="楷体_GB2312" w:hAnsi="楷体_GB2312" w:eastAsia="楷体_GB2312" w:cs="楷体_GB2312"/>
          <w:b/>
          <w:bCs/>
          <w:color w:val="000000"/>
          <w:sz w:val="32"/>
          <w:szCs w:val="32"/>
          <w:lang w:val="en-US" w:eastAsia="zh-CN"/>
        </w:rPr>
        <w:t>（二）规范管理，南繁工作成效显著</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lang w:val="en-US" w:eastAsia="zh-CN"/>
        </w:rPr>
      </w:pPr>
      <w:r>
        <w:rPr>
          <w:rFonts w:hint="eastAsia" w:ascii="Times New Roman" w:hAnsi="Times New Roman" w:eastAsia="仿宋" w:cs="Times New Roman"/>
          <w:color w:val="000000"/>
          <w:sz w:val="32"/>
          <w:szCs w:val="32"/>
          <w:lang w:val="en-US" w:eastAsia="zh-CN"/>
        </w:rPr>
        <w:t>1、认真</w:t>
      </w:r>
      <w:r>
        <w:rPr>
          <w:rFonts w:hint="eastAsia" w:ascii="Times New Roman" w:hAnsi="Times New Roman" w:eastAsia="仿宋" w:cs="Times New Roman"/>
          <w:color w:val="000000"/>
          <w:sz w:val="32"/>
          <w:szCs w:val="32"/>
          <w:lang w:val="en-US" w:eastAsia="en-US"/>
        </w:rPr>
        <w:t>编</w:t>
      </w:r>
      <w:r>
        <w:rPr>
          <w:rFonts w:hint="eastAsia" w:ascii="Times New Roman" w:hAnsi="Times New Roman" w:eastAsia="仿宋" w:cs="Times New Roman"/>
          <w:color w:val="000000"/>
          <w:sz w:val="32"/>
          <w:szCs w:val="32"/>
          <w:lang w:val="en-US" w:eastAsia="zh-CN"/>
        </w:rPr>
        <w:t>写</w:t>
      </w:r>
      <w:r>
        <w:rPr>
          <w:rFonts w:hint="eastAsia" w:ascii="Times New Roman" w:hAnsi="Times New Roman" w:eastAsia="仿宋" w:cs="Times New Roman"/>
          <w:color w:val="000000"/>
          <w:sz w:val="32"/>
          <w:szCs w:val="32"/>
          <w:lang w:val="en-US" w:eastAsia="en-US"/>
        </w:rPr>
        <w:t>了南繁工作指南</w:t>
      </w:r>
      <w:r>
        <w:rPr>
          <w:rFonts w:hint="eastAsia" w:ascii="Times New Roman" w:hAnsi="Times New Roman" w:eastAsia="仿宋" w:cs="Times New Roman"/>
          <w:color w:val="000000"/>
          <w:sz w:val="32"/>
          <w:szCs w:val="32"/>
          <w:lang w:val="en-US" w:eastAsia="zh-CN"/>
        </w:rPr>
        <w:t>。</w:t>
      </w:r>
      <w:r>
        <w:rPr>
          <w:rFonts w:hint="eastAsia" w:ascii="Times New Roman" w:hAnsi="Times New Roman" w:eastAsia="仿宋" w:cs="Times New Roman"/>
          <w:color w:val="000000"/>
          <w:sz w:val="32"/>
          <w:szCs w:val="32"/>
          <w:lang w:val="en-US" w:eastAsia="en-US"/>
        </w:rPr>
        <w:t>为了让各南繁单位</w:t>
      </w:r>
      <w:r>
        <w:rPr>
          <w:rFonts w:hint="eastAsia" w:ascii="Times New Roman" w:hAnsi="Times New Roman" w:eastAsia="仿宋" w:cs="Times New Roman"/>
          <w:color w:val="000000"/>
          <w:sz w:val="32"/>
          <w:szCs w:val="32"/>
          <w:lang w:val="en-US" w:eastAsia="zh-CN"/>
        </w:rPr>
        <w:t>依</w:t>
      </w:r>
      <w:r>
        <w:rPr>
          <w:rFonts w:hint="eastAsia" w:ascii="Times New Roman" w:hAnsi="Times New Roman" w:eastAsia="仿宋" w:cs="Times New Roman"/>
          <w:color w:val="000000"/>
          <w:sz w:val="32"/>
          <w:szCs w:val="32"/>
          <w:lang w:val="en-US" w:eastAsia="en-US"/>
        </w:rPr>
        <w:t>法</w:t>
      </w:r>
      <w:r>
        <w:rPr>
          <w:rFonts w:hint="eastAsia" w:ascii="Times New Roman" w:hAnsi="Times New Roman" w:eastAsia="仿宋" w:cs="Times New Roman"/>
          <w:color w:val="000000"/>
          <w:sz w:val="32"/>
          <w:szCs w:val="32"/>
          <w:lang w:val="en-US" w:eastAsia="zh-CN"/>
        </w:rPr>
        <w:t>依</w:t>
      </w:r>
      <w:r>
        <w:rPr>
          <w:rFonts w:hint="eastAsia" w:ascii="Times New Roman" w:hAnsi="Times New Roman" w:eastAsia="仿宋" w:cs="Times New Roman"/>
          <w:color w:val="000000"/>
          <w:sz w:val="32"/>
          <w:szCs w:val="32"/>
          <w:lang w:val="en-US" w:eastAsia="en-US"/>
        </w:rPr>
        <w:t>规的从事南繁作业，中心整理编</w:t>
      </w:r>
      <w:r>
        <w:rPr>
          <w:rFonts w:hint="eastAsia" w:ascii="Times New Roman" w:hAnsi="Times New Roman" w:eastAsia="仿宋" w:cs="Times New Roman"/>
          <w:color w:val="000000"/>
          <w:sz w:val="32"/>
          <w:szCs w:val="32"/>
          <w:lang w:val="en-US" w:eastAsia="zh-CN"/>
        </w:rPr>
        <w:t>写</w:t>
      </w:r>
      <w:r>
        <w:rPr>
          <w:rFonts w:hint="eastAsia" w:ascii="Times New Roman" w:hAnsi="Times New Roman" w:eastAsia="仿宋" w:cs="Times New Roman"/>
          <w:color w:val="000000"/>
          <w:sz w:val="32"/>
          <w:szCs w:val="32"/>
          <w:lang w:val="en-US" w:eastAsia="en-US"/>
        </w:rPr>
        <w:t>了《南繁工作指南》，</w:t>
      </w:r>
      <w:r>
        <w:rPr>
          <w:rFonts w:hint="eastAsia" w:ascii="Times New Roman" w:hAnsi="Times New Roman" w:eastAsia="仿宋" w:cs="Times New Roman"/>
          <w:color w:val="000000"/>
          <w:sz w:val="32"/>
          <w:szCs w:val="32"/>
          <w:lang w:val="en-US" w:eastAsia="zh-CN"/>
        </w:rPr>
        <w:t>内容包括</w:t>
      </w:r>
      <w:r>
        <w:rPr>
          <w:rFonts w:hint="eastAsia" w:ascii="Times New Roman" w:hAnsi="Times New Roman" w:eastAsia="仿宋" w:cs="Times New Roman"/>
          <w:color w:val="000000"/>
          <w:sz w:val="32"/>
          <w:szCs w:val="32"/>
          <w:lang w:val="en-US" w:eastAsia="en-US"/>
        </w:rPr>
        <w:t>南繁规划、法律法规、南繁工作流程和我省南繁基本情况，</w:t>
      </w:r>
      <w:r>
        <w:rPr>
          <w:rFonts w:hint="eastAsia" w:ascii="Times New Roman" w:hAnsi="Times New Roman" w:eastAsia="仿宋" w:cs="Times New Roman"/>
          <w:color w:val="000000"/>
          <w:sz w:val="32"/>
          <w:szCs w:val="32"/>
          <w:lang w:val="en-US" w:eastAsia="zh-CN"/>
        </w:rPr>
        <w:t>是</w:t>
      </w:r>
      <w:r>
        <w:rPr>
          <w:rFonts w:hint="eastAsia" w:ascii="Times New Roman" w:hAnsi="Times New Roman" w:eastAsia="仿宋" w:cs="Times New Roman"/>
          <w:color w:val="000000"/>
          <w:sz w:val="32"/>
          <w:szCs w:val="32"/>
          <w:lang w:val="en-US" w:eastAsia="en-US"/>
        </w:rPr>
        <w:t>南繁工作</w:t>
      </w:r>
      <w:r>
        <w:rPr>
          <w:rFonts w:hint="eastAsia" w:ascii="Times New Roman" w:hAnsi="Times New Roman" w:eastAsia="仿宋" w:cs="Times New Roman"/>
          <w:color w:val="000000"/>
          <w:sz w:val="32"/>
          <w:szCs w:val="32"/>
          <w:lang w:val="en-US" w:eastAsia="zh-CN"/>
        </w:rPr>
        <w:t>者的工具书和参考书。</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lang w:val="en-US" w:eastAsia="en-US"/>
        </w:rPr>
      </w:pPr>
      <w:r>
        <w:rPr>
          <w:rFonts w:hint="eastAsia" w:ascii="Times New Roman" w:hAnsi="Times New Roman" w:eastAsia="仿宋" w:cs="Times New Roman"/>
          <w:color w:val="000000"/>
          <w:sz w:val="32"/>
          <w:szCs w:val="32"/>
          <w:lang w:val="en-US" w:eastAsia="zh-CN"/>
        </w:rPr>
        <w:t>2</w:t>
      </w:r>
      <w:r>
        <w:rPr>
          <w:rFonts w:hint="eastAsia" w:ascii="Times New Roman" w:hAnsi="Times New Roman" w:eastAsia="仿宋" w:cs="Times New Roman"/>
          <w:color w:val="000000"/>
          <w:sz w:val="32"/>
          <w:szCs w:val="32"/>
          <w:lang w:val="en-US" w:eastAsia="en-US"/>
        </w:rPr>
        <w:t>、高效使用科研用地</w:t>
      </w:r>
      <w:r>
        <w:rPr>
          <w:rFonts w:hint="eastAsia" w:ascii="Times New Roman" w:hAnsi="Times New Roman" w:eastAsia="仿宋" w:cs="Times New Roman"/>
          <w:color w:val="000000"/>
          <w:sz w:val="32"/>
          <w:szCs w:val="32"/>
          <w:lang w:val="en-US" w:eastAsia="zh-CN"/>
        </w:rPr>
        <w:t>。</w:t>
      </w:r>
      <w:r>
        <w:rPr>
          <w:rFonts w:hint="eastAsia" w:ascii="Times New Roman" w:hAnsi="Times New Roman" w:eastAsia="仿宋" w:cs="Times New Roman"/>
          <w:color w:val="000000"/>
          <w:sz w:val="32"/>
          <w:szCs w:val="32"/>
          <w:lang w:val="en-US" w:eastAsia="en-US"/>
        </w:rPr>
        <w:t>今年有</w:t>
      </w:r>
      <w:r>
        <w:rPr>
          <w:rFonts w:hint="eastAsia" w:ascii="Times New Roman" w:hAnsi="Times New Roman" w:eastAsia="仿宋" w:cs="Times New Roman"/>
          <w:color w:val="000000"/>
          <w:sz w:val="32"/>
          <w:szCs w:val="32"/>
          <w:lang w:val="en-US" w:eastAsia="zh-CN"/>
        </w:rPr>
        <w:t>40多</w:t>
      </w:r>
      <w:r>
        <w:rPr>
          <w:rFonts w:hint="eastAsia" w:ascii="Times New Roman" w:hAnsi="Times New Roman" w:eastAsia="仿宋" w:cs="Times New Roman"/>
          <w:color w:val="000000"/>
          <w:sz w:val="32"/>
          <w:szCs w:val="32"/>
          <w:lang w:val="en-US" w:eastAsia="en-US"/>
        </w:rPr>
        <w:t>家单位进驻湖南省南繁科研育种园开展南繁育制种作业，常驻单位的科研用地使用率为100%，机动土地大部分已出租使用，园区土地综合使用率达96%，园区内科研用地得到高效利用，成</w:t>
      </w:r>
      <w:r>
        <w:rPr>
          <w:rFonts w:hint="eastAsia" w:ascii="Times New Roman" w:hAnsi="Times New Roman" w:eastAsia="仿宋" w:cs="Times New Roman"/>
          <w:color w:val="000000"/>
          <w:sz w:val="32"/>
          <w:szCs w:val="32"/>
          <w:lang w:val="en-US" w:eastAsia="zh-CN"/>
        </w:rPr>
        <w:t>效</w:t>
      </w:r>
      <w:r>
        <w:rPr>
          <w:rFonts w:hint="eastAsia" w:ascii="Times New Roman" w:hAnsi="Times New Roman" w:eastAsia="仿宋" w:cs="Times New Roman"/>
          <w:color w:val="000000"/>
          <w:sz w:val="32"/>
          <w:szCs w:val="32"/>
          <w:lang w:val="en-US" w:eastAsia="en-US"/>
        </w:rPr>
        <w:t>显著。</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lang w:val="en-US" w:eastAsia="en-US"/>
        </w:rPr>
      </w:pPr>
      <w:r>
        <w:rPr>
          <w:rFonts w:hint="eastAsia" w:ascii="Times New Roman" w:hAnsi="Times New Roman" w:eastAsia="仿宋" w:cs="Times New Roman"/>
          <w:color w:val="000000"/>
          <w:sz w:val="32"/>
          <w:szCs w:val="32"/>
          <w:lang w:val="en-US" w:eastAsia="zh-CN"/>
        </w:rPr>
        <w:t>3</w:t>
      </w:r>
      <w:r>
        <w:rPr>
          <w:rFonts w:hint="eastAsia" w:ascii="Times New Roman" w:hAnsi="Times New Roman" w:eastAsia="仿宋" w:cs="Times New Roman"/>
          <w:color w:val="000000"/>
          <w:sz w:val="32"/>
          <w:szCs w:val="32"/>
          <w:lang w:val="en-US" w:eastAsia="en-US"/>
        </w:rPr>
        <w:t>、成功举办了首届南繁科研育种工作交流会</w:t>
      </w:r>
      <w:r>
        <w:rPr>
          <w:rFonts w:hint="eastAsia" w:ascii="Times New Roman" w:hAnsi="Times New Roman" w:eastAsia="仿宋" w:cs="Times New Roman"/>
          <w:color w:val="000000"/>
          <w:sz w:val="32"/>
          <w:szCs w:val="32"/>
          <w:lang w:val="en-US" w:eastAsia="zh-CN"/>
        </w:rPr>
        <w:t>。</w:t>
      </w:r>
      <w:r>
        <w:rPr>
          <w:rFonts w:hint="eastAsia" w:ascii="Times New Roman" w:hAnsi="Times New Roman" w:eastAsia="仿宋" w:cs="Times New Roman"/>
          <w:color w:val="000000"/>
          <w:sz w:val="32"/>
          <w:szCs w:val="32"/>
          <w:lang w:val="en-US" w:eastAsia="en-US"/>
        </w:rPr>
        <w:t>为</w:t>
      </w:r>
      <w:r>
        <w:rPr>
          <w:rFonts w:hint="eastAsia" w:ascii="Times New Roman" w:hAnsi="Times New Roman" w:eastAsia="仿宋" w:cs="Times New Roman"/>
          <w:color w:val="000000"/>
          <w:sz w:val="32"/>
          <w:szCs w:val="32"/>
          <w:lang w:val="en-US" w:eastAsia="zh-CN"/>
        </w:rPr>
        <w:t>了提升南繁育种效率、提高育种水平</w:t>
      </w:r>
      <w:r>
        <w:rPr>
          <w:rFonts w:hint="eastAsia" w:ascii="Times New Roman" w:hAnsi="Times New Roman" w:eastAsia="仿宋" w:cs="Times New Roman"/>
          <w:color w:val="000000"/>
          <w:sz w:val="32"/>
          <w:szCs w:val="32"/>
          <w:lang w:val="en-US" w:eastAsia="en-US"/>
        </w:rPr>
        <w:t>，今年4月</w:t>
      </w:r>
      <w:r>
        <w:rPr>
          <w:rFonts w:hint="eastAsia" w:ascii="Times New Roman" w:hAnsi="Times New Roman" w:eastAsia="仿宋" w:cs="Times New Roman"/>
          <w:color w:val="000000"/>
          <w:sz w:val="32"/>
          <w:szCs w:val="32"/>
          <w:lang w:val="en-US" w:eastAsia="zh-CN"/>
        </w:rPr>
        <w:t>，</w:t>
      </w:r>
      <w:r>
        <w:rPr>
          <w:rFonts w:hint="eastAsia" w:ascii="Times New Roman" w:hAnsi="Times New Roman" w:eastAsia="仿宋" w:cs="Times New Roman"/>
          <w:color w:val="000000"/>
          <w:sz w:val="32"/>
          <w:szCs w:val="32"/>
          <w:lang w:val="en-US" w:eastAsia="en-US"/>
        </w:rPr>
        <w:t>中心在陵水组织召开了首届南繁科研育种工作交流会，</w:t>
      </w:r>
      <w:r>
        <w:rPr>
          <w:rFonts w:hint="eastAsia" w:ascii="Times New Roman" w:hAnsi="Times New Roman" w:eastAsia="仿宋" w:cs="Times New Roman"/>
          <w:color w:val="000000"/>
          <w:sz w:val="32"/>
          <w:szCs w:val="32"/>
          <w:lang w:val="en-US" w:eastAsia="zh-CN"/>
        </w:rPr>
        <w:t>全省40多</w:t>
      </w:r>
      <w:r>
        <w:rPr>
          <w:rFonts w:hint="eastAsia" w:ascii="Times New Roman" w:hAnsi="Times New Roman" w:eastAsia="仿宋" w:cs="Times New Roman"/>
          <w:color w:val="000000"/>
          <w:sz w:val="32"/>
          <w:szCs w:val="32"/>
          <w:lang w:val="en-US" w:eastAsia="en-US"/>
        </w:rPr>
        <w:t>家单位</w:t>
      </w:r>
      <w:r>
        <w:rPr>
          <w:rFonts w:hint="eastAsia" w:ascii="Times New Roman" w:hAnsi="Times New Roman" w:eastAsia="仿宋" w:cs="Times New Roman"/>
          <w:color w:val="000000"/>
          <w:sz w:val="32"/>
          <w:szCs w:val="32"/>
          <w:lang w:val="en-US" w:eastAsia="zh-CN"/>
        </w:rPr>
        <w:t>近百</w:t>
      </w:r>
      <w:r>
        <w:rPr>
          <w:rFonts w:hint="eastAsia" w:ascii="Times New Roman" w:hAnsi="Times New Roman" w:eastAsia="仿宋" w:cs="Times New Roman"/>
          <w:color w:val="000000"/>
          <w:sz w:val="32"/>
          <w:szCs w:val="32"/>
          <w:lang w:val="en-US" w:eastAsia="en-US"/>
        </w:rPr>
        <w:t>名南繁育种专家参会</w:t>
      </w:r>
      <w:r>
        <w:rPr>
          <w:rFonts w:hint="eastAsia" w:ascii="Times New Roman" w:hAnsi="Times New Roman" w:eastAsia="仿宋" w:cs="Times New Roman"/>
          <w:color w:val="000000"/>
          <w:sz w:val="32"/>
          <w:szCs w:val="32"/>
          <w:lang w:val="en-US" w:eastAsia="zh-CN"/>
        </w:rPr>
        <w:t>，</w:t>
      </w:r>
      <w:r>
        <w:rPr>
          <w:rFonts w:hint="eastAsia" w:ascii="Times New Roman" w:hAnsi="Times New Roman" w:eastAsia="仿宋" w:cs="Times New Roman"/>
          <w:color w:val="000000"/>
          <w:sz w:val="32"/>
          <w:szCs w:val="32"/>
          <w:lang w:val="en-US" w:eastAsia="en-US"/>
        </w:rPr>
        <w:t>亚华科学院杨远柱院长</w:t>
      </w:r>
      <w:r>
        <w:rPr>
          <w:rFonts w:hint="eastAsia" w:ascii="Times New Roman" w:hAnsi="Times New Roman" w:eastAsia="仿宋" w:cs="Times New Roman"/>
          <w:color w:val="000000"/>
          <w:sz w:val="32"/>
          <w:szCs w:val="32"/>
          <w:lang w:val="en-US" w:eastAsia="zh-CN"/>
        </w:rPr>
        <w:t>讲授</w:t>
      </w:r>
      <w:r>
        <w:rPr>
          <w:rFonts w:hint="eastAsia" w:ascii="Times New Roman" w:hAnsi="Times New Roman" w:eastAsia="仿宋" w:cs="Times New Roman"/>
          <w:color w:val="000000"/>
          <w:sz w:val="32"/>
          <w:szCs w:val="32"/>
          <w:lang w:val="en-US" w:eastAsia="en-US"/>
        </w:rPr>
        <w:t>“杂交水稻商业化育种方法与实践</w:t>
      </w:r>
      <w:r>
        <w:rPr>
          <w:rFonts w:hint="eastAsia" w:ascii="Times New Roman" w:hAnsi="Times New Roman" w:eastAsia="仿宋" w:cs="Times New Roman"/>
          <w:color w:val="000000"/>
          <w:sz w:val="32"/>
          <w:szCs w:val="32"/>
          <w:lang w:val="en-US" w:eastAsia="zh-CN"/>
        </w:rPr>
        <w:t>”，</w:t>
      </w:r>
      <w:r>
        <w:rPr>
          <w:rFonts w:hint="eastAsia" w:ascii="Times New Roman" w:hAnsi="Times New Roman" w:eastAsia="仿宋" w:cs="Times New Roman"/>
          <w:color w:val="000000"/>
          <w:sz w:val="32"/>
          <w:szCs w:val="32"/>
          <w:lang w:val="en-US" w:eastAsia="en-US"/>
        </w:rPr>
        <w:t xml:space="preserve"> 各南繁单位的专家就水稻南繁科研育种</w:t>
      </w:r>
      <w:r>
        <w:rPr>
          <w:rFonts w:hint="eastAsia" w:ascii="Times New Roman" w:hAnsi="Times New Roman" w:eastAsia="仿宋" w:cs="Times New Roman"/>
          <w:color w:val="000000"/>
          <w:sz w:val="32"/>
          <w:szCs w:val="32"/>
          <w:lang w:val="en-US" w:eastAsia="zh-CN"/>
        </w:rPr>
        <w:t>最新方法和进展</w:t>
      </w:r>
      <w:r>
        <w:rPr>
          <w:rFonts w:hint="eastAsia" w:ascii="Times New Roman" w:hAnsi="Times New Roman" w:eastAsia="仿宋" w:cs="Times New Roman"/>
          <w:color w:val="000000"/>
          <w:sz w:val="32"/>
          <w:szCs w:val="32"/>
          <w:lang w:val="en-US" w:eastAsia="en-US"/>
        </w:rPr>
        <w:t>进行了交流探讨，分享了工作经验</w:t>
      </w:r>
      <w:r>
        <w:rPr>
          <w:rFonts w:hint="eastAsia" w:ascii="Times New Roman" w:hAnsi="Times New Roman" w:eastAsia="仿宋" w:cs="Times New Roman"/>
          <w:color w:val="000000"/>
          <w:sz w:val="32"/>
          <w:szCs w:val="32"/>
          <w:lang w:val="en-US" w:eastAsia="zh-CN"/>
        </w:rPr>
        <w:t>。会议为南繁育种</w:t>
      </w:r>
      <w:r>
        <w:rPr>
          <w:rFonts w:hint="eastAsia" w:ascii="Times New Roman" w:hAnsi="Times New Roman" w:eastAsia="仿宋" w:cs="Times New Roman"/>
          <w:color w:val="000000"/>
          <w:sz w:val="32"/>
          <w:szCs w:val="32"/>
          <w:lang w:val="en-US" w:eastAsia="en-US"/>
        </w:rPr>
        <w:t>人员</w:t>
      </w:r>
      <w:r>
        <w:rPr>
          <w:rFonts w:hint="eastAsia" w:ascii="Times New Roman" w:hAnsi="Times New Roman" w:eastAsia="仿宋" w:cs="Times New Roman"/>
          <w:color w:val="000000"/>
          <w:sz w:val="32"/>
          <w:szCs w:val="32"/>
          <w:lang w:val="en-US" w:eastAsia="zh-CN"/>
        </w:rPr>
        <w:t>提供了思想碰撞的舞台，参会人员普遍反映收获颇丰。</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lang w:val="en-US" w:eastAsia="en-US"/>
        </w:rPr>
      </w:pPr>
      <w:r>
        <w:rPr>
          <w:rFonts w:hint="eastAsia" w:ascii="Times New Roman" w:hAnsi="Times New Roman" w:eastAsia="仿宋" w:cs="Times New Roman"/>
          <w:color w:val="000000"/>
          <w:sz w:val="32"/>
          <w:szCs w:val="32"/>
          <w:lang w:val="en-US" w:eastAsia="zh-CN"/>
        </w:rPr>
        <w:t>4</w:t>
      </w:r>
      <w:r>
        <w:rPr>
          <w:rFonts w:hint="eastAsia" w:ascii="Times New Roman" w:hAnsi="Times New Roman" w:eastAsia="仿宋" w:cs="Times New Roman"/>
          <w:color w:val="000000"/>
          <w:sz w:val="32"/>
          <w:szCs w:val="32"/>
          <w:lang w:val="en-US" w:eastAsia="en-US"/>
        </w:rPr>
        <w:t>、协助完成了臻两优8612种子生产全过程监管</w:t>
      </w:r>
      <w:r>
        <w:rPr>
          <w:rFonts w:hint="eastAsia" w:ascii="Times New Roman" w:hAnsi="Times New Roman" w:eastAsia="仿宋" w:cs="Times New Roman"/>
          <w:color w:val="000000"/>
          <w:sz w:val="32"/>
          <w:szCs w:val="32"/>
          <w:lang w:val="en-US" w:eastAsia="zh-CN"/>
        </w:rPr>
        <w:t>。</w:t>
      </w:r>
      <w:r>
        <w:rPr>
          <w:rFonts w:hint="eastAsia" w:ascii="Times New Roman" w:hAnsi="Times New Roman" w:eastAsia="仿宋" w:cs="Times New Roman"/>
          <w:color w:val="000000"/>
          <w:sz w:val="32"/>
          <w:szCs w:val="32"/>
          <w:lang w:val="en-US" w:eastAsia="en-US"/>
        </w:rPr>
        <w:t>为解决湖南大米镉超标问题，省政府决定在全省推广120万亩镉低积累水稻品种臻两优8612。亚华种业在海南安排了一万亩种子生产任务，在整个生产季节，中心多次派人到生产基地协调处理种子生产中存在问题，协助监管种子质量，共编写种子生产形势简报9期，确保120万公斤种子生产按质按量按时完成。</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lang w:val="en-US" w:eastAsia="en-US"/>
        </w:rPr>
      </w:pPr>
      <w:r>
        <w:rPr>
          <w:rFonts w:hint="eastAsia" w:ascii="Times New Roman" w:hAnsi="Times New Roman" w:eastAsia="仿宋" w:cs="Times New Roman"/>
          <w:color w:val="000000"/>
          <w:sz w:val="32"/>
          <w:szCs w:val="32"/>
          <w:lang w:val="en-US" w:eastAsia="zh-CN"/>
        </w:rPr>
        <w:t>5</w:t>
      </w:r>
      <w:r>
        <w:rPr>
          <w:rFonts w:hint="eastAsia" w:ascii="Times New Roman" w:hAnsi="Times New Roman" w:eastAsia="仿宋" w:cs="Times New Roman"/>
          <w:color w:val="000000"/>
          <w:sz w:val="32"/>
          <w:szCs w:val="32"/>
          <w:lang w:val="en-US" w:eastAsia="en-US"/>
        </w:rPr>
        <w:t>、建立了平安创建警务室</w:t>
      </w:r>
      <w:r>
        <w:rPr>
          <w:rFonts w:hint="eastAsia" w:ascii="Times New Roman" w:hAnsi="Times New Roman" w:eastAsia="仿宋" w:cs="Times New Roman"/>
          <w:color w:val="000000"/>
          <w:sz w:val="32"/>
          <w:szCs w:val="32"/>
          <w:lang w:val="en-US" w:eastAsia="zh-CN"/>
        </w:rPr>
        <w:t>。</w:t>
      </w:r>
      <w:r>
        <w:rPr>
          <w:rFonts w:hint="eastAsia" w:ascii="Times New Roman" w:hAnsi="Times New Roman" w:eastAsia="仿宋" w:cs="Times New Roman"/>
          <w:color w:val="000000"/>
          <w:sz w:val="32"/>
          <w:szCs w:val="32"/>
          <w:lang w:val="en-US" w:eastAsia="en-US"/>
        </w:rPr>
        <w:t>为了进一步加强警民团结，密切警民关系，增进警民情谊，积极促进陵水黎族自治县精神文明建设，推动现代农业发展，着力打造“育种陵水”名片，维护湖南省南繁科研育种园及周边地区的政治稳定和治安安定，保障园区正常作业。经椰林镇派出所、椰林海岸派出所和湖南省农作物种子南繁中心共同商定，三方结成警民共建单位，在园区内主干道设立警务室一座，由椰林镇派出所和椰林海岸派出所派驻警务人员负责警务室的日常工作和园区巡视工作</w:t>
      </w:r>
      <w:r>
        <w:rPr>
          <w:rFonts w:hint="eastAsia" w:ascii="Times New Roman" w:hAnsi="Times New Roman" w:eastAsia="仿宋" w:cs="Times New Roman"/>
          <w:color w:val="000000"/>
          <w:sz w:val="32"/>
          <w:szCs w:val="32"/>
          <w:lang w:val="en-US" w:eastAsia="zh-CN"/>
        </w:rPr>
        <w:t>，园区育种材料更安全</w:t>
      </w:r>
      <w:r>
        <w:rPr>
          <w:rFonts w:hint="eastAsia" w:ascii="Times New Roman" w:hAnsi="Times New Roman" w:eastAsia="仿宋" w:cs="Times New Roman"/>
          <w:color w:val="000000"/>
          <w:sz w:val="32"/>
          <w:szCs w:val="32"/>
          <w:lang w:val="en-US" w:eastAsia="en-US"/>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lang w:val="en-US" w:eastAsia="en-US"/>
        </w:rPr>
      </w:pPr>
      <w:r>
        <w:rPr>
          <w:rFonts w:hint="eastAsia" w:ascii="Times New Roman" w:hAnsi="Times New Roman" w:eastAsia="仿宋" w:cs="Times New Roman"/>
          <w:color w:val="000000"/>
          <w:sz w:val="32"/>
          <w:szCs w:val="32"/>
          <w:lang w:val="en-US" w:eastAsia="zh-CN"/>
        </w:rPr>
        <w:t>6</w:t>
      </w:r>
      <w:r>
        <w:rPr>
          <w:rFonts w:hint="eastAsia" w:ascii="Times New Roman" w:hAnsi="Times New Roman" w:eastAsia="仿宋" w:cs="Times New Roman"/>
          <w:color w:val="000000"/>
          <w:sz w:val="32"/>
          <w:szCs w:val="32"/>
          <w:lang w:val="en-US" w:eastAsia="en-US"/>
        </w:rPr>
        <w:t>、</w:t>
      </w:r>
      <w:r>
        <w:rPr>
          <w:rFonts w:hint="eastAsia" w:ascii="Times New Roman" w:hAnsi="Times New Roman" w:eastAsia="仿宋" w:cs="Times New Roman"/>
          <w:color w:val="000000"/>
          <w:sz w:val="32"/>
          <w:szCs w:val="32"/>
          <w:lang w:val="en-US" w:eastAsia="zh-CN"/>
        </w:rPr>
        <w:t>及时进行</w:t>
      </w:r>
      <w:r>
        <w:rPr>
          <w:rFonts w:hint="eastAsia" w:ascii="Times New Roman" w:hAnsi="Times New Roman" w:eastAsia="仿宋" w:cs="Times New Roman"/>
          <w:color w:val="000000"/>
          <w:sz w:val="32"/>
          <w:szCs w:val="32"/>
          <w:lang w:val="en-US" w:eastAsia="en-US"/>
        </w:rPr>
        <w:t>了陵水园区围栏修复和水沟清理工作</w:t>
      </w:r>
      <w:r>
        <w:rPr>
          <w:rFonts w:hint="eastAsia" w:ascii="Times New Roman" w:hAnsi="Times New Roman" w:eastAsia="仿宋" w:cs="Times New Roman"/>
          <w:color w:val="000000"/>
          <w:sz w:val="32"/>
          <w:szCs w:val="32"/>
          <w:lang w:val="en-US" w:eastAsia="zh-CN"/>
        </w:rPr>
        <w:t>。</w:t>
      </w:r>
      <w:r>
        <w:rPr>
          <w:rFonts w:hint="eastAsia" w:ascii="Times New Roman" w:hAnsi="Times New Roman" w:eastAsia="仿宋" w:cs="Times New Roman"/>
          <w:color w:val="000000"/>
          <w:sz w:val="32"/>
          <w:szCs w:val="32"/>
          <w:lang w:val="en-US" w:eastAsia="en-US"/>
        </w:rPr>
        <w:t>海南雨水充沛，空气盐分高，日照强度高，陵水园区围栏经过4年时间，部分有开裂和破皮现象，为了园区的美化和安全，中心聘请专业人员，通过全面检查，确定修复范围和标准，及时修复，延长了围栏使用寿命。非南繁季，田间杂草丛生，水沟内产生较多垃圾和淤泥，为了南繁季节能满足各单位用水需求，中心聘请人员割草和清理水沟水渠，保证水渠通畅。</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default" w:ascii="Times New Roman" w:hAnsi="Times New Roman" w:eastAsia="仿宋" w:cs="Times New Roman"/>
          <w:color w:val="000000"/>
          <w:sz w:val="32"/>
          <w:szCs w:val="32"/>
          <w:lang w:val="en-US" w:eastAsia="zh-CN"/>
        </w:rPr>
      </w:pPr>
      <w:r>
        <w:rPr>
          <w:rFonts w:hint="eastAsia" w:ascii="Times New Roman" w:hAnsi="Times New Roman" w:eastAsia="仿宋" w:cs="Times New Roman"/>
          <w:color w:val="000000"/>
          <w:sz w:val="32"/>
          <w:szCs w:val="32"/>
          <w:lang w:val="en-US" w:eastAsia="zh-CN"/>
        </w:rPr>
        <w:t>7、设法争取了海南省的项目建设资金。随着省南繁科研育种园影响力扩大，海南当地政府对我省南繁工作力度也在加大，今年陵水县安排了15万元维护资金，海南省财政计划安排100万元首批项目提升资金。</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楷体_GB2312" w:hAnsi="楷体_GB2312" w:eastAsia="楷体_GB2312" w:cs="楷体_GB2312"/>
          <w:b/>
          <w:bCs/>
          <w:color w:val="000000"/>
          <w:sz w:val="32"/>
          <w:szCs w:val="32"/>
          <w:lang w:val="en-US" w:eastAsia="en-US"/>
        </w:rPr>
      </w:pPr>
      <w:r>
        <w:rPr>
          <w:rFonts w:hint="eastAsia" w:ascii="楷体_GB2312" w:hAnsi="楷体_GB2312" w:eastAsia="楷体_GB2312" w:cs="楷体_GB2312"/>
          <w:b/>
          <w:bCs/>
          <w:color w:val="000000"/>
          <w:sz w:val="32"/>
          <w:szCs w:val="32"/>
          <w:lang w:val="en-US" w:eastAsia="zh-CN"/>
        </w:rPr>
        <w:t>（三）对照标准、严格</w:t>
      </w:r>
      <w:r>
        <w:rPr>
          <w:rFonts w:hint="eastAsia" w:ascii="楷体_GB2312" w:hAnsi="楷体_GB2312" w:eastAsia="楷体_GB2312" w:cs="楷体_GB2312"/>
          <w:b/>
          <w:bCs/>
          <w:color w:val="000000"/>
          <w:sz w:val="32"/>
          <w:szCs w:val="32"/>
          <w:lang w:val="en-US" w:eastAsia="en-US"/>
        </w:rPr>
        <w:t>综合财务工作</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lang w:val="en-US" w:eastAsia="en-US"/>
        </w:rPr>
      </w:pPr>
      <w:r>
        <w:rPr>
          <w:rFonts w:hint="eastAsia" w:ascii="Times New Roman" w:hAnsi="Times New Roman" w:eastAsia="仿宋" w:cs="Times New Roman"/>
          <w:color w:val="000000"/>
          <w:sz w:val="32"/>
          <w:szCs w:val="32"/>
          <w:lang w:val="en-US" w:eastAsia="en-US"/>
        </w:rPr>
        <w:t>1、全面开展各项综合工作。完成了中心的事业单位法人证书、银行基本账户等的年检工作；五险一金年检等各项工作按质按量适时完成。</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lang w:val="en-US" w:eastAsia="en-US"/>
        </w:rPr>
      </w:pPr>
      <w:r>
        <w:rPr>
          <w:rFonts w:hint="eastAsia" w:ascii="Times New Roman" w:hAnsi="Times New Roman" w:eastAsia="仿宋" w:cs="Times New Roman"/>
          <w:color w:val="000000"/>
          <w:sz w:val="32"/>
          <w:szCs w:val="32"/>
          <w:lang w:val="en-US" w:eastAsia="en-US"/>
        </w:rPr>
        <w:t>2、积极做好职工职称晋升和薪级工资的调薪晋级工作和每月工资按时发放工作，坚决在国家政策允许的情况下做好中心的福利工作,认真、仔细做好在职人员养老保险和事业年金的核算和缴纳工作，同时做好退休人员一般性事务工作。</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lang w:val="en-US" w:eastAsia="en-US"/>
        </w:rPr>
      </w:pPr>
      <w:r>
        <w:rPr>
          <w:rFonts w:hint="eastAsia" w:ascii="Times New Roman" w:hAnsi="Times New Roman" w:eastAsia="仿宋" w:cs="Times New Roman"/>
          <w:color w:val="000000"/>
          <w:sz w:val="32"/>
          <w:szCs w:val="32"/>
          <w:lang w:val="en-US" w:eastAsia="en-US"/>
        </w:rPr>
        <w:t>3、规范工作纪律。严格执行中心制定的《考勤制度》，要求职工都要按制度执行，严肃上班纪律和工作作风，并与个人年终考核和绩效工资挂钩，杜绝出现迟到早退和无故旷工等现象。</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Times New Roman" w:hAnsi="Times New Roman" w:eastAsia="黑体" w:cs="黑体"/>
          <w:b/>
          <w:bCs/>
          <w:spacing w:val="-8"/>
          <w:sz w:val="31"/>
          <w:szCs w:val="31"/>
        </w:rPr>
      </w:pPr>
      <w:r>
        <w:rPr>
          <w:rFonts w:hint="eastAsia" w:ascii="Times New Roman" w:hAnsi="Times New Roman" w:eastAsia="仿宋" w:cs="Times New Roman"/>
          <w:color w:val="000000"/>
          <w:sz w:val="32"/>
          <w:szCs w:val="32"/>
          <w:lang w:val="en-US" w:eastAsia="en-US"/>
        </w:rPr>
        <w:t>4</w:t>
      </w:r>
      <w:r>
        <w:rPr>
          <w:rFonts w:hint="eastAsia" w:ascii="Times New Roman" w:hAnsi="Times New Roman" w:eastAsia="仿宋" w:cs="Times New Roman"/>
          <w:color w:val="000000"/>
          <w:sz w:val="32"/>
          <w:szCs w:val="32"/>
          <w:lang w:val="en-US" w:eastAsia="zh-CN"/>
        </w:rPr>
        <w:t>、</w:t>
      </w:r>
      <w:r>
        <w:rPr>
          <w:rFonts w:hint="eastAsia" w:ascii="Times New Roman" w:hAnsi="Times New Roman" w:eastAsia="仿宋" w:cs="Times New Roman"/>
          <w:color w:val="000000"/>
          <w:sz w:val="32"/>
          <w:szCs w:val="32"/>
          <w:lang w:val="en-US" w:eastAsia="en-US"/>
        </w:rPr>
        <w:t>节支增效，加强办公室水电管理，获得了2022年度省级公共机构节水型单位称号。</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七、存在的问题及原因分析</w:t>
      </w:r>
    </w:p>
    <w:p>
      <w:pPr>
        <w:snapToGrid w:val="0"/>
        <w:spacing w:line="580" w:lineRule="exact"/>
        <w:ind w:firstLine="640" w:firstLineChars="200"/>
        <w:rPr>
          <w:rFonts w:hint="eastAsia" w:ascii="Times New Roman" w:hAnsi="Times New Roman" w:eastAsia="仿宋_GB2312" w:cs="仿宋_GB2312"/>
          <w:b/>
          <w:bCs/>
          <w:spacing w:val="-4"/>
          <w:sz w:val="32"/>
          <w:szCs w:val="32"/>
        </w:rPr>
      </w:pPr>
      <w:r>
        <w:rPr>
          <w:rFonts w:hint="eastAsia" w:ascii="Times New Roman" w:hAnsi="Times New Roman" w:eastAsia="仿宋" w:cs="Times New Roman"/>
          <w:color w:val="000000"/>
          <w:sz w:val="32"/>
          <w:szCs w:val="32"/>
          <w:lang w:val="en-US" w:eastAsia="zh-CN"/>
        </w:rPr>
        <w:t>绩效管理有待进一步加强。我中心部分项目绩效目标申报欠全面，未根据项目具体内容全面申报数量、质量、时效、成本、经济效益、社会效益、生态效益和可持续性发展指标。</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八、下一步改进措施</w:t>
      </w:r>
    </w:p>
    <w:p>
      <w:pPr>
        <w:keepNext w:val="0"/>
        <w:keepLines w:val="0"/>
        <w:pageBreakBefore w:val="0"/>
        <w:widowControl/>
        <w:numPr>
          <w:ilvl w:val="0"/>
          <w:numId w:val="4"/>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楷体_GB2312" w:cs="楷体_GB2312"/>
          <w:b/>
          <w:bCs/>
          <w:color w:val="000000"/>
          <w:kern w:val="0"/>
          <w:sz w:val="32"/>
          <w:szCs w:val="32"/>
          <w:lang w:val="en-US" w:eastAsia="zh-CN"/>
        </w:rPr>
      </w:pPr>
      <w:r>
        <w:rPr>
          <w:rFonts w:hint="eastAsia" w:ascii="Times New Roman" w:hAnsi="Times New Roman" w:eastAsia="楷体_GB2312" w:cs="楷体_GB2312"/>
          <w:b/>
          <w:bCs/>
          <w:color w:val="000000"/>
          <w:kern w:val="0"/>
          <w:sz w:val="32"/>
          <w:szCs w:val="32"/>
          <w:lang w:val="en-US" w:eastAsia="zh-CN"/>
        </w:rPr>
        <w:t>加强绩效申报管理，提升绩效管理水平。</w:t>
      </w:r>
    </w:p>
    <w:p>
      <w:pPr>
        <w:snapToGrid w:val="0"/>
        <w:spacing w:line="580" w:lineRule="exact"/>
        <w:ind w:firstLine="640" w:firstLineChars="200"/>
        <w:rPr>
          <w:rFonts w:ascii="Times New Roman" w:hAnsi="Times New Roman"/>
        </w:rPr>
      </w:pPr>
      <w:r>
        <w:rPr>
          <w:rFonts w:hint="eastAsia" w:ascii="Times New Roman" w:hAnsi="Times New Roman" w:eastAsia="仿宋" w:cs="Times New Roman"/>
          <w:color w:val="000000"/>
          <w:sz w:val="32"/>
          <w:szCs w:val="32"/>
          <w:lang w:val="en-US" w:eastAsia="zh-CN"/>
        </w:rPr>
        <w:t>我中心将</w:t>
      </w:r>
      <w:r>
        <w:rPr>
          <w:rFonts w:hint="eastAsia" w:ascii="Times New Roman" w:hAnsi="Times New Roman" w:eastAsia="仿宋" w:cs="Times New Roman"/>
          <w:color w:val="000000"/>
          <w:sz w:val="32"/>
          <w:szCs w:val="32"/>
          <w:highlight w:val="none"/>
          <w:lang w:val="en-US" w:eastAsia="zh-CN"/>
        </w:rPr>
        <w:t>对绩效目标申报进行全面规范，保证绩效目标申报的完整性、准确性，强化预算绩效管理责任落实，健全绩效管理机制和制度建设，切实提升绩效管理水平。</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楷体_GB2312" w:cs="楷体_GB2312"/>
          <w:b/>
          <w:bCs/>
          <w:color w:val="000000"/>
          <w:sz w:val="32"/>
          <w:szCs w:val="32"/>
          <w:highlight w:val="none"/>
          <w:lang w:val="en-US" w:eastAsia="zh-CN"/>
        </w:rPr>
      </w:pPr>
      <w:r>
        <w:rPr>
          <w:rFonts w:hint="eastAsia" w:ascii="Times New Roman" w:hAnsi="Times New Roman" w:eastAsia="楷体_GB2312" w:cs="楷体_GB2312"/>
          <w:b/>
          <w:bCs/>
          <w:color w:val="000000"/>
          <w:sz w:val="32"/>
          <w:szCs w:val="32"/>
          <w:highlight w:val="none"/>
          <w:lang w:val="en-US" w:eastAsia="zh-CN"/>
        </w:rPr>
        <w:t>（二）加强内部控制管理。</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lang w:eastAsia="zh-CN"/>
        </w:rPr>
      </w:pPr>
      <w:r>
        <w:rPr>
          <w:rFonts w:ascii="Times New Roman" w:hAnsi="Times New Roman" w:eastAsia="仿宋" w:cs="Times New Roman"/>
          <w:color w:val="000000"/>
          <w:sz w:val="32"/>
          <w:szCs w:val="32"/>
        </w:rPr>
        <w:t>通过</w:t>
      </w:r>
      <w:r>
        <w:rPr>
          <w:rFonts w:hint="eastAsia" w:ascii="Times New Roman" w:hAnsi="Times New Roman" w:eastAsia="仿宋" w:cs="Times New Roman"/>
          <w:color w:val="000000"/>
          <w:sz w:val="32"/>
          <w:szCs w:val="32"/>
        </w:rPr>
        <w:t>加强人员管理、规范财务管理、加强信息管理、建立风险管理机制、加强监督与督促和提升管理水平等措施，可以有效解决内部控制存在的问题，提高内部控制的有效性和适用性</w:t>
      </w:r>
      <w:r>
        <w:rPr>
          <w:rFonts w:hint="eastAsia" w:ascii="Times New Roman" w:hAnsi="Times New Roman" w:eastAsia="仿宋" w:cs="Times New Roman"/>
          <w:color w:val="000000"/>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九、部门整体支出绩效自评结果拟应用和公开情况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楷体_GB2312" w:cs="楷体_GB2312"/>
          <w:b/>
          <w:bCs/>
          <w:color w:val="000000"/>
          <w:kern w:val="0"/>
          <w:sz w:val="32"/>
          <w:szCs w:val="32"/>
          <w:lang w:eastAsia="zh-CN"/>
        </w:rPr>
      </w:pPr>
      <w:r>
        <w:rPr>
          <w:rFonts w:ascii="Times New Roman" w:hAnsi="Times New Roman" w:eastAsia="楷体_GB2312" w:cs="楷体_GB2312"/>
          <w:b/>
          <w:bCs/>
          <w:color w:val="000000"/>
          <w:kern w:val="0"/>
          <w:sz w:val="32"/>
          <w:szCs w:val="32"/>
        </w:rPr>
        <w:t>（一）绩效自评结果拟应用</w:t>
      </w:r>
      <w:r>
        <w:rPr>
          <w:rFonts w:hint="eastAsia" w:ascii="Times New Roman" w:hAnsi="Times New Roman" w:eastAsia="楷体_GB2312" w:cs="楷体_GB2312"/>
          <w:b/>
          <w:bCs/>
          <w:color w:val="000000"/>
          <w:kern w:val="0"/>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Times New Roman" w:hAnsi="Times New Roman" w:eastAsia="仿宋" w:cs="Times New Roman"/>
          <w:color w:val="000000"/>
          <w:sz w:val="32"/>
          <w:szCs w:val="32"/>
        </w:rPr>
      </w:pPr>
      <w:r>
        <w:rPr>
          <w:rFonts w:ascii="Times New Roman" w:hAnsi="Times New Roman" w:eastAsia="仿宋" w:cs="Times New Roman"/>
          <w:color w:val="000000"/>
          <w:sz w:val="32"/>
          <w:szCs w:val="32"/>
        </w:rPr>
        <w:t>通过绩效自评，进一步掌握了部门整体支出使用情况和取得的效果，总结了项目资金管理经验，发现了工作中存在的问题和不足，为下一年提高资金的使用效益、加强财政支出的规范化管理、健全和完善支出项目和资金使用管理办法、完善预算编制、加强绩效目标管理和绩效考核工作提供重要的参考依据。</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楷体_GB2312" w:cs="楷体_GB2312"/>
          <w:b/>
          <w:bCs/>
          <w:color w:val="000000"/>
          <w:kern w:val="0"/>
          <w:sz w:val="32"/>
          <w:szCs w:val="32"/>
          <w:lang w:eastAsia="zh-CN"/>
        </w:rPr>
      </w:pPr>
      <w:r>
        <w:rPr>
          <w:rFonts w:ascii="Times New Roman" w:hAnsi="Times New Roman" w:eastAsia="楷体_GB2312" w:cs="楷体_GB2312"/>
          <w:b/>
          <w:bCs/>
          <w:color w:val="000000"/>
          <w:kern w:val="0"/>
          <w:sz w:val="32"/>
          <w:szCs w:val="32"/>
        </w:rPr>
        <w:t>（二）绩效自评结果公开情况</w:t>
      </w:r>
      <w:r>
        <w:rPr>
          <w:rFonts w:hint="eastAsia" w:ascii="Times New Roman" w:hAnsi="Times New Roman" w:eastAsia="楷体_GB2312" w:cs="楷体_GB2312"/>
          <w:b/>
          <w:bCs/>
          <w:color w:val="000000"/>
          <w:kern w:val="0"/>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Times New Roman" w:hAnsi="Times New Roman" w:eastAsia="黑体" w:cs="黑体"/>
          <w:b/>
          <w:bCs/>
          <w:spacing w:val="-8"/>
          <w:sz w:val="31"/>
          <w:szCs w:val="31"/>
        </w:rPr>
      </w:pPr>
      <w:r>
        <w:rPr>
          <w:rFonts w:hint="eastAsia" w:ascii="Times New Roman" w:hAnsi="Times New Roman" w:eastAsia="仿宋"/>
          <w:color w:val="000000"/>
          <w:sz w:val="32"/>
          <w:szCs w:val="32"/>
          <w:lang w:eastAsia="zh-CN"/>
        </w:rPr>
        <w:t>本单位</w:t>
      </w:r>
      <w:r>
        <w:rPr>
          <w:rFonts w:ascii="Times New Roman" w:hAnsi="Times New Roman" w:eastAsia="仿宋"/>
          <w:color w:val="000000"/>
          <w:sz w:val="32"/>
          <w:szCs w:val="32"/>
        </w:rPr>
        <w:t>的绩效自评报告</w:t>
      </w:r>
      <w:r>
        <w:rPr>
          <w:rFonts w:hint="eastAsia" w:ascii="Times New Roman" w:hAnsi="Times New Roman" w:eastAsia="仿宋"/>
          <w:color w:val="000000"/>
          <w:sz w:val="32"/>
          <w:szCs w:val="32"/>
          <w:lang w:eastAsia="zh-CN"/>
        </w:rPr>
        <w:t>将</w:t>
      </w:r>
      <w:r>
        <w:rPr>
          <w:rFonts w:ascii="Times New Roman" w:hAnsi="Times New Roman" w:eastAsia="仿宋"/>
          <w:color w:val="000000"/>
          <w:sz w:val="32"/>
          <w:szCs w:val="32"/>
        </w:rPr>
        <w:t>在本单位官网或者政府门户网站上予以全文公布，向社会公开，广泛接受群众监督。</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十、 其他需要说明的情况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firstLine="628" w:firstLineChars="200"/>
        <w:textAlignment w:val="baseline"/>
        <w:rPr>
          <w:rFonts w:hint="eastAsia" w:ascii="Times New Roman" w:hAnsi="Times New Roman" w:eastAsia="仿宋_GB2312" w:cs="仿宋_GB2312"/>
          <w:b/>
          <w:bCs/>
          <w:spacing w:val="-3"/>
          <w:sz w:val="32"/>
          <w:szCs w:val="32"/>
          <w:lang w:val="en-US" w:eastAsia="zh-CN"/>
        </w:rPr>
      </w:pPr>
      <w:r>
        <w:rPr>
          <w:rFonts w:hint="eastAsia" w:ascii="Times New Roman" w:hAnsi="Times New Roman" w:eastAsia="仿宋_GB2312" w:cs="仿宋_GB2312"/>
          <w:b/>
          <w:bCs/>
          <w:spacing w:val="-3"/>
          <w:sz w:val="32"/>
          <w:szCs w:val="32"/>
          <w:lang w:val="en-US" w:eastAsia="zh-CN"/>
        </w:rPr>
        <w:t>无。</w:t>
      </w:r>
    </w:p>
    <w:p>
      <w:pPr>
        <w:pStyle w:val="2"/>
        <w:rPr>
          <w:rFonts w:hint="eastAsia"/>
          <w:lang w:val="en-US" w:eastAsia="zh-CN"/>
        </w:rPr>
      </w:pPr>
      <w:r>
        <w:rPr>
          <w:rFonts w:hint="eastAsia"/>
          <w:lang w:val="en-US" w:eastAsia="zh-CN"/>
        </w:rPr>
        <w:br w:type="page"/>
      </w:r>
    </w:p>
    <w:p>
      <w:pPr>
        <w:pStyle w:val="2"/>
        <w:ind w:left="0" w:leftChars="0" w:firstLine="0" w:firstLineChars="0"/>
        <w:rPr>
          <w:rFonts w:hint="eastAsia"/>
          <w:lang w:val="en-US" w:eastAsia="zh-CN"/>
        </w:rPr>
      </w:pPr>
    </w:p>
    <w:tbl>
      <w:tblPr>
        <w:tblStyle w:val="9"/>
        <w:tblW w:w="943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433"/>
        <w:gridCol w:w="947"/>
        <w:gridCol w:w="970"/>
        <w:gridCol w:w="883"/>
        <w:gridCol w:w="926"/>
        <w:gridCol w:w="926"/>
        <w:gridCol w:w="23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80" w:hRule="atLeast"/>
          <w:jc w:val="center"/>
        </w:trPr>
        <w:tc>
          <w:tcPr>
            <w:tcW w:w="9430" w:type="dxa"/>
            <w:gridSpan w:val="7"/>
            <w:shd w:val="clear" w:color="auto" w:fill="auto"/>
            <w:vAlign w:val="center"/>
          </w:tcPr>
          <w:p>
            <w:pPr>
              <w:widowControl/>
              <w:jc w:val="center"/>
              <w:textAlignment w:val="center"/>
              <w:rPr>
                <w:rFonts w:hint="default" w:ascii="Times New Roman" w:hAnsi="Times New Roman" w:eastAsia="宋体" w:cs="Times New Roman"/>
                <w:i w:val="0"/>
                <w:color w:val="000000"/>
                <w:sz w:val="35"/>
                <w:szCs w:val="35"/>
                <w:u w:val="none"/>
              </w:rPr>
            </w:pPr>
            <w:r>
              <w:rPr>
                <w:rStyle w:val="21"/>
                <w:rFonts w:eastAsia="宋体"/>
                <w:lang w:val="en-US" w:eastAsia="zh-CN" w:bidi="ar"/>
              </w:rPr>
              <w:t>2023</w:t>
            </w:r>
            <w:r>
              <w:rPr>
                <w:rFonts w:hint="eastAsia" w:ascii="宋体" w:hAnsi="宋体" w:eastAsia="宋体" w:cs="宋体"/>
                <w:i w:val="0"/>
                <w:color w:val="000000"/>
                <w:kern w:val="0"/>
                <w:sz w:val="35"/>
                <w:szCs w:val="35"/>
                <w:u w:val="none"/>
                <w:lang w:val="en-US" w:eastAsia="zh-CN" w:bidi="ar"/>
              </w:rPr>
              <w:t>年度部门整体支出绩效评价基础数据表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2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Style w:val="22"/>
                <w:lang w:val="en-US" w:eastAsia="zh-CN" w:bidi="ar"/>
              </w:rPr>
              <w:t>财政供养人员情况（人）</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编制数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2023</w:t>
            </w:r>
            <w:r>
              <w:rPr>
                <w:rFonts w:hint="eastAsia" w:ascii="宋体" w:hAnsi="宋体" w:eastAsia="宋体" w:cs="宋体"/>
                <w:b/>
                <w:i w:val="0"/>
                <w:color w:val="000000"/>
                <w:kern w:val="0"/>
                <w:sz w:val="20"/>
                <w:szCs w:val="20"/>
                <w:u w:val="none"/>
                <w:lang w:val="en-US" w:eastAsia="zh-CN" w:bidi="ar"/>
              </w:rPr>
              <w:t>年实际在职人数</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2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20"/>
                <w:szCs w:val="20"/>
                <w:u w:val="none"/>
              </w:rPr>
            </w:pP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Style w:val="22"/>
                <w:lang w:val="en-US" w:eastAsia="zh-CN" w:bidi="ar"/>
              </w:rPr>
              <w:t>经费控制情况（万元）</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2022</w:t>
            </w:r>
            <w:r>
              <w:rPr>
                <w:rFonts w:hint="eastAsia" w:ascii="宋体" w:hAnsi="宋体" w:eastAsia="宋体" w:cs="宋体"/>
                <w:b/>
                <w:i w:val="0"/>
                <w:color w:val="000000"/>
                <w:kern w:val="0"/>
                <w:sz w:val="20"/>
                <w:szCs w:val="20"/>
                <w:u w:val="none"/>
                <w:lang w:val="en-US" w:eastAsia="zh-CN" w:bidi="ar"/>
              </w:rPr>
              <w:t>年决算数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2023</w:t>
            </w:r>
            <w:r>
              <w:rPr>
                <w:rFonts w:hint="eastAsia" w:ascii="宋体" w:hAnsi="宋体" w:eastAsia="宋体" w:cs="宋体"/>
                <w:b/>
                <w:i w:val="0"/>
                <w:color w:val="000000"/>
                <w:kern w:val="0"/>
                <w:sz w:val="20"/>
                <w:szCs w:val="20"/>
                <w:u w:val="none"/>
                <w:lang w:val="en-US" w:eastAsia="zh-CN" w:bidi="ar"/>
              </w:rPr>
              <w:t>年预算数</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2023</w:t>
            </w:r>
            <w:r>
              <w:rPr>
                <w:rFonts w:hint="eastAsia" w:ascii="宋体" w:hAnsi="宋体" w:eastAsia="宋体" w:cs="宋体"/>
                <w:b/>
                <w:i w:val="0"/>
                <w:color w:val="000000"/>
                <w:kern w:val="0"/>
                <w:sz w:val="20"/>
                <w:szCs w:val="20"/>
                <w:u w:val="none"/>
                <w:lang w:val="en-US" w:eastAsia="zh-CN" w:bidi="ar"/>
              </w:rPr>
              <w:t>年决算数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2"/>
                <w:lang w:val="en-US" w:eastAsia="zh-CN" w:bidi="ar"/>
              </w:rPr>
              <w:t>三公经费</w:t>
            </w:r>
            <w:r>
              <w:rPr>
                <w:rStyle w:val="23"/>
                <w:rFonts w:eastAsia="宋体"/>
                <w:lang w:val="en-US" w:eastAsia="zh-CN" w:bidi="ar"/>
              </w:rPr>
              <w:t>:</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0.40 </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0.40 </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3"/>
                <w:rFonts w:eastAsia="宋体"/>
                <w:lang w:val="en-US" w:eastAsia="zh-CN" w:bidi="ar"/>
              </w:rPr>
              <w:t xml:space="preserve">  1</w:t>
            </w:r>
            <w:r>
              <w:rPr>
                <w:rStyle w:val="22"/>
                <w:lang w:val="en-US" w:eastAsia="zh-CN" w:bidi="ar"/>
              </w:rPr>
              <w:t>、公务用车购置和维护经费</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3"/>
                <w:rFonts w:eastAsia="宋体"/>
                <w:lang w:val="en-US" w:eastAsia="zh-CN" w:bidi="ar"/>
              </w:rPr>
              <w:t xml:space="preserve">  </w:t>
            </w:r>
            <w:r>
              <w:rPr>
                <w:rStyle w:val="22"/>
                <w:lang w:val="en-US" w:eastAsia="zh-CN" w:bidi="ar"/>
              </w:rPr>
              <w:t>其中：公车购置</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3"/>
                <w:rFonts w:eastAsia="宋体"/>
                <w:lang w:val="en-US" w:eastAsia="zh-CN" w:bidi="ar"/>
              </w:rPr>
              <w:t xml:space="preserve">        </w:t>
            </w:r>
            <w:r>
              <w:rPr>
                <w:rStyle w:val="22"/>
                <w:lang w:val="en-US" w:eastAsia="zh-CN" w:bidi="ar"/>
              </w:rPr>
              <w:t>公车运行维护</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3"/>
                <w:rFonts w:eastAsia="宋体"/>
                <w:lang w:val="en-US" w:eastAsia="zh-CN" w:bidi="ar"/>
              </w:rPr>
              <w:t xml:space="preserve">  2</w:t>
            </w:r>
            <w:r>
              <w:rPr>
                <w:rStyle w:val="22"/>
                <w:lang w:val="en-US" w:eastAsia="zh-CN" w:bidi="ar"/>
              </w:rPr>
              <w:t>、出国经费</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3"/>
                <w:rFonts w:eastAsia="宋体"/>
                <w:lang w:val="en-US" w:eastAsia="zh-CN" w:bidi="ar"/>
              </w:rPr>
              <w:t xml:space="preserve">  3</w:t>
            </w:r>
            <w:r>
              <w:rPr>
                <w:rStyle w:val="22"/>
                <w:lang w:val="en-US" w:eastAsia="zh-CN" w:bidi="ar"/>
              </w:rPr>
              <w:t>、公务接待</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0.40 </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0.40 </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2"/>
                <w:lang w:val="en-US" w:eastAsia="zh-CN" w:bidi="ar"/>
              </w:rPr>
              <w:t>项目支出：</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930.00 </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613.68 </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335.41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3"/>
                <w:rFonts w:eastAsia="宋体"/>
                <w:lang w:val="en-US" w:eastAsia="zh-CN" w:bidi="ar"/>
              </w:rPr>
              <w:t xml:space="preserve">  1</w:t>
            </w:r>
            <w:r>
              <w:rPr>
                <w:rStyle w:val="22"/>
                <w:lang w:val="en-US" w:eastAsia="zh-CN" w:bidi="ar"/>
              </w:rPr>
              <w:t>、其他事业发展资金</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850.00 </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523.68 </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245.41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5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3"/>
                <w:rFonts w:eastAsia="宋体"/>
                <w:lang w:val="en-US" w:eastAsia="zh-CN" w:bidi="ar"/>
              </w:rPr>
              <w:t xml:space="preserve">  2</w:t>
            </w:r>
            <w:r>
              <w:rPr>
                <w:rStyle w:val="22"/>
                <w:lang w:val="en-US" w:eastAsia="zh-CN" w:bidi="ar"/>
              </w:rPr>
              <w:t>、省级专项资金</w:t>
            </w:r>
            <w:r>
              <w:rPr>
                <w:rStyle w:val="23"/>
                <w:rFonts w:eastAsia="宋体"/>
                <w:lang w:val="en-US" w:eastAsia="zh-CN" w:bidi="ar"/>
              </w:rPr>
              <w:t>-</w:t>
            </w:r>
            <w:r>
              <w:rPr>
                <w:rStyle w:val="22"/>
                <w:lang w:val="en-US" w:eastAsia="zh-CN" w:bidi="ar"/>
              </w:rPr>
              <w:t>省级农作物、畜禽种业安全监管资金</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10.00 </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5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3"/>
                <w:rFonts w:eastAsia="宋体"/>
                <w:lang w:val="en-US" w:eastAsia="zh-CN" w:bidi="ar"/>
              </w:rPr>
              <w:t xml:space="preserve">  3</w:t>
            </w:r>
            <w:r>
              <w:rPr>
                <w:rStyle w:val="22"/>
                <w:lang w:val="en-US" w:eastAsia="zh-CN" w:bidi="ar"/>
              </w:rPr>
              <w:t>、省级专项资金</w:t>
            </w:r>
            <w:r>
              <w:rPr>
                <w:rStyle w:val="23"/>
                <w:rFonts w:eastAsia="宋体"/>
                <w:lang w:val="en-US" w:eastAsia="zh-CN" w:bidi="ar"/>
              </w:rPr>
              <w:t>-</w:t>
            </w:r>
            <w:r>
              <w:rPr>
                <w:rStyle w:val="22"/>
                <w:lang w:val="en-US" w:eastAsia="zh-CN" w:bidi="ar"/>
              </w:rPr>
              <w:t>农作物种子南繁基地管理</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80.00 </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80.00 </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80.00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2"/>
                <w:lang w:val="en-US" w:eastAsia="zh-CN" w:bidi="ar"/>
              </w:rPr>
              <w:t>公用经费</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17.27 </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44.00 </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35.21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3"/>
                <w:rFonts w:eastAsia="宋体"/>
                <w:lang w:val="en-US" w:eastAsia="zh-CN" w:bidi="ar"/>
              </w:rPr>
              <w:t xml:space="preserve">  </w:t>
            </w:r>
            <w:r>
              <w:rPr>
                <w:rStyle w:val="22"/>
                <w:lang w:val="en-US" w:eastAsia="zh-CN" w:bidi="ar"/>
              </w:rPr>
              <w:t>其中：办公经费</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2.24 </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2.00 </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1.68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3"/>
                <w:rFonts w:eastAsia="宋体"/>
                <w:lang w:val="en-US" w:eastAsia="zh-CN" w:bidi="ar"/>
              </w:rPr>
              <w:t xml:space="preserve">        </w:t>
            </w:r>
            <w:r>
              <w:rPr>
                <w:rStyle w:val="22"/>
                <w:lang w:val="en-US" w:eastAsia="zh-CN" w:bidi="ar"/>
              </w:rPr>
              <w:t>水费、电费、差旅费</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4.80 </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2.33 </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2.46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3"/>
                <w:rFonts w:eastAsia="宋体"/>
                <w:lang w:val="en-US" w:eastAsia="zh-CN" w:bidi="ar"/>
              </w:rPr>
              <w:t xml:space="preserve">        </w:t>
            </w:r>
            <w:r>
              <w:rPr>
                <w:rStyle w:val="22"/>
                <w:lang w:val="en-US" w:eastAsia="zh-CN" w:bidi="ar"/>
              </w:rPr>
              <w:t>会议费、培训费</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1.00 </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1.00 </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1.34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2"/>
                <w:lang w:val="en-US" w:eastAsia="zh-CN" w:bidi="ar"/>
              </w:rPr>
              <w:t>政府采购金额</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2"/>
                <w:lang w:val="en-US" w:eastAsia="zh-CN" w:bidi="ar"/>
              </w:rPr>
              <w:t>部门基本支出预算调整</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2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Style w:val="22"/>
                <w:lang w:val="en-US" w:eastAsia="zh-CN" w:bidi="ar"/>
              </w:rPr>
              <w:t>楼堂馆所控制情况（</w:t>
            </w:r>
            <w:r>
              <w:rPr>
                <w:rStyle w:val="23"/>
                <w:rFonts w:eastAsia="宋体"/>
                <w:lang w:val="en-US" w:eastAsia="zh-CN" w:bidi="ar"/>
              </w:rPr>
              <w:t>2023</w:t>
            </w:r>
            <w:r>
              <w:rPr>
                <w:rStyle w:val="22"/>
                <w:lang w:val="en-US" w:eastAsia="zh-CN" w:bidi="ar"/>
              </w:rPr>
              <w:t>年完工项目）</w:t>
            </w:r>
          </w:p>
        </w:tc>
        <w:tc>
          <w:tcPr>
            <w:tcW w:w="9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2"/>
                <w:lang w:val="en-US" w:eastAsia="zh-CN" w:bidi="ar"/>
              </w:rPr>
              <w:t>批复规模（㎡）</w:t>
            </w:r>
          </w:p>
        </w:tc>
        <w:tc>
          <w:tcPr>
            <w:tcW w:w="9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2"/>
                <w:lang w:val="en-US" w:eastAsia="zh-CN" w:bidi="ar"/>
              </w:rPr>
              <w:t>实际规模（㎡）</w:t>
            </w:r>
          </w:p>
        </w:tc>
        <w:tc>
          <w:tcPr>
            <w:tcW w:w="8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2"/>
                <w:lang w:val="en-US" w:eastAsia="zh-CN" w:bidi="ar"/>
              </w:rPr>
              <w:t>规模控制率</w:t>
            </w: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2"/>
                <w:lang w:val="en-US" w:eastAsia="zh-CN" w:bidi="ar"/>
              </w:rPr>
              <w:t>预算投资（万元）</w:t>
            </w: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2"/>
                <w:lang w:val="en-US" w:eastAsia="zh-CN" w:bidi="ar"/>
              </w:rPr>
              <w:t>实际投资（万元）</w:t>
            </w:r>
          </w:p>
        </w:tc>
        <w:tc>
          <w:tcPr>
            <w:tcW w:w="23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2"/>
                <w:lang w:val="en-US" w:eastAsia="zh-CN" w:bidi="ar"/>
              </w:rPr>
              <w:t>投资概算控制率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2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20"/>
                <w:szCs w:val="20"/>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0"/>
                <w:szCs w:val="20"/>
                <w:u w:val="none"/>
              </w:rPr>
            </w:pPr>
          </w:p>
        </w:tc>
        <w:tc>
          <w:tcPr>
            <w:tcW w:w="9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0"/>
                <w:szCs w:val="20"/>
                <w:u w:val="none"/>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0"/>
                <w:szCs w:val="20"/>
                <w:u w:val="none"/>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0"/>
                <w:szCs w:val="20"/>
                <w:u w:val="none"/>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0"/>
                <w:szCs w:val="20"/>
                <w:u w:val="none"/>
              </w:rPr>
            </w:pPr>
          </w:p>
        </w:tc>
        <w:tc>
          <w:tcPr>
            <w:tcW w:w="2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2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20"/>
                <w:szCs w:val="20"/>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0"/>
                <w:szCs w:val="20"/>
                <w:u w:val="none"/>
              </w:rPr>
            </w:pPr>
          </w:p>
        </w:tc>
        <w:tc>
          <w:tcPr>
            <w:tcW w:w="9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0"/>
                <w:szCs w:val="20"/>
                <w:u w:val="none"/>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0"/>
                <w:szCs w:val="20"/>
                <w:u w:val="none"/>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0"/>
                <w:szCs w:val="20"/>
                <w:u w:val="none"/>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0"/>
                <w:szCs w:val="20"/>
                <w:u w:val="none"/>
              </w:rPr>
            </w:pPr>
          </w:p>
        </w:tc>
        <w:tc>
          <w:tcPr>
            <w:tcW w:w="2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2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20"/>
                <w:szCs w:val="20"/>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c>
          <w:tcPr>
            <w:tcW w:w="23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2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eastAsia="宋体" w:cs="Times New Roman"/>
                <w:i w:val="0"/>
                <w:color w:val="000000"/>
                <w:sz w:val="20"/>
                <w:szCs w:val="20"/>
                <w:u w:val="none"/>
              </w:rPr>
            </w:pPr>
            <w:r>
              <w:rPr>
                <w:rStyle w:val="22"/>
                <w:lang w:val="en-US" w:eastAsia="zh-CN" w:bidi="ar"/>
              </w:rPr>
              <w:t>厉行节约保障措施</w:t>
            </w:r>
          </w:p>
        </w:tc>
        <w:tc>
          <w:tcPr>
            <w:tcW w:w="699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9430" w:type="dxa"/>
            <w:gridSpan w:val="7"/>
            <w:shd w:val="clear" w:color="auto" w:fill="auto"/>
            <w:vAlign w:val="center"/>
          </w:tcPr>
          <w:p>
            <w:pPr>
              <w:rPr>
                <w:rFonts w:hint="default" w:ascii="Times New Roman" w:hAnsi="Times New Roman" w:eastAsia="宋体" w:cs="Times New Roman"/>
                <w:i w:val="0"/>
                <w:color w:val="000000"/>
                <w:sz w:val="20"/>
                <w:szCs w:val="20"/>
                <w:u w:val="none"/>
              </w:rPr>
            </w:pPr>
            <w:r>
              <w:rPr>
                <w:rStyle w:val="22"/>
                <w:lang w:val="en-US" w:eastAsia="zh-CN" w:bidi="ar"/>
              </w:rPr>
              <w:t>说明：</w:t>
            </w:r>
            <w:r>
              <w:rPr>
                <w:rStyle w:val="23"/>
                <w:rFonts w:eastAsia="宋体"/>
                <w:lang w:val="en-US" w:eastAsia="zh-CN" w:bidi="ar"/>
              </w:rPr>
              <w:t>“</w:t>
            </w:r>
            <w:r>
              <w:rPr>
                <w:rStyle w:val="22"/>
                <w:lang w:val="en-US" w:eastAsia="zh-CN" w:bidi="ar"/>
              </w:rPr>
              <w:t>项目支出</w:t>
            </w:r>
            <w:r>
              <w:rPr>
                <w:rStyle w:val="23"/>
                <w:rFonts w:eastAsia="宋体"/>
                <w:lang w:val="en-US" w:eastAsia="zh-CN" w:bidi="ar"/>
              </w:rPr>
              <w:t>”</w:t>
            </w:r>
            <w:r>
              <w:rPr>
                <w:rStyle w:val="22"/>
                <w:lang w:val="en-US" w:eastAsia="zh-CN" w:bidi="ar"/>
              </w:rPr>
              <w:t>需要填报基本支出以外的所有项目支出情况，</w:t>
            </w:r>
            <w:r>
              <w:rPr>
                <w:rStyle w:val="23"/>
                <w:rFonts w:eastAsia="宋体"/>
                <w:lang w:val="en-US" w:eastAsia="zh-CN" w:bidi="ar"/>
              </w:rPr>
              <w:t>“</w:t>
            </w:r>
            <w:r>
              <w:rPr>
                <w:rStyle w:val="22"/>
                <w:lang w:val="en-US" w:eastAsia="zh-CN" w:bidi="ar"/>
              </w:rPr>
              <w:t>公用经费</w:t>
            </w:r>
            <w:r>
              <w:rPr>
                <w:rStyle w:val="23"/>
                <w:rFonts w:eastAsia="宋体"/>
                <w:lang w:val="en-US" w:eastAsia="zh-CN" w:bidi="ar"/>
              </w:rPr>
              <w:t>”</w:t>
            </w:r>
            <w:r>
              <w:rPr>
                <w:rStyle w:val="22"/>
                <w:lang w:val="en-US" w:eastAsia="zh-CN" w:bidi="ar"/>
              </w:rPr>
              <w:t>填报基本支出中的一般商品和服务支出。</w:t>
            </w:r>
          </w:p>
        </w:tc>
      </w:tr>
    </w:tbl>
    <w:p>
      <w:pPr>
        <w:pStyle w:val="15"/>
        <w:jc w:val="center"/>
        <w:rPr>
          <w:sz w:val="72"/>
          <w:szCs w:val="72"/>
        </w:rPr>
      </w:pPr>
    </w:p>
    <w:p>
      <w:pPr>
        <w:jc w:val="left"/>
        <w:rPr>
          <w:rFonts w:cs="黑体" w:asciiTheme="minorEastAsia" w:hAnsiTheme="minorEastAsia"/>
          <w:color w:val="000000"/>
          <w:kern w:val="0"/>
          <w:sz w:val="32"/>
          <w:szCs w:val="32"/>
        </w:rPr>
      </w:pPr>
    </w:p>
    <w:p>
      <w:pPr>
        <w:pStyle w:val="2"/>
        <w:rPr>
          <w:rFonts w:cs="黑体" w:asciiTheme="minorEastAsia" w:hAnsiTheme="minorEastAsia"/>
          <w:color w:val="000000"/>
          <w:kern w:val="0"/>
          <w:sz w:val="32"/>
          <w:szCs w:val="32"/>
        </w:rPr>
      </w:pPr>
    </w:p>
    <w:p>
      <w:pPr>
        <w:pStyle w:val="2"/>
        <w:rPr>
          <w:rFonts w:cs="黑体" w:asciiTheme="minorEastAsia" w:hAnsiTheme="minorEastAsia"/>
          <w:color w:val="000000"/>
          <w:kern w:val="0"/>
          <w:sz w:val="32"/>
          <w:szCs w:val="32"/>
        </w:rPr>
      </w:pPr>
      <w:r>
        <w:rPr>
          <w:rFonts w:cs="黑体" w:asciiTheme="minorEastAsia" w:hAnsiTheme="minorEastAsia"/>
          <w:color w:val="000000"/>
          <w:kern w:val="0"/>
          <w:sz w:val="32"/>
          <w:szCs w:val="32"/>
        </w:rPr>
        <w:br w:type="page"/>
      </w:r>
    </w:p>
    <w:tbl>
      <w:tblPr>
        <w:tblStyle w:val="9"/>
        <w:tblW w:w="1046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75"/>
        <w:gridCol w:w="1845"/>
        <w:gridCol w:w="2015"/>
        <w:gridCol w:w="1522"/>
        <w:gridCol w:w="737"/>
        <w:gridCol w:w="735"/>
        <w:gridCol w:w="540"/>
        <w:gridCol w:w="645"/>
        <w:gridCol w:w="14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05" w:hRule="atLeast"/>
        </w:trPr>
        <w:tc>
          <w:tcPr>
            <w:tcW w:w="10469" w:type="dxa"/>
            <w:gridSpan w:val="9"/>
            <w:shd w:val="clear" w:color="auto" w:fill="auto"/>
            <w:vAlign w:val="center"/>
          </w:tcPr>
          <w:p>
            <w:pPr>
              <w:widowControl/>
              <w:jc w:val="center"/>
              <w:textAlignment w:val="center"/>
              <w:rPr>
                <w:rFonts w:hint="default" w:ascii="Times New Roman" w:hAnsi="Times New Roman" w:eastAsia="宋体" w:cs="Times New Roman"/>
                <w:i w:val="0"/>
                <w:color w:val="000000"/>
                <w:sz w:val="35"/>
                <w:szCs w:val="35"/>
                <w:u w:val="none"/>
              </w:rPr>
            </w:pPr>
            <w:r>
              <w:rPr>
                <w:rFonts w:hint="default" w:ascii="Times New Roman" w:hAnsi="Times New Roman" w:eastAsia="宋体" w:cs="Times New Roman"/>
                <w:i w:val="0"/>
                <w:color w:val="000000"/>
                <w:kern w:val="0"/>
                <w:sz w:val="35"/>
                <w:szCs w:val="35"/>
                <w:u w:val="none"/>
                <w:lang w:val="en-US" w:eastAsia="zh-CN" w:bidi="ar"/>
              </w:rPr>
              <w:t>2023年度部门整体支出绩效自评表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 w:hRule="atLeast"/>
        </w:trPr>
        <w:tc>
          <w:tcPr>
            <w:tcW w:w="48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省级预算部门、单位名称</w:t>
            </w:r>
          </w:p>
        </w:tc>
        <w:tc>
          <w:tcPr>
            <w:tcW w:w="563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湖南省农作物种子南繁中心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年度预算申请（万元）</w:t>
            </w:r>
          </w:p>
        </w:tc>
        <w:tc>
          <w:tcPr>
            <w:tcW w:w="38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38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223.00 </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770.92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476.91 </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 xml:space="preserve">10.00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0.62 </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61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按收入性质分：</w:t>
            </w:r>
          </w:p>
        </w:tc>
        <w:tc>
          <w:tcPr>
            <w:tcW w:w="33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61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其中：一般公共预算：257.24</w:t>
            </w:r>
          </w:p>
        </w:tc>
        <w:tc>
          <w:tcPr>
            <w:tcW w:w="33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其中：基本支出：141.50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61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政府性基金拨款：</w:t>
            </w:r>
          </w:p>
        </w:tc>
        <w:tc>
          <w:tcPr>
            <w:tcW w:w="33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项目支出：335.41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61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纳入专户管理的非税收入拨款：</w:t>
            </w:r>
          </w:p>
        </w:tc>
        <w:tc>
          <w:tcPr>
            <w:tcW w:w="33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61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其他资金：513.68</w:t>
            </w:r>
          </w:p>
        </w:tc>
        <w:tc>
          <w:tcPr>
            <w:tcW w:w="33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 w:hRule="atLeast"/>
        </w:trPr>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611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37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611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c>
          <w:tcPr>
            <w:tcW w:w="337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61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湖南省南繁科研育种园建设逐步完成。</w:t>
            </w:r>
          </w:p>
        </w:tc>
        <w:tc>
          <w:tcPr>
            <w:tcW w:w="33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湖南省南繁科研育种园建设逐步完成。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trPr>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绩效指标</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自评得分</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产出指标(50分)</w:t>
            </w: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务工人员收入增加</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种子纯度种植鉴定分数增加</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种子选育品种率增加</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无</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效益指标（30分）</w:t>
            </w: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bookmarkStart w:id="3" w:name="_GoBack"/>
            <w:bookmarkEnd w:id="3"/>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经济效益增加</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社会效益增加</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无</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可持续影响指标</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无</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（10分）</w:t>
            </w: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满意度指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标</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服务对象满意度≥96%</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 w:hRule="atLeast"/>
        </w:trPr>
        <w:tc>
          <w:tcPr>
            <w:tcW w:w="782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96.19 </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r>
    </w:tbl>
    <w:p>
      <w:pPr>
        <w:pStyle w:val="2"/>
        <w:ind w:left="0" w:leftChars="0" w:firstLine="0" w:firstLineChars="0"/>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68362"/>
    <w:multiLevelType w:val="singleLevel"/>
    <w:tmpl w:val="B1668362"/>
    <w:lvl w:ilvl="0" w:tentative="0">
      <w:start w:val="1"/>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D68B4A"/>
    <w:multiLevelType w:val="singleLevel"/>
    <w:tmpl w:val="5AD68B4A"/>
    <w:lvl w:ilvl="0" w:tentative="0">
      <w:start w:val="1"/>
      <w:numFmt w:val="chineseCounting"/>
      <w:suff w:val="nothing"/>
      <w:lvlText w:val="（%1）"/>
      <w:lvlJc w:val="left"/>
      <w:rPr>
        <w:rFonts w:hint="eastAsia"/>
      </w:rPr>
    </w:lvl>
  </w:abstractNum>
  <w:abstractNum w:abstractNumId="3">
    <w:nsid w:val="5FC3467D"/>
    <w:multiLevelType w:val="singleLevel"/>
    <w:tmpl w:val="5FC3467D"/>
    <w:lvl w:ilvl="0" w:tentative="0">
      <w:start w:val="3"/>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NzQ4ZWFiZmQ4NTRhOWRkZTk3YTMwMjlmMmZhYmUifQ=="/>
  </w:docVars>
  <w:rsids>
    <w:rsidRoot w:val="00000000"/>
    <w:rsid w:val="31A23DD5"/>
    <w:rsid w:val="49663097"/>
    <w:rsid w:val="4B72592C"/>
    <w:rsid w:val="66351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Balloon Text"/>
    <w:basedOn w:val="1"/>
    <w:link w:val="17"/>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2"/>
    <w:semiHidden/>
    <w:qFormat/>
    <w:uiPriority w:val="0"/>
    <w:pPr>
      <w:snapToGrid w:val="0"/>
      <w:jc w:val="left"/>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2">
    <w:name w:val="Strong"/>
    <w:basedOn w:val="11"/>
    <w:qFormat/>
    <w:uiPriority w:val="22"/>
    <w:rPr>
      <w:b/>
    </w:rPr>
  </w:style>
  <w:style w:type="character" w:customStyle="1" w:styleId="13">
    <w:name w:val="页眉 Char"/>
    <w:basedOn w:val="11"/>
    <w:link w:val="7"/>
    <w:qFormat/>
    <w:uiPriority w:val="99"/>
    <w:rPr>
      <w:sz w:val="18"/>
      <w:szCs w:val="18"/>
    </w:rPr>
  </w:style>
  <w:style w:type="character" w:customStyle="1" w:styleId="14">
    <w:name w:val="页脚 Char"/>
    <w:basedOn w:val="11"/>
    <w:link w:val="6"/>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customStyle="1" w:styleId="16">
    <w:name w:val="List Paragraph"/>
    <w:basedOn w:val="1"/>
    <w:qFormat/>
    <w:uiPriority w:val="34"/>
    <w:pPr>
      <w:ind w:firstLine="420" w:firstLineChars="200"/>
    </w:pPr>
  </w:style>
  <w:style w:type="character" w:customStyle="1" w:styleId="17">
    <w:name w:val="批注框文本 Char"/>
    <w:basedOn w:val="11"/>
    <w:link w:val="5"/>
    <w:semiHidden/>
    <w:qFormat/>
    <w:uiPriority w:val="99"/>
    <w:rPr>
      <w:sz w:val="18"/>
      <w:szCs w:val="18"/>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font21"/>
    <w:basedOn w:val="11"/>
    <w:qFormat/>
    <w:uiPriority w:val="0"/>
    <w:rPr>
      <w:rFonts w:hint="eastAsia" w:ascii="宋体" w:hAnsi="宋体" w:eastAsia="宋体" w:cs="宋体"/>
      <w:color w:val="000000"/>
      <w:sz w:val="24"/>
      <w:szCs w:val="24"/>
      <w:u w:val="none"/>
    </w:rPr>
  </w:style>
  <w:style w:type="character" w:customStyle="1" w:styleId="20">
    <w:name w:val="font11"/>
    <w:basedOn w:val="11"/>
    <w:qFormat/>
    <w:uiPriority w:val="0"/>
    <w:rPr>
      <w:rFonts w:hint="eastAsia" w:ascii="宋体" w:hAnsi="宋体" w:eastAsia="宋体" w:cs="宋体"/>
      <w:color w:val="000000"/>
      <w:sz w:val="24"/>
      <w:szCs w:val="24"/>
      <w:u w:val="none"/>
    </w:rPr>
  </w:style>
  <w:style w:type="character" w:customStyle="1" w:styleId="21">
    <w:name w:val="font41"/>
    <w:basedOn w:val="11"/>
    <w:qFormat/>
    <w:uiPriority w:val="0"/>
    <w:rPr>
      <w:rFonts w:hint="default" w:ascii="Times New Roman" w:hAnsi="Times New Roman" w:cs="Times New Roman"/>
      <w:color w:val="000000"/>
      <w:sz w:val="35"/>
      <w:szCs w:val="35"/>
      <w:u w:val="none"/>
    </w:rPr>
  </w:style>
  <w:style w:type="character" w:customStyle="1" w:styleId="22">
    <w:name w:val="font31"/>
    <w:basedOn w:val="11"/>
    <w:qFormat/>
    <w:uiPriority w:val="0"/>
    <w:rPr>
      <w:rFonts w:hint="eastAsia" w:ascii="宋体" w:hAnsi="宋体" w:eastAsia="宋体" w:cs="宋体"/>
      <w:color w:val="000000"/>
      <w:sz w:val="20"/>
      <w:szCs w:val="20"/>
      <w:u w:val="none"/>
    </w:rPr>
  </w:style>
  <w:style w:type="character" w:customStyle="1" w:styleId="23">
    <w:name w:val="font71"/>
    <w:basedOn w:val="11"/>
    <w:uiPriority w:val="0"/>
    <w:rPr>
      <w:rFonts w:hint="default" w:ascii="Times New Roman" w:hAnsi="Times New Roman" w:cs="Times New Roman"/>
      <w:color w:val="000000"/>
      <w:sz w:val="20"/>
      <w:szCs w:val="20"/>
      <w:u w:val="none"/>
    </w:rPr>
  </w:style>
  <w:style w:type="character" w:customStyle="1" w:styleId="24">
    <w:name w:val="font61"/>
    <w:basedOn w:val="11"/>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38</Pages>
  <Words>14375</Words>
  <Characters>17544</Characters>
  <Lines>63</Lines>
  <Paragraphs>18</Paragraphs>
  <TotalTime>1</TotalTime>
  <ScaleCrop>false</ScaleCrop>
  <LinksUpToDate>false</LinksUpToDate>
  <CharactersWithSpaces>18659</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2020-07-11T10:32:00Z</dcterms:created>
  <dc:creator>李航 null</dc:creator>
  <cp:lastModifiedBy>lenovo</cp:lastModifiedBy>
  <cp:lastPrinted>2024-08-30T10:14:00Z</cp:lastPrinted>
  <dcterms:modified xsi:type="dcterms:W3CDTF">2024-09-06T07:23:19Z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2DBD6037C7994696881FDE4F0FBAA9F2_12</vt:lpwstr>
  </property>
</Properties>
</file>