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湖南省优质农产品开发服务中心</w:t>
      </w: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湖南省优质农产品开发服务中心</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湖南省优质农产品开发服务中心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640" w:firstLineChars="200"/>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为名特优新农产品开发提供技术开发与质量管理服务；名特优新农产品评价方法制定及标准化管理；优质农产品质量认证；优质品牌农产品体系建设；组织协调优质农产品资源开发和产销对接工作；承担优质农产品信息网络建设，开展信息咨询服务</w:t>
      </w:r>
      <w:r>
        <w:rPr>
          <w:rFonts w:hint="eastAsia" w:ascii="Times New Roman" w:hAnsi="Times New Roman" w:eastAsia="仿宋_GB2312" w:cs="仿宋_GB2312"/>
          <w:sz w:val="32"/>
          <w:szCs w:val="32"/>
          <w:lang w:eastAsia="zh-CN"/>
        </w:rPr>
        <w:t>。</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湖南省优质农产品开发服务中心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办公室、财务人事部、业务部、资产管理部四个部门。</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湖南省优质农产品开发服务中心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湖南省优质农产品开发服务中心</w:t>
      </w:r>
      <w:r>
        <w:rPr>
          <w:rFonts w:hint="eastAsia" w:ascii="Times New Roman" w:hAnsi="Times New Roman" w:eastAsia="仿宋_GB2312" w:cs="仿宋_GB2312"/>
          <w:bCs/>
          <w:kern w:val="0"/>
          <w:sz w:val="32"/>
          <w:szCs w:val="32"/>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0"/>
        <w:tblW w:w="13472" w:type="dxa"/>
        <w:tblInd w:w="9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792"/>
        <w:gridCol w:w="586"/>
        <w:gridCol w:w="867"/>
        <w:gridCol w:w="4232"/>
        <w:gridCol w:w="586"/>
        <w:gridCol w:w="24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472"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7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3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0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792"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部门：湖南省优质农产品开发服务中心</w:t>
            </w:r>
          </w:p>
        </w:tc>
        <w:tc>
          <w:tcPr>
            <w:tcW w:w="5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3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0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2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432.99</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131.24</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564.23</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25.64</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591.93</w:t>
            </w: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7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47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tbl>
      <w:tblPr>
        <w:tblStyle w:val="10"/>
        <w:tblW w:w="14972" w:type="dxa"/>
        <w:tblInd w:w="2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907"/>
        <w:gridCol w:w="1997"/>
        <w:gridCol w:w="1741"/>
        <w:gridCol w:w="1741"/>
        <w:gridCol w:w="1575"/>
        <w:gridCol w:w="1741"/>
        <w:gridCol w:w="1575"/>
        <w:gridCol w:w="1575"/>
        <w:gridCol w:w="15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972"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9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4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4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173"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部门：湖南省优质农产品开发服务中心</w:t>
            </w:r>
          </w:p>
        </w:tc>
        <w:tc>
          <w:tcPr>
            <w:tcW w:w="174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19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564.23</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432.99</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131.24</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1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564.23</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432.99</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131.24</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1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564.23</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432.99</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131.24</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1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1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391.05</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259.82</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131.24</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1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972"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rPr>
          <w:rFonts w:ascii="Times New Roman" w:hAnsi="Times New Roman" w:eastAsia="仿宋_GB2312" w:cs="Times New Roman"/>
          <w:bCs/>
          <w:kern w:val="0"/>
          <w:szCs w:val="21"/>
        </w:rPr>
        <w:br w:type="page"/>
      </w:r>
    </w:p>
    <w:tbl>
      <w:tblPr>
        <w:tblStyle w:val="10"/>
        <w:tblW w:w="14273" w:type="dxa"/>
        <w:tblInd w:w="5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2"/>
        <w:gridCol w:w="252"/>
        <w:gridCol w:w="718"/>
        <w:gridCol w:w="3313"/>
        <w:gridCol w:w="1624"/>
        <w:gridCol w:w="1603"/>
        <w:gridCol w:w="1603"/>
        <w:gridCol w:w="1451"/>
        <w:gridCol w:w="1451"/>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273"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5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1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3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2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0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0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00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6159"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部门：湖南省优质农产品开发服务中心</w:t>
            </w:r>
          </w:p>
        </w:tc>
        <w:tc>
          <w:tcPr>
            <w:tcW w:w="160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0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00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3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20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3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3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3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588.83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474.87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113.96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588.83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474.87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588.83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474.87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416.70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416.70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73"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2"/>
        <w:sectPr>
          <w:pgSz w:w="16838" w:h="11906" w:orient="landscape"/>
          <w:pgMar w:top="720" w:right="720" w:bottom="720" w:left="720" w:header="851" w:footer="992" w:gutter="0"/>
          <w:cols w:space="425" w:num="1"/>
          <w:docGrid w:type="lines" w:linePitch="312" w:charSpace="0"/>
        </w:sectPr>
      </w:pPr>
    </w:p>
    <w:p>
      <w:pPr>
        <w:tabs>
          <w:tab w:val="left" w:pos="3072"/>
        </w:tabs>
        <w:bidi w:val="0"/>
        <w:jc w:val="left"/>
        <w:rPr>
          <w:rFonts w:hint="eastAsia"/>
          <w:lang w:eastAsia="zh-CN"/>
        </w:rPr>
      </w:pPr>
    </w:p>
    <w:tbl>
      <w:tblPr>
        <w:tblStyle w:val="10"/>
        <w:tblW w:w="14660" w:type="dxa"/>
        <w:tblInd w:w="4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72"/>
        <w:gridCol w:w="454"/>
        <w:gridCol w:w="1321"/>
        <w:gridCol w:w="4217"/>
        <w:gridCol w:w="454"/>
        <w:gridCol w:w="809"/>
        <w:gridCol w:w="1321"/>
        <w:gridCol w:w="1349"/>
        <w:gridCol w:w="12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660"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47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1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0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4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247"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部门：湖南省优质农产品开发服务中心</w:t>
            </w:r>
          </w:p>
        </w:tc>
        <w:tc>
          <w:tcPr>
            <w:tcW w:w="421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0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4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41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4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2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4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432.99</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432.99</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435.05</w:t>
            </w:r>
          </w:p>
        </w:tc>
        <w:tc>
          <w:tcPr>
            <w:tcW w:w="42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435.05</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435.05</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97"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263"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tabs>
          <w:tab w:val="left" w:pos="3072"/>
        </w:tabs>
        <w:bidi w:val="0"/>
        <w:jc w:val="left"/>
        <w:rPr>
          <w:rFonts w:hint="eastAsia" w:eastAsiaTheme="minorEastAsia"/>
          <w:lang w:eastAsia="zh-CN"/>
        </w:rPr>
        <w:sectPr>
          <w:pgSz w:w="16838" w:h="11906" w:orient="landscape"/>
          <w:pgMar w:top="720" w:right="720" w:bottom="720" w:left="720" w:header="851" w:footer="992" w:gutter="0"/>
          <w:cols w:space="425" w:num="1"/>
          <w:docGrid w:type="lines" w:linePitch="312" w:charSpace="0"/>
        </w:sectPr>
      </w:pPr>
    </w:p>
    <w:tbl>
      <w:tblPr>
        <w:tblStyle w:val="10"/>
        <w:tblW w:w="12267" w:type="dxa"/>
        <w:tblInd w:w="10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847"/>
        <w:gridCol w:w="3625"/>
        <w:gridCol w:w="2650"/>
        <w:gridCol w:w="2283"/>
        <w:gridCol w:w="2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2267"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4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62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33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7650" w:type="dxa"/>
            <w:gridSpan w:val="5"/>
            <w:tcBorders>
              <w:top w:val="nil"/>
              <w:left w:val="nil"/>
              <w:bottom w:val="single" w:color="auto" w:sz="4" w:space="0"/>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部门：湖南省优质农产品开发服务中心</w:t>
            </w:r>
          </w:p>
        </w:tc>
        <w:tc>
          <w:tcPr>
            <w:tcW w:w="22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33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0" w:type="dxa"/>
            <w:gridSpan w:val="4"/>
            <w:tcBorders>
              <w:top w:val="nil"/>
              <w:left w:val="single" w:color="auto" w:sz="4" w:space="0"/>
              <w:bottom w:val="nil"/>
              <w:right w:val="single" w:color="auto"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267" w:type="dxa"/>
            <w:gridSpan w:val="3"/>
            <w:tcBorders>
              <w:top w:val="single" w:color="auto" w:sz="4" w:space="0"/>
              <w:left w:val="single" w:color="auto" w:sz="4" w:space="0"/>
              <w:bottom w:val="nil"/>
              <w:right w:val="single" w:color="auto"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vMerge w:val="restart"/>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625" w:type="dxa"/>
            <w:vMerge w:val="restart"/>
            <w:tcBorders>
              <w:top w:val="single" w:color="000000" w:sz="4" w:space="0"/>
              <w:left w:val="single" w:color="000000" w:sz="4" w:space="0"/>
              <w:bottom w:val="single" w:color="000000" w:sz="4" w:space="0"/>
              <w:right w:val="single" w:color="auto"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650" w:type="dxa"/>
            <w:vMerge w:val="restart"/>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334" w:type="dxa"/>
            <w:vMerge w:val="restart"/>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375" w:type="dxa"/>
            <w:gridSpan w:val="3"/>
            <w:vMerge w:val="continue"/>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25"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50" w:type="dxa"/>
            <w:vMerge w:val="continue"/>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34" w:type="dxa"/>
            <w:vMerge w:val="continue"/>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vMerge w:val="continue"/>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25"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50" w:type="dxa"/>
            <w:vMerge w:val="continue"/>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34" w:type="dxa"/>
            <w:vMerge w:val="continue"/>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431.95</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317.99</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317.99</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431.95</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317.99</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58.17</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259.82</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259.82</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67"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sectPr>
          <w:pgSz w:w="16838" w:h="11906" w:orient="landscape"/>
          <w:pgMar w:top="720" w:right="720" w:bottom="720" w:left="720" w:header="851" w:footer="992" w:gutter="0"/>
          <w:cols w:space="425" w:num="1"/>
          <w:docGrid w:type="lines" w:linePitch="312" w:charSpace="0"/>
        </w:sectPr>
      </w:pPr>
    </w:p>
    <w:p>
      <w:pPr>
        <w:pStyle w:val="2"/>
        <w:sectPr>
          <w:pgSz w:w="16838" w:h="11906" w:orient="landscape"/>
          <w:pgMar w:top="720" w:right="720" w:bottom="720" w:left="720" w:header="851" w:footer="992" w:gutter="0"/>
          <w:cols w:space="425" w:num="1"/>
          <w:docGrid w:type="lines" w:linePitch="312" w:charSpace="0"/>
        </w:sectPr>
      </w:pPr>
      <w:r>
        <w:drawing>
          <wp:inline distT="0" distB="0" distL="114300" distR="114300">
            <wp:extent cx="9771380" cy="58394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1380" cy="5839460"/>
                    </a:xfrm>
                    <a:prstGeom prst="rect">
                      <a:avLst/>
                    </a:prstGeom>
                    <a:noFill/>
                    <a:ln>
                      <a:noFill/>
                    </a:ln>
                  </pic:spPr>
                </pic:pic>
              </a:graphicData>
            </a:graphic>
          </wp:inline>
        </w:drawing>
      </w:r>
    </w:p>
    <w:p>
      <w:pPr>
        <w:pStyle w:val="3"/>
      </w:pPr>
    </w:p>
    <w:tbl>
      <w:tblPr>
        <w:tblStyle w:val="10"/>
        <w:tblW w:w="15614" w:type="dxa"/>
        <w:tblInd w:w="258" w:type="dxa"/>
        <w:tblLayout w:type="fixed"/>
        <w:tblCellMar>
          <w:top w:w="0" w:type="dxa"/>
          <w:left w:w="108" w:type="dxa"/>
          <w:bottom w:w="0" w:type="dxa"/>
          <w:right w:w="108" w:type="dxa"/>
        </w:tblCellMar>
      </w:tblPr>
      <w:tblGrid>
        <w:gridCol w:w="93"/>
        <w:gridCol w:w="910"/>
        <w:gridCol w:w="240"/>
        <w:gridCol w:w="176"/>
        <w:gridCol w:w="701"/>
        <w:gridCol w:w="525"/>
        <w:gridCol w:w="1767"/>
        <w:gridCol w:w="352"/>
        <w:gridCol w:w="2119"/>
        <w:gridCol w:w="844"/>
        <w:gridCol w:w="1275"/>
        <w:gridCol w:w="2040"/>
        <w:gridCol w:w="79"/>
        <w:gridCol w:w="2119"/>
        <w:gridCol w:w="1973"/>
        <w:gridCol w:w="147"/>
        <w:gridCol w:w="254"/>
      </w:tblGrid>
      <w:tr>
        <w:tblPrEx>
          <w:tblLayout w:type="fixed"/>
          <w:tblCellMar>
            <w:top w:w="0" w:type="dxa"/>
            <w:left w:w="108" w:type="dxa"/>
            <w:bottom w:w="0" w:type="dxa"/>
            <w:right w:w="108" w:type="dxa"/>
          </w:tblCellMar>
        </w:tblPrEx>
        <w:trPr>
          <w:trHeight w:val="113" w:hRule="atLeast"/>
        </w:trPr>
        <w:tc>
          <w:tcPr>
            <w:tcW w:w="15614" w:type="dxa"/>
            <w:gridSpan w:val="17"/>
            <w:tcBorders>
              <w:top w:val="nil"/>
              <w:left w:val="nil"/>
              <w:bottom w:val="nil"/>
              <w:right w:val="nil"/>
            </w:tcBorders>
            <w:shd w:val="clear" w:color="auto" w:fill="auto"/>
            <w:noWrap/>
            <w:vAlign w:val="center"/>
          </w:tcPr>
          <w:p>
            <w:pPr>
              <w:widowControl/>
              <w:jc w:val="right"/>
              <w:rPr>
                <w:rFonts w:ascii="华文中宋" w:hAnsi="华文中宋" w:eastAsia="华文中宋" w:cs="宋体"/>
                <w:color w:val="000000"/>
                <w:kern w:val="0"/>
                <w:szCs w:val="32"/>
              </w:rPr>
            </w:pPr>
          </w:p>
        </w:tc>
      </w:tr>
      <w:tr>
        <w:tblPrEx>
          <w:tblLayout w:type="fixed"/>
          <w:tblCellMar>
            <w:top w:w="0" w:type="dxa"/>
            <w:left w:w="108" w:type="dxa"/>
            <w:bottom w:w="0" w:type="dxa"/>
            <w:right w:w="108" w:type="dxa"/>
          </w:tblCellMar>
        </w:tblPrEx>
        <w:trPr>
          <w:trHeight w:val="284" w:hRule="exact"/>
        </w:trPr>
        <w:tc>
          <w:tcPr>
            <w:tcW w:w="15614" w:type="dxa"/>
            <w:gridSpan w:val="1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1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8"/>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湖南省优质农产品开发服务中心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8"/>
                <w:lang w:val="en-US" w:eastAsia="zh-CN" w:bidi="ar"/>
              </w:rPr>
              <w:t xml:space="preserve">   </w:t>
            </w:r>
            <w:r>
              <w:rPr>
                <w:rStyle w:val="19"/>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1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963" w:hRule="atLeast"/>
        </w:trPr>
        <w:tc>
          <w:tcPr>
            <w:tcW w:w="15120" w:type="dxa"/>
            <w:gridSpan w:val="14"/>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417" w:hRule="atLeast"/>
        </w:trPr>
        <w:tc>
          <w:tcPr>
            <w:tcW w:w="1326"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417" w:hRule="atLeast"/>
        </w:trPr>
        <w:tc>
          <w:tcPr>
            <w:tcW w:w="4319" w:type="dxa"/>
            <w:gridSpan w:val="6"/>
            <w:tcBorders>
              <w:top w:val="nil"/>
              <w:left w:val="nil"/>
              <w:bottom w:val="nil"/>
              <w:right w:val="nil"/>
            </w:tcBorders>
            <w:shd w:val="clear" w:color="auto" w:fill="FFFFFF"/>
            <w:noWrap/>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湖南省优质农产品开发服务中心</w:t>
            </w: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0"/>
                <w:lang w:val="en-US" w:eastAsia="zh-CN" w:bidi="ar"/>
              </w:rPr>
              <w:t>目</w:t>
            </w:r>
          </w:p>
        </w:tc>
        <w:tc>
          <w:tcPr>
            <w:tcW w:w="108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976"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湖南省优质农产品开发服务中心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591.93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6.16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1.05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事业收入增加。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564.23</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432.99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76.74</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131.24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23.26</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588.83</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474.87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90.65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113.96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19.35</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435.05</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76.73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14.99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上年结转结余减少。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431.95</w:t>
      </w:r>
      <w:r>
        <w:rPr>
          <w:rFonts w:hint="eastAsia" w:ascii="Times New Roman" w:hAnsi="Times New Roman" w:eastAsia="仿宋_GB2312"/>
          <w:sz w:val="32"/>
          <w:szCs w:val="32"/>
        </w:rPr>
        <w:t>万元</w:t>
      </w:r>
      <w:r>
        <w:rPr>
          <w:rFonts w:hint="eastAsia" w:ascii="Times New Roman" w:hAnsi="Times New Roman" w:eastAsia="仿宋_GB2312"/>
          <w:color w:val="0000FF"/>
          <w:sz w:val="32"/>
          <w:szCs w:val="32"/>
        </w:rPr>
        <w:t>，</w:t>
      </w:r>
      <w:r>
        <w:rPr>
          <w:rFonts w:hint="eastAsia" w:ascii="Times New Roman" w:hAnsi="Times New Roman" w:eastAsia="仿宋_GB2312"/>
          <w:color w:val="auto"/>
          <w:sz w:val="32"/>
          <w:szCs w:val="32"/>
        </w:rPr>
        <w:t>占本年支出合计的</w:t>
      </w:r>
      <w:r>
        <w:rPr>
          <w:rFonts w:hint="eastAsia" w:ascii="Times New Roman" w:hAnsi="Times New Roman" w:eastAsia="仿宋_GB2312"/>
          <w:color w:val="auto"/>
          <w:sz w:val="32"/>
          <w:szCs w:val="32"/>
          <w:lang w:val="en-US" w:eastAsia="zh-CN"/>
        </w:rPr>
        <w:t>73.36</w:t>
      </w:r>
      <w:r>
        <w:rPr>
          <w:rFonts w:hint="eastAsia" w:ascii="Times New Roman" w:hAnsi="Times New Roman" w:eastAsia="仿宋_GB2312"/>
          <w:color w:val="auto"/>
          <w:sz w:val="32"/>
          <w:szCs w:val="32"/>
        </w:rPr>
        <w:t>%，与上年相比，财政拨款支出减少</w:t>
      </w:r>
      <w:r>
        <w:rPr>
          <w:rFonts w:hint="eastAsia" w:ascii="Times New Roman" w:hAnsi="Times New Roman" w:eastAsia="仿宋_GB2312"/>
          <w:color w:val="auto"/>
          <w:sz w:val="32"/>
          <w:szCs w:val="32"/>
          <w:lang w:val="en-US" w:eastAsia="zh-CN"/>
        </w:rPr>
        <w:t>74.76</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14.75</w:t>
      </w:r>
      <w:r>
        <w:rPr>
          <w:rFonts w:hint="eastAsia" w:ascii="Times New Roman" w:hAnsi="Times New Roman" w:eastAsia="仿宋_GB2312"/>
          <w:color w:val="auto"/>
          <w:sz w:val="32"/>
          <w:szCs w:val="32"/>
        </w:rPr>
        <w:t>%，主要是因为本单位承担的项目</w:t>
      </w:r>
      <w:r>
        <w:rPr>
          <w:rFonts w:hint="eastAsia" w:ascii="Times New Roman" w:hAnsi="Times New Roman" w:eastAsia="仿宋_GB2312"/>
          <w:color w:val="auto"/>
          <w:sz w:val="32"/>
          <w:szCs w:val="32"/>
          <w:lang w:val="en-US" w:eastAsia="zh-CN"/>
        </w:rPr>
        <w:t>任务</w:t>
      </w:r>
      <w:r>
        <w:rPr>
          <w:rFonts w:hint="eastAsia" w:ascii="Times New Roman" w:hAnsi="Times New Roman" w:eastAsia="仿宋_GB2312"/>
          <w:color w:val="auto"/>
          <w:sz w:val="32"/>
          <w:szCs w:val="32"/>
        </w:rPr>
        <w:t>减少</w:t>
      </w:r>
      <w:r>
        <w:rPr>
          <w:rFonts w:hint="eastAsia" w:ascii="Times New Roman" w:hAnsi="Times New Roman" w:eastAsia="仿宋_GB2312"/>
          <w:color w:val="auto"/>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431.95</w:t>
      </w:r>
      <w:r>
        <w:rPr>
          <w:rFonts w:hint="eastAsia" w:ascii="Times New Roman" w:hAnsi="Times New Roman" w:eastAsia="仿宋_GB2312"/>
          <w:sz w:val="32"/>
          <w:szCs w:val="32"/>
        </w:rPr>
        <w:t>万元，主要用于以下方面：农林水（类）支出</w:t>
      </w:r>
      <w:r>
        <w:rPr>
          <w:rFonts w:hint="eastAsia" w:ascii="Times New Roman" w:hAnsi="Times New Roman" w:eastAsia="仿宋_GB2312"/>
          <w:sz w:val="32"/>
          <w:szCs w:val="32"/>
          <w:lang w:val="en-US" w:eastAsia="zh-CN"/>
        </w:rPr>
        <w:t>431.95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427.51</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431.95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1、农林水（类）农业农村（款）</w:t>
      </w:r>
      <w:r>
        <w:rPr>
          <w:rFonts w:hint="eastAsia" w:ascii="Times New Roman" w:hAnsi="Times New Roman" w:eastAsia="仿宋_GB2312"/>
          <w:sz w:val="32"/>
          <w:szCs w:val="32"/>
          <w:lang w:val="en-US" w:eastAsia="zh-CN"/>
        </w:rPr>
        <w:t>行政</w:t>
      </w:r>
      <w:r>
        <w:rPr>
          <w:rFonts w:hint="eastAsia" w:ascii="Times New Roman" w:hAnsi="Times New Roman" w:eastAsia="仿宋_GB2312"/>
          <w:sz w:val="32"/>
          <w:szCs w:val="32"/>
        </w:rPr>
        <w:t>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58.17</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追加人员经费。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农林水（类）农业农村（款）事业运行（项）。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310.45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259.82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83.69</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公用经费有小额结余。</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117.06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113.96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97.35</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项目资金有小额结余。</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317.99</w:t>
      </w:r>
      <w:r>
        <w:rPr>
          <w:rFonts w:hint="eastAsia" w:ascii="Times New Roman" w:hAnsi="Times New Roman" w:eastAsia="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b w:val="0"/>
          <w:bCs w:val="0"/>
          <w:sz w:val="32"/>
          <w:szCs w:val="32"/>
          <w:lang w:val="en-US" w:eastAsia="zh-CN"/>
        </w:rPr>
        <w:t>317.77</w:t>
      </w:r>
      <w:r>
        <w:rPr>
          <w:rFonts w:hint="eastAsia" w:ascii="Times New Roman" w:hAnsi="Times New Roman" w:eastAsia="仿宋_GB2312"/>
          <w:b w:val="0"/>
          <w:bCs w:val="0"/>
          <w:sz w:val="32"/>
          <w:szCs w:val="32"/>
        </w:rPr>
        <w:t>万</w:t>
      </w:r>
      <w:r>
        <w:rPr>
          <w:rFonts w:hint="eastAsia" w:ascii="Times New Roman" w:hAnsi="Times New Roman" w:eastAsia="仿宋_GB2312"/>
          <w:sz w:val="32"/>
          <w:szCs w:val="32"/>
        </w:rPr>
        <w:t>元，占基本支出的</w:t>
      </w:r>
      <w:r>
        <w:rPr>
          <w:rFonts w:hint="eastAsia" w:ascii="Times New Roman" w:hAnsi="Times New Roman" w:eastAsia="仿宋_GB2312"/>
          <w:sz w:val="32"/>
          <w:szCs w:val="32"/>
          <w:lang w:val="en-US" w:eastAsia="zh-CN"/>
        </w:rPr>
        <w:t>98.99</w:t>
      </w:r>
      <w:r>
        <w:rPr>
          <w:rFonts w:hint="eastAsia" w:ascii="Times New Roman" w:hAnsi="Times New Roman" w:eastAsia="仿宋_GB2312"/>
          <w:sz w:val="32"/>
          <w:szCs w:val="32"/>
        </w:rPr>
        <w:t>%,主要包括基本工资、津贴补贴、伙食补助费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绩效工资、退休费、住房公积金、奖励金等。</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3.22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1.01</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val="en-US" w:eastAsia="zh-CN"/>
        </w:rPr>
        <w:t>工会经费、福利费。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认真贯彻落实中央“八项规定”和厉行节约要求</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进一步从严控制“三公”经费开支，</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认真贯彻落实中央“八项规定”和厉行节约要求</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进一步从严控制“三公”经费开支</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认真贯彻落实中央“八项规定”和厉行节约要求</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进一步从严控制“三公”经费开支</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认真贯彻落实中央“八项规定”和厉行节约要求</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进一步从严控制“三公”经费开支</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0.12</w:t>
      </w:r>
      <w:r>
        <w:rPr>
          <w:rFonts w:hint="eastAsia" w:ascii="Times New Roman" w:hAnsi="Times New Roman" w:eastAsia="仿宋_GB2312"/>
          <w:sz w:val="32"/>
          <w:szCs w:val="32"/>
        </w:rPr>
        <w:t>万元，用于开展事业单位人员网络培训培训，人数</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人，内容为事业单位人员网络培训；</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部门（单位）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bookmarkStart w:id="2" w:name="_GoBack"/>
      <w:bookmarkEnd w:id="2"/>
      <w:r>
        <w:rPr>
          <w:rFonts w:hint="eastAsia" w:ascii="楷体" w:hAnsi="楷体" w:eastAsia="楷体" w:cs="楷体"/>
          <w:b/>
          <w:bCs/>
          <w:sz w:val="32"/>
          <w:szCs w:val="32"/>
        </w:rPr>
        <w:t>整体支出绩效情况</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0.12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w:t>
      </w:r>
    </w:p>
    <w:p>
      <w:pPr>
        <w:pStyle w:val="15"/>
        <w:keepNext w:val="0"/>
        <w:keepLines w:val="0"/>
        <w:pageBreakBefore w:val="0"/>
        <w:widowControl w:val="0"/>
        <w:numPr>
          <w:ilvl w:val="0"/>
          <w:numId w:val="2"/>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管理效率</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sz w:val="32"/>
          <w:szCs w:val="32"/>
        </w:rPr>
        <w:t>为了</w:t>
      </w:r>
      <w:r>
        <w:rPr>
          <w:rFonts w:hint="eastAsia" w:ascii="仿宋_GB2312" w:hAnsi="仿宋_GB2312" w:eastAsia="仿宋_GB2312" w:cs="仿宋_GB2312"/>
          <w:color w:val="000000"/>
          <w:kern w:val="0"/>
          <w:sz w:val="32"/>
          <w:szCs w:val="32"/>
          <w:lang w:val="zh-CN"/>
        </w:rPr>
        <w:t>做好</w:t>
      </w:r>
      <w:r>
        <w:rPr>
          <w:rFonts w:hint="eastAsia" w:ascii="仿宋_GB2312" w:hAnsi="仿宋_GB2312" w:eastAsia="仿宋_GB2312" w:cs="仿宋_GB2312"/>
          <w:sz w:val="32"/>
          <w:szCs w:val="32"/>
        </w:rPr>
        <w:t>湖南省优质农产品产销对接综合服务中心</w:t>
      </w:r>
      <w:r>
        <w:rPr>
          <w:rFonts w:hint="eastAsia" w:ascii="仿宋_GB2312" w:hAnsi="仿宋_GB2312" w:eastAsia="仿宋_GB2312" w:cs="仿宋_GB2312"/>
          <w:color w:val="000000"/>
          <w:kern w:val="0"/>
          <w:sz w:val="32"/>
          <w:szCs w:val="32"/>
          <w:lang w:val="zh-CN"/>
        </w:rPr>
        <w:t>运营工作，2022年1月8日通过公开招标引进第三方运营服务商</w:t>
      </w:r>
      <w:r>
        <w:rPr>
          <w:rFonts w:hint="eastAsia" w:ascii="仿宋_GB2312" w:hAnsi="仿宋_GB2312" w:eastAsia="仿宋_GB2312" w:cs="仿宋_GB2312"/>
          <w:kern w:val="0"/>
          <w:sz w:val="32"/>
          <w:szCs w:val="32"/>
          <w:lang w:val="zh-CN"/>
        </w:rPr>
        <w:t>湖南湘农优品汇数字农业科技有限公司（以下简称湘农优品汇公司），</w:t>
      </w:r>
      <w:r>
        <w:rPr>
          <w:rFonts w:hint="eastAsia" w:ascii="仿宋_GB2312" w:hAnsi="仿宋_GB2312" w:eastAsia="仿宋_GB2312" w:cs="仿宋_GB2312"/>
          <w:color w:val="000000"/>
          <w:kern w:val="0"/>
          <w:sz w:val="32"/>
          <w:szCs w:val="32"/>
          <w:lang w:val="zh-CN"/>
        </w:rPr>
        <w:t>2022年6月24日引入湖南省政府采购电子卖场乡村振兴馆（以下简称乡村振兴馆）入驻三楼。</w:t>
      </w:r>
    </w:p>
    <w:p>
      <w:pPr>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仿宋" w:hAnsi="Times New Roman" w:eastAsia="仿宋" w:cs="仿宋"/>
          <w:color w:val="000000"/>
          <w:kern w:val="0"/>
          <w:sz w:val="32"/>
          <w:szCs w:val="32"/>
          <w:lang w:val="zh-CN"/>
        </w:rPr>
        <w:t xml:space="preserve"> </w:t>
      </w:r>
      <w:r>
        <w:rPr>
          <w:rFonts w:hint="eastAsia" w:ascii="仿宋" w:hAnsi="Times New Roman" w:eastAsia="仿宋" w:cs="仿宋"/>
          <w:color w:val="000000"/>
          <w:kern w:val="0"/>
          <w:sz w:val="32"/>
          <w:szCs w:val="32"/>
          <w:lang w:val="en-US" w:eastAsia="zh-CN"/>
        </w:rPr>
        <w:t>3、</w:t>
      </w:r>
      <w:r>
        <w:rPr>
          <w:rFonts w:hint="eastAsia" w:ascii="Times New Roman" w:hAnsi="Times New Roman" w:eastAsia="仿宋_GB2312"/>
          <w:sz w:val="32"/>
          <w:szCs w:val="32"/>
        </w:rPr>
        <w:t>履职效能</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我中心目前的主要职能是我省优质农产品的展示展销、宣传推广，协助厅市场与信息化处做好农产品产销对接工作，协助厅计划财务处做好资产管理工作。</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rPr>
        <w:t>产销对接中心入驻419家农业企业、1524个单品，合计14603.09万元（一楼优质农产品超市完成销售5818.64万元，二、三楼展示展销区完成销售8784.45万元）；厅门口展示展销中心入驻736家企业（脱贫地区企业193家，非脱贫地区企业543家）、2170个单品，共完成销售255.03万元（东侧44.49万元，西侧210.54万元）。</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pageBreakBefore w:val="0"/>
        <w:kinsoku/>
        <w:wordWrap/>
        <w:overflowPunct/>
        <w:topLinePunct w:val="0"/>
        <w:bidi w:val="0"/>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rPr>
        <w:t>先后接待了省领导张迎春、彭国甫、陈飞、张健、农业农村部农产品质量中心副主任王子强、重庆市农业农村委、吐鲁番市政府、深圳广电、天心区区委政府等领导和考察团的参观指导13批次，取得了良好的社会效益。</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为配合做好“农产品产销对接综合服务中心”和“脱贫农产品展销中心”的农产品宣传工作，</w:t>
      </w:r>
      <w:r>
        <w:rPr>
          <w:rFonts w:hint="eastAsia" w:ascii="仿宋_GB2312" w:hAnsi="仿宋_GB2312" w:eastAsia="仿宋_GB2312" w:cs="仿宋_GB2312"/>
          <w:sz w:val="32"/>
          <w:szCs w:val="32"/>
        </w:rPr>
        <w:t>湖南省湘菜预制菜产业发展推介会、华容芥菜文化节等推介宣传、产销对接及接待活动30次</w:t>
      </w:r>
      <w:r>
        <w:rPr>
          <w:rFonts w:hint="eastAsia" w:ascii="仿宋_GB2312" w:hAnsi="仿宋_GB2312" w:eastAsia="仿宋_GB2312" w:cs="仿宋_GB2312"/>
          <w:sz w:val="32"/>
          <w:szCs w:val="32"/>
          <w:lang w:eastAsia="zh-CN"/>
        </w:rPr>
        <w:t>。</w:t>
      </w:r>
    </w:p>
    <w:p>
      <w:pPr>
        <w:pStyle w:val="15"/>
        <w:keepNext w:val="0"/>
        <w:keepLines w:val="0"/>
        <w:pageBreakBefore w:val="0"/>
        <w:widowControl w:val="0"/>
        <w:numPr>
          <w:ilvl w:val="0"/>
          <w:numId w:val="3"/>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eastAsia="仿宋_GB2312"/>
          <w:sz w:val="32"/>
          <w:szCs w:val="32"/>
        </w:rPr>
      </w:pPr>
      <w:r>
        <w:rPr>
          <w:rFonts w:hint="eastAsia" w:eastAsia="仿宋_GB2312"/>
          <w:sz w:val="32"/>
          <w:szCs w:val="32"/>
          <w:lang w:val="en-US" w:eastAsia="zh-CN"/>
        </w:rPr>
        <w:t>2023年</w:t>
      </w:r>
      <w:r>
        <w:rPr>
          <w:rFonts w:hint="eastAsia" w:eastAsia="仿宋_GB2312"/>
          <w:sz w:val="32"/>
          <w:szCs w:val="32"/>
        </w:rPr>
        <w:t xml:space="preserve">共申报汉寿甲鱼、永顺莓茶、南县小龙虾、湘西黄金茶、通道钩藤等9个产品，全部入选全国名特优新农产品名录，为我省精品农产品培育提供支撑。                      </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存在的问题：</w:t>
      </w:r>
      <w:r>
        <w:rPr>
          <w:rFonts w:hint="eastAsia" w:ascii="Times New Roman" w:hAnsi="Times New Roman" w:eastAsia="仿宋_GB2312"/>
          <w:sz w:val="32"/>
          <w:szCs w:val="32"/>
        </w:rPr>
        <w:t>个别整体绩效目标未达到预期</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主要是</w:t>
      </w:r>
      <w:r>
        <w:rPr>
          <w:rFonts w:hint="eastAsia" w:ascii="Times New Roman" w:hAnsi="Times New Roman" w:eastAsia="仿宋_GB2312"/>
          <w:sz w:val="32"/>
          <w:szCs w:val="32"/>
        </w:rPr>
        <w:t>是经济效益指标中有个别指标未达到年度指标值。</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原因分析：部分服务点受市场价格影响较大，经济效益增收未达到预期。</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下一步改进措施：一是继续管好用好厅里交办的资产，确保保值增值。加强租赁管理，帮助租赁户解决困难，保障其正常运营，及时催缴租金入库。</w:t>
      </w:r>
    </w:p>
    <w:p>
      <w:pPr>
        <w:pStyle w:val="15"/>
        <w:pageBreakBefore w:val="0"/>
        <w:kinsoku/>
        <w:wordWrap/>
        <w:overflowPunct/>
        <w:topLinePunct w:val="0"/>
        <w:bidi w:val="0"/>
        <w:snapToGrid/>
        <w:spacing w:line="560" w:lineRule="exact"/>
        <w:ind w:firstLine="640" w:firstLineChars="200"/>
        <w:jc w:val="left"/>
        <w:textAlignment w:val="auto"/>
        <w:rPr>
          <w:sz w:val="72"/>
          <w:szCs w:val="72"/>
        </w:rPr>
      </w:pPr>
      <w:r>
        <w:rPr>
          <w:rFonts w:hint="eastAsia" w:ascii="Times New Roman" w:hAnsi="Times New Roman" w:eastAsia="仿宋_GB2312"/>
          <w:sz w:val="32"/>
          <w:szCs w:val="32"/>
        </w:rPr>
        <w:t>二是配合农业农村部农产品质量安全中心探索研究特色农产品目录工作，为我省农产品打造更多的优良与特色品牌。三是发挥三个农产品中心的窗口、示范作用，搭建优质农产品产销对接服务平台，努力打造永不闭幕的农博会。</w:t>
      </w:r>
    </w:p>
    <w:p>
      <w:pPr>
        <w:pStyle w:val="15"/>
        <w:jc w:val="both"/>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5"/>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rPr>
          <w:sz w:val="72"/>
          <w:szCs w:val="72"/>
        </w:rPr>
      </w:pPr>
      <w:r>
        <w:rPr>
          <w:sz w:val="72"/>
          <w:szCs w:val="72"/>
        </w:rPr>
        <w:br w:type="page"/>
      </w: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5"/>
        <w:rPr>
          <w:rFonts w:hint="eastAsia"/>
          <w:spacing w:val="-8"/>
          <w:lang w:eastAsia="zh-CN"/>
        </w:rPr>
      </w:pPr>
      <w:r>
        <w:rPr>
          <w:rFonts w:hint="eastAsia"/>
          <w:spacing w:val="-8"/>
          <w:lang w:val="en-US" w:eastAsia="zh-CN"/>
        </w:rPr>
        <w:t>2023</w:t>
      </w:r>
      <w:r>
        <w:rPr>
          <w:spacing w:val="-8"/>
        </w:rPr>
        <w:t>年度</w:t>
      </w:r>
      <w:r>
        <w:rPr>
          <w:rFonts w:hint="eastAsia"/>
          <w:spacing w:val="-8"/>
          <w:lang w:eastAsia="zh-CN"/>
        </w:rPr>
        <w:t>湖南省优质农产品开发服务中心</w:t>
      </w:r>
    </w:p>
    <w:p>
      <w:pPr>
        <w:pStyle w:val="5"/>
        <w:rPr>
          <w:spacing w:val="-8"/>
        </w:rPr>
      </w:pPr>
      <w:r>
        <w:rPr>
          <w:spacing w:val="-8"/>
        </w:rPr>
        <w:t>整体支出绩效自评报告</w:t>
      </w:r>
    </w:p>
    <w:p>
      <w:pPr>
        <w:pStyle w:val="6"/>
        <w:spacing w:line="560" w:lineRule="atLeast"/>
        <w:ind w:firstLine="640"/>
      </w:pPr>
    </w:p>
    <w:p>
      <w:pPr>
        <w:pStyle w:val="5"/>
        <w:pageBreakBefore w:val="0"/>
        <w:numPr>
          <w:ilvl w:val="0"/>
          <w:numId w:val="0"/>
        </w:numPr>
        <w:kinsoku/>
        <w:wordWrap/>
        <w:overflowPunct/>
        <w:topLinePunct w:val="0"/>
        <w:bidi w:val="0"/>
        <w:snapToGrid/>
        <w:spacing w:line="560" w:lineRule="exact"/>
        <w:ind w:leftChars="200"/>
        <w:jc w:val="both"/>
        <w:textAlignment w:val="auto"/>
        <w:rPr>
          <w:b w:val="0"/>
          <w:bCs/>
          <w:sz w:val="32"/>
          <w:szCs w:val="32"/>
        </w:rPr>
      </w:pPr>
      <w:r>
        <w:rPr>
          <w:rFonts w:hint="eastAsia"/>
          <w:b w:val="0"/>
          <w:bCs/>
          <w:sz w:val="32"/>
          <w:szCs w:val="32"/>
          <w:lang w:eastAsia="zh-CN"/>
        </w:rPr>
        <w:t>一、</w:t>
      </w:r>
      <w:r>
        <w:rPr>
          <w:b w:val="0"/>
          <w:bCs/>
          <w:sz w:val="32"/>
          <w:szCs w:val="32"/>
        </w:rPr>
        <w:t>部门</w:t>
      </w:r>
      <w:r>
        <w:rPr>
          <w:rFonts w:hint="eastAsia"/>
          <w:b w:val="0"/>
          <w:bCs/>
          <w:sz w:val="32"/>
          <w:szCs w:val="32"/>
        </w:rPr>
        <w:t>（</w:t>
      </w:r>
      <w:r>
        <w:rPr>
          <w:b w:val="0"/>
          <w:bCs/>
          <w:sz w:val="32"/>
          <w:szCs w:val="32"/>
        </w:rPr>
        <w:t>单位</w:t>
      </w:r>
      <w:r>
        <w:rPr>
          <w:rFonts w:hint="eastAsia"/>
          <w:b w:val="0"/>
          <w:bCs/>
          <w:sz w:val="32"/>
          <w:szCs w:val="32"/>
        </w:rPr>
        <w:t>）</w:t>
      </w:r>
      <w:r>
        <w:rPr>
          <w:b w:val="0"/>
          <w:bCs/>
          <w:sz w:val="32"/>
          <w:szCs w:val="32"/>
        </w:rPr>
        <w:t>基本情况</w:t>
      </w:r>
    </w:p>
    <w:p>
      <w:pPr>
        <w:pStyle w:val="6"/>
        <w:pageBreakBefore w:val="0"/>
        <w:numPr>
          <w:ilvl w:val="0"/>
          <w:numId w:val="0"/>
        </w:numPr>
        <w:kinsoku/>
        <w:wordWrap/>
        <w:overflowPunct/>
        <w:topLinePunct w:val="0"/>
        <w:bidi w:val="0"/>
        <w:snapToGrid/>
        <w:spacing w:line="560" w:lineRule="exact"/>
        <w:ind w:leftChars="200" w:firstLine="320" w:firstLineChars="100"/>
        <w:textAlignment w:val="auto"/>
        <w:rPr>
          <w:rFonts w:hint="default"/>
          <w:sz w:val="32"/>
          <w:szCs w:val="32"/>
          <w:lang w:val="en-US" w:eastAsia="zh-CN"/>
        </w:rPr>
      </w:pPr>
      <w:r>
        <w:rPr>
          <w:rFonts w:hint="eastAsia"/>
          <w:sz w:val="32"/>
          <w:szCs w:val="32"/>
          <w:lang w:val="en-US" w:eastAsia="zh-CN"/>
        </w:rPr>
        <w:t>（一）单位简况</w:t>
      </w:r>
    </w:p>
    <w:p>
      <w:pPr>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湖南省优质农产品服务中心是湖南省农业农村厅下属公益二类事业单位，主要业务范围为名特优新农产品开发提供技术开发与质量管理服务、名特优新农产品评价方法制定及标准化管理、优质农产品质量认证、优质品牌农产品体系建设、组织协调优质农产品资源开发和产销对接工作、承担优质农产品信息网络建设、开展信息咨询服务。</w:t>
      </w:r>
    </w:p>
    <w:p>
      <w:pPr>
        <w:pStyle w:val="6"/>
        <w:pageBreakBefore w:val="0"/>
        <w:numPr>
          <w:ilvl w:val="0"/>
          <w:numId w:val="0"/>
        </w:numPr>
        <w:kinsoku/>
        <w:wordWrap/>
        <w:overflowPunct/>
        <w:topLinePunct w:val="0"/>
        <w:bidi w:val="0"/>
        <w:snapToGrid/>
        <w:spacing w:line="560" w:lineRule="exact"/>
        <w:ind w:leftChars="200"/>
        <w:textAlignment w:val="auto"/>
        <w:rPr>
          <w:rFonts w:hint="eastAsia"/>
          <w:sz w:val="32"/>
          <w:szCs w:val="32"/>
          <w:lang w:val="en-US" w:eastAsia="zh-CN"/>
        </w:rPr>
      </w:pPr>
      <w:r>
        <w:rPr>
          <w:rFonts w:hint="eastAsia"/>
          <w:sz w:val="32"/>
          <w:szCs w:val="32"/>
          <w:lang w:val="en-US" w:eastAsia="zh-CN"/>
        </w:rPr>
        <w:t>（二)机构设置及人员情况</w:t>
      </w:r>
    </w:p>
    <w:p>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1、机构设置：</w:t>
      </w:r>
      <w:r>
        <w:rPr>
          <w:rFonts w:hint="eastAsia" w:ascii="Times New Roman" w:hAnsi="Times New Roman" w:eastAsia="仿宋_GB2312" w:cs="Times New Roman"/>
          <w:kern w:val="2"/>
          <w:sz w:val="32"/>
          <w:szCs w:val="32"/>
          <w:lang w:val="en-US" w:eastAsia="zh-CN" w:bidi="ar-SA"/>
        </w:rPr>
        <w:t>优农</w:t>
      </w:r>
      <w:r>
        <w:rPr>
          <w:rFonts w:hint="default" w:ascii="Times New Roman" w:hAnsi="Times New Roman" w:eastAsia="仿宋_GB2312" w:cs="Times New Roman"/>
          <w:kern w:val="2"/>
          <w:sz w:val="32"/>
          <w:szCs w:val="32"/>
          <w:lang w:val="en-US" w:eastAsia="zh-CN" w:bidi="ar-SA"/>
        </w:rPr>
        <w:t>中心下设办公室、财务</w:t>
      </w:r>
      <w:r>
        <w:rPr>
          <w:rFonts w:hint="eastAsia" w:ascii="Times New Roman" w:hAnsi="Times New Roman" w:eastAsia="仿宋_GB2312" w:cs="Times New Roman"/>
          <w:kern w:val="2"/>
          <w:sz w:val="32"/>
          <w:szCs w:val="32"/>
          <w:lang w:val="en-US" w:eastAsia="zh-CN" w:bidi="ar-SA"/>
        </w:rPr>
        <w:t>人事部</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业务部</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资产管理部</w:t>
      </w:r>
      <w:r>
        <w:rPr>
          <w:rFonts w:hint="default" w:ascii="Times New Roman" w:hAnsi="Times New Roman" w:eastAsia="仿宋_GB2312" w:cs="Times New Roman"/>
          <w:kern w:val="2"/>
          <w:sz w:val="32"/>
          <w:szCs w:val="32"/>
          <w:lang w:val="en-US" w:eastAsia="zh-CN" w:bidi="ar-SA"/>
        </w:rPr>
        <w:t>共</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个部门。</w:t>
      </w:r>
    </w:p>
    <w:p>
      <w:pPr>
        <w:pStyle w:val="16"/>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2、人员编制：</w:t>
      </w:r>
      <w:r>
        <w:rPr>
          <w:rFonts w:hint="eastAsia" w:ascii="Times New Roman" w:hAnsi="Times New Roman" w:eastAsia="仿宋_GB2312" w:cs="Times New Roman"/>
          <w:kern w:val="2"/>
          <w:sz w:val="32"/>
          <w:szCs w:val="32"/>
          <w:lang w:val="en-US" w:eastAsia="zh-CN" w:bidi="ar-SA"/>
        </w:rPr>
        <w:t>优农</w:t>
      </w:r>
      <w:r>
        <w:rPr>
          <w:rFonts w:hint="default" w:ascii="Times New Roman" w:hAnsi="Times New Roman" w:eastAsia="仿宋_GB2312" w:cs="Times New Roman"/>
          <w:kern w:val="2"/>
          <w:sz w:val="32"/>
          <w:szCs w:val="32"/>
          <w:lang w:val="en-US" w:eastAsia="zh-CN" w:bidi="ar-SA"/>
        </w:rPr>
        <w:t>中心有差额拨款事业编制15名，实际在编员工</w:t>
      </w:r>
      <w:r>
        <w:rPr>
          <w:rFonts w:hint="eastAsia" w:ascii="Times New Roman" w:hAnsi="Times New Roman" w:eastAsia="仿宋_GB2312" w:cs="Times New Roman"/>
          <w:kern w:val="2"/>
          <w:sz w:val="32"/>
          <w:szCs w:val="32"/>
          <w:lang w:val="en-US" w:eastAsia="zh-CN" w:bidi="ar-SA"/>
        </w:rPr>
        <w:t>16</w:t>
      </w:r>
      <w:r>
        <w:rPr>
          <w:rFonts w:hint="default" w:ascii="Times New Roman" w:hAnsi="Times New Roman" w:eastAsia="仿宋_GB2312" w:cs="Times New Roman"/>
          <w:kern w:val="2"/>
          <w:sz w:val="32"/>
          <w:szCs w:val="32"/>
          <w:lang w:val="en-US" w:eastAsia="zh-CN" w:bidi="ar-SA"/>
        </w:rPr>
        <w:t>人，退休人员</w:t>
      </w:r>
      <w:r>
        <w:rPr>
          <w:rFonts w:hint="eastAsia" w:ascii="Times New Roman" w:hAnsi="Times New Roman" w:eastAsia="仿宋_GB2312" w:cs="Times New Roman"/>
          <w:kern w:val="2"/>
          <w:sz w:val="32"/>
          <w:szCs w:val="32"/>
          <w:lang w:val="en-US" w:eastAsia="zh-CN" w:bidi="ar-SA"/>
        </w:rPr>
        <w:t>20</w:t>
      </w:r>
      <w:r>
        <w:rPr>
          <w:rFonts w:hint="default" w:ascii="Times New Roman" w:hAnsi="Times New Roman" w:eastAsia="仿宋_GB2312" w:cs="Times New Roman"/>
          <w:kern w:val="2"/>
          <w:sz w:val="32"/>
          <w:szCs w:val="32"/>
          <w:lang w:val="en-US" w:eastAsia="zh-CN" w:bidi="ar-SA"/>
        </w:rPr>
        <w:t>人。</w:t>
      </w:r>
    </w:p>
    <w:p>
      <w:pPr>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Times New Roman" w:hAnsi="Times New Roman" w:eastAsia="仿宋_GB2312" w:cs="Times New Roman"/>
          <w:kern w:val="2"/>
          <w:sz w:val="32"/>
          <w:szCs w:val="32"/>
          <w:lang w:val="en-US" w:eastAsia="zh-CN" w:bidi="ar-SA"/>
        </w:rPr>
        <w:t>实际在编员工人数超编制，原因为</w:t>
      </w:r>
      <w:r>
        <w:rPr>
          <w:rFonts w:hint="eastAsia" w:ascii="仿宋_GB2312" w:hAnsi="仿宋_GB2312" w:eastAsia="仿宋_GB2312" w:cs="仿宋_GB2312"/>
          <w:b w:val="0"/>
          <w:bCs w:val="0"/>
          <w:sz w:val="32"/>
          <w:szCs w:val="32"/>
          <w:lang w:val="en-US" w:eastAsia="zh-CN"/>
        </w:rPr>
        <w:t>2017年底，</w:t>
      </w:r>
      <w:r>
        <w:rPr>
          <w:rFonts w:hint="eastAsia" w:ascii="仿宋_GB2312" w:hAnsi="仿宋_GB2312" w:eastAsia="仿宋_GB2312" w:cs="仿宋_GB2312"/>
          <w:b w:val="0"/>
          <w:bCs w:val="0"/>
          <w:sz w:val="32"/>
          <w:szCs w:val="32"/>
          <w:lang w:eastAsia="zh-CN"/>
        </w:rPr>
        <w:t>根据</w:t>
      </w:r>
      <w:r>
        <w:rPr>
          <w:rFonts w:hint="eastAsia" w:ascii="仿宋_GB2312" w:hAnsi="仿宋_GB2312" w:eastAsia="仿宋_GB2312" w:cs="仿宋_GB2312"/>
          <w:b w:val="0"/>
          <w:bCs w:val="0"/>
          <w:sz w:val="32"/>
          <w:szCs w:val="32"/>
          <w:lang w:val="en-US" w:eastAsia="zh-CN"/>
        </w:rPr>
        <w:t>湘编办【2017】2号文件，核定差额拨款事业编制15名，原核定29名经费自理事业编制予以核销，现有超编人员逐步消化。</w:t>
      </w:r>
    </w:p>
    <w:p>
      <w:pPr>
        <w:pStyle w:val="6"/>
        <w:pageBreakBefore w:val="0"/>
        <w:kinsoku/>
        <w:wordWrap/>
        <w:overflowPunct/>
        <w:topLinePunct w:val="0"/>
        <w:bidi w:val="0"/>
        <w:snapToGrid/>
        <w:spacing w:line="560" w:lineRule="exact"/>
        <w:ind w:firstLine="640" w:firstLineChars="20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二、一般公共预算支出情况</w:t>
      </w:r>
    </w:p>
    <w:p>
      <w:pPr>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pageBreakBefore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基本支出系保障我单位机构正常运转、完成日常工作任务而发生的各项支出，包括用于在职和离退休人员基本工资、津贴补贴等人员经费以及办公费、印刷费、水电费、办公设备购置等日常公用经费。</w:t>
      </w:r>
    </w:p>
    <w:p>
      <w:pPr>
        <w:pageBreakBefore w:val="0"/>
        <w:kinsoku/>
        <w:wordWrap/>
        <w:overflowPunct/>
        <w:topLinePunct w:val="0"/>
        <w:bidi w:val="0"/>
        <w:snapToGrid/>
        <w:spacing w:line="560" w:lineRule="exact"/>
        <w:ind w:firstLine="640" w:firstLineChars="200"/>
        <w:textAlignment w:val="auto"/>
        <w:rPr>
          <w:rFonts w:hint="default"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2023年度年初基本支出预算指标下达数434.45万元，</w:t>
      </w:r>
      <w:r>
        <w:rPr>
          <w:rFonts w:hint="eastAsia" w:eastAsia="仿宋_GB2312" w:cs="Times New Roman"/>
          <w:kern w:val="2"/>
          <w:sz w:val="32"/>
          <w:szCs w:val="32"/>
          <w:highlight w:val="none"/>
          <w:lang w:val="en-US" w:eastAsia="zh-CN" w:bidi="ar-SA"/>
        </w:rPr>
        <w:t>2023年度基本支出全年预算数为474.87万元。2023年决算金额为474.87万</w:t>
      </w:r>
      <w:r>
        <w:rPr>
          <w:rFonts w:hint="eastAsia" w:eastAsia="仿宋_GB2312" w:cs="Times New Roman"/>
          <w:kern w:val="2"/>
          <w:sz w:val="32"/>
          <w:szCs w:val="32"/>
          <w:lang w:val="en-US" w:eastAsia="zh-CN" w:bidi="ar-SA"/>
        </w:rPr>
        <w:t>元，</w:t>
      </w:r>
      <w:r>
        <w:rPr>
          <w:rFonts w:hint="eastAsia" w:ascii="Times New Roman" w:hAnsi="Times New Roman" w:eastAsia="仿宋_GB2312" w:cs="Times New Roman"/>
          <w:kern w:val="2"/>
          <w:sz w:val="32"/>
          <w:szCs w:val="32"/>
          <w:lang w:val="en-US" w:eastAsia="zh-CN" w:bidi="ar-SA"/>
        </w:rPr>
        <w:t>人员经费全年预算金额302.45</w:t>
      </w:r>
      <w:r>
        <w:rPr>
          <w:rFonts w:hint="eastAsia" w:eastAsia="仿宋_GB2312" w:cs="Times New Roman"/>
          <w:kern w:val="2"/>
          <w:sz w:val="32"/>
          <w:szCs w:val="32"/>
          <w:lang w:val="en-US" w:eastAsia="zh-CN" w:bidi="ar-SA"/>
        </w:rPr>
        <w:t>万</w:t>
      </w:r>
      <w:r>
        <w:rPr>
          <w:rFonts w:hint="eastAsia" w:ascii="Times New Roman" w:hAnsi="Times New Roman" w:eastAsia="仿宋_GB2312" w:cs="Times New Roman"/>
          <w:kern w:val="2"/>
          <w:sz w:val="32"/>
          <w:szCs w:val="32"/>
          <w:lang w:val="en-US" w:eastAsia="zh-CN" w:bidi="ar-SA"/>
        </w:rPr>
        <w:t>元，决算金额</w:t>
      </w:r>
      <w:r>
        <w:rPr>
          <w:rFonts w:hint="eastAsia" w:eastAsia="仿宋_GB2312" w:cs="Times New Roman"/>
          <w:kern w:val="2"/>
          <w:sz w:val="32"/>
          <w:szCs w:val="32"/>
          <w:lang w:val="en-US" w:eastAsia="zh-CN" w:bidi="ar-SA"/>
        </w:rPr>
        <w:t>369.19万元，日常公用经费全年预算数132万元，决算金额105.68万元。</w:t>
      </w:r>
    </w:p>
    <w:p>
      <w:pPr>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pPr>
        <w:pageBreakBefore w:val="0"/>
        <w:numPr>
          <w:ilvl w:val="0"/>
          <w:numId w:val="0"/>
        </w:numPr>
        <w:kinsoku/>
        <w:wordWrap/>
        <w:overflowPunct/>
        <w:topLinePunct w:val="0"/>
        <w:bidi w:val="0"/>
        <w:snapToGrid/>
        <w:spacing w:line="560" w:lineRule="exact"/>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2023年预算安排省级专项资金115万元，为现代农业专项农业生产发展，实际支出金额为113.96万元。</w:t>
      </w:r>
    </w:p>
    <w:p>
      <w:pPr>
        <w:pStyle w:val="6"/>
        <w:pageBreakBefore w:val="0"/>
        <w:kinsoku/>
        <w:wordWrap/>
        <w:overflowPunct/>
        <w:topLinePunct w:val="0"/>
        <w:bidi w:val="0"/>
        <w:snapToGrid/>
        <w:spacing w:line="560" w:lineRule="exact"/>
        <w:ind w:firstLine="640" w:firstLineChars="20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三、部门整体支出绩效情况</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0.12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w:t>
      </w:r>
    </w:p>
    <w:p>
      <w:pPr>
        <w:pStyle w:val="15"/>
        <w:keepNext w:val="0"/>
        <w:keepLines w:val="0"/>
        <w:pageBreakBefore w:val="0"/>
        <w:widowControl w:val="0"/>
        <w:numPr>
          <w:ilvl w:val="0"/>
          <w:numId w:val="2"/>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管理效率</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sz w:val="32"/>
          <w:szCs w:val="32"/>
        </w:rPr>
        <w:t>为了</w:t>
      </w:r>
      <w:r>
        <w:rPr>
          <w:rFonts w:hint="eastAsia" w:ascii="仿宋_GB2312" w:hAnsi="仿宋_GB2312" w:eastAsia="仿宋_GB2312" w:cs="仿宋_GB2312"/>
          <w:color w:val="000000"/>
          <w:kern w:val="0"/>
          <w:sz w:val="32"/>
          <w:szCs w:val="32"/>
          <w:lang w:val="zh-CN"/>
        </w:rPr>
        <w:t>做好</w:t>
      </w:r>
      <w:r>
        <w:rPr>
          <w:rFonts w:hint="eastAsia" w:ascii="仿宋_GB2312" w:hAnsi="仿宋_GB2312" w:eastAsia="仿宋_GB2312" w:cs="仿宋_GB2312"/>
          <w:sz w:val="32"/>
          <w:szCs w:val="32"/>
        </w:rPr>
        <w:t>湖南省优质农产品产销对接综合服务中心</w:t>
      </w:r>
      <w:r>
        <w:rPr>
          <w:rFonts w:hint="eastAsia" w:ascii="仿宋_GB2312" w:hAnsi="仿宋_GB2312" w:eastAsia="仿宋_GB2312" w:cs="仿宋_GB2312"/>
          <w:color w:val="000000"/>
          <w:kern w:val="0"/>
          <w:sz w:val="32"/>
          <w:szCs w:val="32"/>
          <w:lang w:val="zh-CN"/>
        </w:rPr>
        <w:t>运营工作，2022年1月8日通过公开招标引进第三方运营服务商</w:t>
      </w:r>
      <w:r>
        <w:rPr>
          <w:rFonts w:hint="eastAsia" w:ascii="仿宋_GB2312" w:hAnsi="仿宋_GB2312" w:eastAsia="仿宋_GB2312" w:cs="仿宋_GB2312"/>
          <w:kern w:val="0"/>
          <w:sz w:val="32"/>
          <w:szCs w:val="32"/>
          <w:lang w:val="zh-CN"/>
        </w:rPr>
        <w:t>湖南湘农优品汇数字农业科技有限公司（以下简称湘农优品汇公司），</w:t>
      </w:r>
      <w:r>
        <w:rPr>
          <w:rFonts w:hint="eastAsia" w:ascii="仿宋_GB2312" w:hAnsi="仿宋_GB2312" w:eastAsia="仿宋_GB2312" w:cs="仿宋_GB2312"/>
          <w:color w:val="000000"/>
          <w:kern w:val="0"/>
          <w:sz w:val="32"/>
          <w:szCs w:val="32"/>
          <w:lang w:val="zh-CN"/>
        </w:rPr>
        <w:t>2022年6月24日引入湖南省政府采购电子卖场乡村振兴馆（以下简称乡村振兴馆）入驻三楼。</w:t>
      </w:r>
    </w:p>
    <w:p>
      <w:pPr>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仿宋" w:hAnsi="Times New Roman" w:eastAsia="仿宋" w:cs="仿宋"/>
          <w:color w:val="000000"/>
          <w:kern w:val="0"/>
          <w:sz w:val="32"/>
          <w:szCs w:val="32"/>
          <w:lang w:val="zh-CN"/>
        </w:rPr>
        <w:t xml:space="preserve"> </w:t>
      </w:r>
      <w:r>
        <w:rPr>
          <w:rFonts w:hint="eastAsia" w:ascii="仿宋" w:hAnsi="Times New Roman" w:eastAsia="仿宋" w:cs="仿宋"/>
          <w:color w:val="000000"/>
          <w:kern w:val="0"/>
          <w:sz w:val="32"/>
          <w:szCs w:val="32"/>
          <w:lang w:val="en-US" w:eastAsia="zh-CN"/>
        </w:rPr>
        <w:t>3、</w:t>
      </w:r>
      <w:r>
        <w:rPr>
          <w:rFonts w:hint="eastAsia" w:ascii="Times New Roman" w:hAnsi="Times New Roman" w:eastAsia="仿宋_GB2312"/>
          <w:sz w:val="32"/>
          <w:szCs w:val="32"/>
        </w:rPr>
        <w:t>履职效能</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我中心目前的主要职能是我省优质农产品的展示展销、宣传推广，协助厅市场与信息化处做好农产品产销对接工作，协助厅计划财务处做好资产管理工作。</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rPr>
        <w:t>产销对接中心入驻419家农业企业、1524个单品，合计14603.09万元（一楼优质农产品超市完成销售5818.64万元，二、三楼展示展销区完成销售8784.45万元）；厅门口展示展销中心入驻736家企业（脱贫地区企业193家，非脱贫地区企业543家）、2170个单品，共完成销售255.03万元（东侧44.49万元，西侧210.54万元）。</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pageBreakBefore w:val="0"/>
        <w:kinsoku/>
        <w:wordWrap/>
        <w:overflowPunct/>
        <w:topLinePunct w:val="0"/>
        <w:bidi w:val="0"/>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rPr>
        <w:t>先后接待了省领导张迎春、彭国甫、陈飞、张健、农业农村部农产品质量中心副主任王子强、重庆市农业农村委、吐鲁番市政府、深圳广电、天心区区委政府等领导和考察团的参观指导13批次，取得了良好的社会效益。</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为配合做好“农产品产销对接综合服务中心”和“脱贫农产品展销中心”的农产品宣传工作，</w:t>
      </w:r>
      <w:r>
        <w:rPr>
          <w:rFonts w:hint="eastAsia" w:ascii="仿宋_GB2312" w:hAnsi="仿宋_GB2312" w:eastAsia="仿宋_GB2312" w:cs="仿宋_GB2312"/>
          <w:sz w:val="32"/>
          <w:szCs w:val="32"/>
        </w:rPr>
        <w:t>湖南省湘菜预制菜产业发展推介会、华容芥菜文化节等推介宣传、产销对接及接待活动30次</w:t>
      </w:r>
      <w:r>
        <w:rPr>
          <w:rFonts w:hint="eastAsia" w:ascii="仿宋_GB2312" w:hAnsi="仿宋_GB2312" w:eastAsia="仿宋_GB2312" w:cs="仿宋_GB2312"/>
          <w:sz w:val="32"/>
          <w:szCs w:val="32"/>
          <w:lang w:eastAsia="zh-CN"/>
        </w:rPr>
        <w:t>。</w:t>
      </w:r>
    </w:p>
    <w:p>
      <w:pPr>
        <w:pStyle w:val="15"/>
        <w:keepNext w:val="0"/>
        <w:keepLines w:val="0"/>
        <w:pageBreakBefore w:val="0"/>
        <w:widowControl w:val="0"/>
        <w:numPr>
          <w:ilvl w:val="0"/>
          <w:numId w:val="3"/>
        </w:numPr>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lang w:val="en-US" w:eastAsia="zh-CN"/>
        </w:rPr>
        <w:t>2023年</w:t>
      </w:r>
      <w:r>
        <w:rPr>
          <w:rFonts w:hint="eastAsia" w:eastAsia="仿宋_GB2312"/>
          <w:sz w:val="32"/>
          <w:szCs w:val="32"/>
        </w:rPr>
        <w:t xml:space="preserve">共申报汉寿甲鱼、永顺莓茶、南县小龙虾、湘西黄金茶、通道钩藤等9个产品，全部入选全国名特优新农产品名录，为我省精品农产品培育提供支撑。                                          </w:t>
      </w:r>
    </w:p>
    <w:p>
      <w:pPr>
        <w:pStyle w:val="15"/>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楷体" w:hAnsi="楷体" w:eastAsia="楷体" w:cs="楷体"/>
          <w:b/>
          <w:bCs/>
          <w:sz w:val="32"/>
          <w:szCs w:val="32"/>
        </w:rPr>
      </w:pPr>
      <w:r>
        <w:rPr>
          <w:rFonts w:hint="eastAsia" w:eastAsia="仿宋_GB2312"/>
          <w:sz w:val="32"/>
          <w:szCs w:val="32"/>
        </w:rPr>
        <w:t xml:space="preserve"> </w:t>
      </w:r>
      <w:r>
        <w:rPr>
          <w:rFonts w:hint="eastAsia" w:ascii="楷体" w:hAnsi="楷体" w:eastAsia="楷体" w:cs="楷体"/>
          <w:b/>
          <w:bCs/>
          <w:sz w:val="32"/>
          <w:szCs w:val="32"/>
          <w:lang w:eastAsia="zh-CN"/>
        </w:rPr>
        <w:t>四、</w:t>
      </w:r>
      <w:r>
        <w:rPr>
          <w:rFonts w:hint="eastAsia" w:ascii="楷体" w:hAnsi="楷体" w:eastAsia="楷体" w:cs="楷体"/>
          <w:b/>
          <w:bCs/>
          <w:sz w:val="32"/>
          <w:szCs w:val="32"/>
        </w:rPr>
        <w:t>存在的问题及原因分析</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存在的问题：</w:t>
      </w:r>
      <w:r>
        <w:rPr>
          <w:rFonts w:hint="eastAsia" w:ascii="Times New Roman" w:hAnsi="Times New Roman" w:eastAsia="仿宋_GB2312"/>
          <w:sz w:val="32"/>
          <w:szCs w:val="32"/>
        </w:rPr>
        <w:t>个别整体绩效目标未达到预期</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主要是</w:t>
      </w:r>
      <w:r>
        <w:rPr>
          <w:rFonts w:hint="eastAsia" w:ascii="Times New Roman" w:hAnsi="Times New Roman" w:eastAsia="仿宋_GB2312"/>
          <w:sz w:val="32"/>
          <w:szCs w:val="32"/>
        </w:rPr>
        <w:t>是经济效益指标中有个别指标未达到年度指标值。</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原因分析：部分服务点受市场价格影响较大，经济效益增收未达到预期。</w:t>
      </w:r>
    </w:p>
    <w:p>
      <w:pPr>
        <w:pStyle w:val="15"/>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下一步改进措施：一是继续管好用好厅里交办的资产，确保保值增值。加强租赁管理，帮助租赁户解决困难，保障其正常运营，及时催缴租金入库。</w:t>
      </w:r>
    </w:p>
    <w:p>
      <w:pPr>
        <w:pStyle w:val="15"/>
        <w:pageBreakBefore w:val="0"/>
        <w:kinsoku/>
        <w:wordWrap/>
        <w:overflowPunct/>
        <w:topLinePunct w:val="0"/>
        <w:bidi w:val="0"/>
        <w:snapToGrid/>
        <w:spacing w:line="560" w:lineRule="exact"/>
        <w:ind w:firstLine="640" w:firstLineChars="200"/>
        <w:jc w:val="left"/>
        <w:textAlignment w:val="auto"/>
        <w:rPr>
          <w:sz w:val="72"/>
          <w:szCs w:val="72"/>
        </w:rPr>
      </w:pPr>
      <w:r>
        <w:rPr>
          <w:rFonts w:hint="eastAsia" w:ascii="Times New Roman" w:hAnsi="Times New Roman" w:eastAsia="仿宋_GB2312"/>
          <w:sz w:val="32"/>
          <w:szCs w:val="32"/>
        </w:rPr>
        <w:t>二是配合农业农村部农产品质量安全中心探索研究特色农产品目录工作，为我省农产品打造更多的优良与特色品牌。三是发挥三个农产品中心的窗口、示范作用，搭建优质农产品产销对接服务平台，努力打造永不闭幕的农博会。</w:t>
      </w:r>
    </w:p>
    <w:p>
      <w:pPr>
        <w:pStyle w:val="15"/>
        <w:pageBreakBefore w:val="0"/>
        <w:kinsoku/>
        <w:wordWrap/>
        <w:overflowPunct/>
        <w:topLinePunct w:val="0"/>
        <w:bidi w:val="0"/>
        <w:snapToGrid/>
        <w:spacing w:line="560" w:lineRule="exact"/>
        <w:ind w:firstLine="1440" w:firstLineChars="200"/>
        <w:jc w:val="center"/>
        <w:textAlignment w:val="auto"/>
        <w:rPr>
          <w:sz w:val="72"/>
          <w:szCs w:val="72"/>
        </w:rPr>
      </w:pPr>
    </w:p>
    <w:p>
      <w:pPr>
        <w:pStyle w:val="15"/>
        <w:pageBreakBefore w:val="0"/>
        <w:kinsoku/>
        <w:wordWrap/>
        <w:overflowPunct/>
        <w:topLinePunct w:val="0"/>
        <w:bidi w:val="0"/>
        <w:snapToGrid/>
        <w:spacing w:line="560" w:lineRule="exact"/>
        <w:ind w:firstLine="1440" w:firstLineChars="200"/>
        <w:jc w:val="center"/>
        <w:textAlignment w:val="auto"/>
        <w:rPr>
          <w:sz w:val="72"/>
          <w:szCs w:val="72"/>
        </w:rPr>
      </w:pPr>
    </w:p>
    <w:p>
      <w:pPr>
        <w:spacing w:line="560" w:lineRule="atLeast"/>
        <w:rPr>
          <w:rFonts w:hint="eastAsia" w:ascii="仿宋_GB2312" w:hAnsi="仿宋_GB2312" w:eastAsia="仿宋_GB2312" w:cs="仿宋_GB2312"/>
          <w:sz w:val="32"/>
          <w:szCs w:val="32"/>
          <w:lang w:val="en-US" w:eastAsia="zh-CN"/>
        </w:rPr>
      </w:pPr>
    </w:p>
    <w:p>
      <w:pPr>
        <w:spacing w:line="560" w:lineRule="atLeast"/>
        <w:rPr>
          <w:rFonts w:hint="eastAsia" w:ascii="仿宋_GB2312" w:hAnsi="仿宋_GB2312" w:eastAsia="仿宋_GB2312" w:cs="仿宋_GB2312"/>
          <w:sz w:val="32"/>
          <w:szCs w:val="32"/>
          <w:lang w:val="en-US" w:eastAsia="zh-CN"/>
        </w:rPr>
      </w:pPr>
    </w:p>
    <w:p>
      <w:pPr>
        <w:spacing w:line="560" w:lineRule="atLeast"/>
        <w:rPr>
          <w:rFonts w:hint="eastAsia" w:ascii="仿宋_GB2312" w:hAnsi="仿宋_GB2312" w:eastAsia="仿宋_GB2312" w:cs="仿宋_GB2312"/>
          <w:sz w:val="32"/>
          <w:szCs w:val="32"/>
          <w:lang w:val="en-US" w:eastAsia="zh-CN"/>
        </w:rPr>
      </w:pPr>
    </w:p>
    <w:p>
      <w:pPr>
        <w:spacing w:line="560" w:lineRule="atLeast"/>
        <w:rPr>
          <w:rFonts w:hint="eastAsia" w:ascii="仿宋_GB2312" w:hAnsi="仿宋_GB2312" w:eastAsia="仿宋_GB2312" w:cs="仿宋_GB2312"/>
          <w:sz w:val="32"/>
          <w:szCs w:val="32"/>
          <w:lang w:val="en-US" w:eastAsia="zh-CN"/>
        </w:rPr>
      </w:pPr>
    </w:p>
    <w:p>
      <w:pPr>
        <w:spacing w:line="560" w:lineRule="atLeast"/>
        <w:rPr>
          <w:rFonts w:hint="eastAsia" w:ascii="仿宋_GB2312" w:hAnsi="仿宋_GB2312" w:eastAsia="仿宋_GB2312" w:cs="仿宋_GB2312"/>
          <w:sz w:val="32"/>
          <w:szCs w:val="32"/>
          <w:lang w:val="en-US" w:eastAsia="zh-CN"/>
        </w:rPr>
      </w:pPr>
    </w:p>
    <w:p>
      <w:pPr>
        <w:spacing w:line="560" w:lineRule="atLeast"/>
        <w:rPr>
          <w:rFonts w:hint="eastAsia" w:ascii="仿宋_GB2312" w:hAnsi="仿宋_GB2312" w:eastAsia="仿宋_GB2312" w:cs="仿宋_GB2312"/>
          <w:sz w:val="32"/>
          <w:szCs w:val="32"/>
          <w:lang w:val="en-US" w:eastAsia="zh-CN"/>
        </w:rPr>
      </w:pPr>
    </w:p>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15</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16</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106.67%</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0.07</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1.5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0.12</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eastAsia="zh-CN"/>
              </w:rPr>
              <w:t>现代农业农村发展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138.56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115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113.96</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其他农林水支出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8.95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8</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3.22</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eastAsia="zh-CN"/>
              </w:rPr>
            </w:pPr>
            <w:r>
              <w:rPr>
                <w:rFonts w:hint="default" w:ascii="Times New Roman" w:hAnsi="Times New Roman" w:eastAsia="仿宋_GB2312" w:cs="Times New Roman"/>
                <w:sz w:val="20"/>
                <w:szCs w:val="20"/>
              </w:rPr>
              <w:t>楼堂馆所控制情况</w:t>
            </w:r>
          </w:p>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bCs/>
                <w:sz w:val="20"/>
                <w:szCs w:val="20"/>
                <w:lang w:eastAsia="zh-CN"/>
              </w:rPr>
            </w:pPr>
            <w:r>
              <w:rPr>
                <w:rFonts w:hint="default" w:ascii="Times New Roman" w:hAnsi="Times New Roman" w:eastAsia="仿宋_GB2312" w:cs="Times New Roman"/>
                <w:bCs/>
                <w:sz w:val="20"/>
                <w:szCs w:val="20"/>
              </w:rPr>
              <w:t>批复规模</w:t>
            </w:r>
          </w:p>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079"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88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湖南省优质农产品开发服务中心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算申请</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551.51</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591.93</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588.83</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99.48%</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432.99</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474.87</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113.96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155.84</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10"/>
                <w:szCs w:val="10"/>
              </w:rPr>
            </w:pPr>
            <w:r>
              <w:rPr>
                <w:rFonts w:hint="eastAsia" w:ascii="仿宋_GB2312" w:hAnsi="仿宋_GB2312" w:eastAsia="仿宋_GB2312" w:cs="仿宋_GB2312"/>
                <w:i w:val="0"/>
                <w:iCs w:val="0"/>
                <w:color w:val="000000"/>
                <w:kern w:val="0"/>
                <w:sz w:val="16"/>
                <w:szCs w:val="16"/>
                <w:u w:val="none"/>
                <w:lang w:val="en-US" w:eastAsia="zh-CN" w:bidi="ar"/>
              </w:rPr>
              <w:t>完成中心业务工作、尽心尽力覆职覆能，抓文明创建和安全生产。</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0"/>
                <w:szCs w:val="10"/>
              </w:rPr>
            </w:pPr>
            <w:r>
              <w:rPr>
                <w:rFonts w:hint="eastAsia" w:ascii="仿宋_GB2312" w:hAnsi="仿宋_GB2312" w:eastAsia="仿宋_GB2312" w:cs="仿宋_GB2312"/>
                <w:i w:val="0"/>
                <w:iCs w:val="0"/>
                <w:color w:val="000000"/>
                <w:kern w:val="0"/>
                <w:sz w:val="13"/>
                <w:szCs w:val="13"/>
                <w:u w:val="none"/>
                <w:lang w:val="en-US" w:eastAsia="zh-CN" w:bidi="ar"/>
              </w:rPr>
              <w:t>完成23年业务工作，确保两个“中心”平稳运行，举办产销对接及接待活动30次；申报9个产品入选全国名特优新农产品目录；管好国有资产，确保资产平安增值。</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i w:val="0"/>
                <w:iCs w:val="0"/>
                <w:color w:val="000000"/>
                <w:kern w:val="0"/>
                <w:sz w:val="18"/>
                <w:szCs w:val="18"/>
                <w:u w:val="none"/>
                <w:lang w:val="en-US" w:eastAsia="zh-CN" w:bidi="ar"/>
              </w:rPr>
              <w:t>保障人员工资人数</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16人</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　</w:t>
            </w:r>
            <w:r>
              <w:rPr>
                <w:rFonts w:hint="eastAsia" w:ascii="仿宋_GB2312" w:hAnsi="仿宋_GB2312" w:eastAsia="仿宋_GB2312" w:cs="仿宋_GB2312"/>
                <w:color w:val="000000"/>
                <w:sz w:val="18"/>
                <w:szCs w:val="18"/>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i w:val="0"/>
                <w:iCs w:val="0"/>
                <w:color w:val="000000"/>
                <w:kern w:val="0"/>
                <w:sz w:val="18"/>
                <w:szCs w:val="18"/>
                <w:u w:val="none"/>
                <w:lang w:val="en-US" w:eastAsia="zh-CN" w:bidi="ar"/>
              </w:rPr>
              <w:t>全国名特优新农产品名录申报工作</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　</w:t>
            </w:r>
            <w:r>
              <w:rPr>
                <w:rFonts w:hint="eastAsia" w:ascii="仿宋_GB2312" w:hAnsi="仿宋_GB2312" w:eastAsia="仿宋_GB2312" w:cs="仿宋_GB2312"/>
                <w:color w:val="000000"/>
                <w:sz w:val="18"/>
                <w:szCs w:val="18"/>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农产品宣传推广工作</w:t>
            </w:r>
          </w:p>
        </w:tc>
        <w:tc>
          <w:tcPr>
            <w:tcW w:w="131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已完成</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eastAsia="zh-CN"/>
              </w:rPr>
              <w:t>良好</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　</w:t>
            </w:r>
            <w:r>
              <w:rPr>
                <w:rFonts w:hint="eastAsia" w:ascii="仿宋_GB2312" w:hAnsi="仿宋_GB2312" w:eastAsia="仿宋_GB2312" w:cs="仿宋_GB2312"/>
                <w:color w:val="000000"/>
                <w:sz w:val="18"/>
                <w:szCs w:val="18"/>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2"/>
                <w:sz w:val="16"/>
                <w:szCs w:val="16"/>
                <w:u w:val="none"/>
                <w:lang w:val="en-US" w:eastAsia="zh-CN" w:bidi="ar-SA"/>
              </w:rPr>
              <w:t>完成时间</w:t>
            </w:r>
          </w:p>
        </w:tc>
        <w:tc>
          <w:tcPr>
            <w:tcW w:w="131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2023年</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已完成</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优质农产品展示展销营运</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120万</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120</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7</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非税收入</w:t>
            </w:r>
          </w:p>
        </w:tc>
        <w:tc>
          <w:tcPr>
            <w:tcW w:w="131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≥280万</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280万</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抓管理保平安</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10"/>
                <w:szCs w:val="10"/>
                <w:lang w:val="en-US" w:eastAsia="zh-CN"/>
              </w:rPr>
            </w:pPr>
            <w:r>
              <w:rPr>
                <w:rFonts w:hint="eastAsia" w:ascii="仿宋_GB2312" w:hAnsi="仿宋_GB2312" w:eastAsia="仿宋_GB2312" w:cs="仿宋_GB2312"/>
                <w:color w:val="000000"/>
                <w:sz w:val="16"/>
                <w:szCs w:val="16"/>
                <w:lang w:val="en-US" w:eastAsia="zh-CN"/>
              </w:rPr>
              <w:t>100%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rPr>
              <w:t>　</w:t>
            </w:r>
            <w:r>
              <w:rPr>
                <w:rFonts w:hint="eastAsia" w:ascii="仿宋_GB2312" w:hAnsi="仿宋_GB2312" w:eastAsia="仿宋_GB2312" w:cs="仿宋_GB2312"/>
                <w:color w:val="000000"/>
                <w:sz w:val="16"/>
                <w:szCs w:val="16"/>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1"/>
                <w:szCs w:val="21"/>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1"/>
                <w:szCs w:val="21"/>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绿色、优质农产品遍布湖南农产品市场</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10"/>
                <w:szCs w:val="10"/>
                <w:lang w:val="en-US" w:eastAsia="zh-CN" w:bidi="ar-SA"/>
              </w:rPr>
            </w:pPr>
            <w:r>
              <w:rPr>
                <w:rFonts w:hint="eastAsia" w:ascii="仿宋_GB2312" w:hAnsi="仿宋_GB2312" w:eastAsia="仿宋_GB2312" w:cs="仿宋_GB2312"/>
                <w:color w:val="000000"/>
                <w:sz w:val="16"/>
                <w:szCs w:val="16"/>
                <w:lang w:val="en-US" w:eastAsia="zh-CN"/>
              </w:rPr>
              <w:t>100%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2"/>
                <w:sz w:val="16"/>
                <w:szCs w:val="16"/>
                <w:lang w:val="en-US" w:eastAsia="zh-CN" w:bidi="ar-SA"/>
              </w:rPr>
            </w:pPr>
            <w:r>
              <w:rPr>
                <w:rFonts w:hint="eastAsia" w:ascii="仿宋_GB2312" w:hAnsi="仿宋_GB2312" w:eastAsia="仿宋_GB2312" w:cs="仿宋_GB2312"/>
                <w:color w:val="000000"/>
                <w:sz w:val="16"/>
                <w:szCs w:val="16"/>
              </w:rPr>
              <w:t>　</w:t>
            </w:r>
            <w:r>
              <w:rPr>
                <w:rFonts w:hint="eastAsia" w:ascii="仿宋_GB2312" w:hAnsi="仿宋_GB2312" w:eastAsia="仿宋_GB2312" w:cs="仿宋_GB2312"/>
                <w:color w:val="000000"/>
                <w:sz w:val="16"/>
                <w:szCs w:val="16"/>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16"/>
                <w:szCs w:val="16"/>
                <w:lang w:val="en-US" w:eastAsia="zh-CN" w:bidi="ar-SA"/>
              </w:rPr>
            </w:pPr>
            <w:r>
              <w:rPr>
                <w:rFonts w:hint="eastAsia" w:ascii="仿宋_GB2312" w:hAnsi="仿宋_GB2312" w:eastAsia="仿宋_GB2312" w:cs="仿宋_GB2312"/>
                <w:color w:val="000000"/>
                <w:sz w:val="16"/>
                <w:szCs w:val="16"/>
                <w:lang w:val="en-US" w:eastAsia="zh-CN"/>
              </w:rPr>
              <w:t>7</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val="en-US" w:eastAsia="zh-CN"/>
              </w:rPr>
              <w:t>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建设我省特色农产品产销对接新平台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不断优化</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95%以上</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r>
              <w:rPr>
                <w:rFonts w:hint="eastAsia" w:ascii="Times New Roman" w:hAnsi="Times New Roman" w:eastAsia="仿宋_GB2312" w:cs="Times New Roman"/>
                <w:color w:val="000000"/>
                <w:sz w:val="20"/>
                <w:szCs w:val="20"/>
                <w:lang w:eastAsia="zh-CN"/>
              </w:rPr>
              <w:t>增强服务意识，更好的服务大众。</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p>
        </w:tc>
        <w:tc>
          <w:tcPr>
            <w:tcW w:w="131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6"/>
                <w:szCs w:val="16"/>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贫困地区优质农产品展示展销</w:t>
            </w:r>
          </w:p>
        </w:tc>
        <w:tc>
          <w:tcPr>
            <w:tcW w:w="131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95%以上</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95%以上</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全省优质农产品公益宣传</w:t>
            </w:r>
          </w:p>
        </w:tc>
        <w:tc>
          <w:tcPr>
            <w:tcW w:w="131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低于2022年</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低于22年</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rPr>
              <w:t>　</w:t>
            </w:r>
            <w:r>
              <w:rPr>
                <w:rFonts w:hint="eastAsia" w:ascii="仿宋_GB2312" w:hAnsi="仿宋_GB2312" w:eastAsia="仿宋_GB2312" w:cs="仿宋_GB2312"/>
                <w:color w:val="000000"/>
                <w:sz w:val="16"/>
                <w:szCs w:val="16"/>
                <w:lang w:eastAsia="zh-CN"/>
              </w:rPr>
              <w:t>加强优质绿色农产品宣传力度</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10"/>
                <w:szCs w:val="10"/>
              </w:rPr>
            </w:pPr>
            <w:r>
              <w:rPr>
                <w:rFonts w:hint="eastAsia" w:ascii="仿宋_GB2312" w:hAnsi="仿宋_GB2312" w:eastAsia="仿宋_GB2312" w:cs="仿宋_GB2312"/>
                <w:color w:val="000000"/>
                <w:sz w:val="10"/>
                <w:szCs w:val="1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96</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pPr>
        <w:pStyle w:val="15"/>
        <w:jc w:val="center"/>
        <w:rPr>
          <w:sz w:val="72"/>
          <w:szCs w:val="72"/>
        </w:rPr>
      </w:pPr>
      <w:r>
        <w:rPr>
          <w:rFonts w:hint="default" w:ascii="Times New Roman" w:hAnsi="Times New Roman" w:eastAsia="仿宋_GB2312" w:cs="Times New Roman"/>
          <w:sz w:val="22"/>
          <w:szCs w:val="22"/>
        </w:rPr>
        <w:br w:type="page"/>
      </w:r>
    </w:p>
    <w:p>
      <w:pPr>
        <w:pStyle w:val="15"/>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F87B01"/>
    <w:multiLevelType w:val="singleLevel"/>
    <w:tmpl w:val="D5F87B01"/>
    <w:lvl w:ilvl="0" w:tentative="0">
      <w:start w:val="2"/>
      <w:numFmt w:val="decimal"/>
      <w:suff w:val="nothing"/>
      <w:lvlText w:val="%1、"/>
      <w:lvlJc w:val="left"/>
    </w:lvl>
  </w:abstractNum>
  <w:abstractNum w:abstractNumId="1">
    <w:nsid w:val="26B8821E"/>
    <w:multiLevelType w:val="singleLevel"/>
    <w:tmpl w:val="26B8821E"/>
    <w:lvl w:ilvl="0" w:tentative="0">
      <w:start w:val="5"/>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092C"/>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7415A5"/>
    <w:rsid w:val="12BF3F4B"/>
    <w:rsid w:val="17CD7D7F"/>
    <w:rsid w:val="1938493E"/>
    <w:rsid w:val="1D97DEFF"/>
    <w:rsid w:val="1DFF72E5"/>
    <w:rsid w:val="1EFC6F07"/>
    <w:rsid w:val="1F8B6852"/>
    <w:rsid w:val="2174750A"/>
    <w:rsid w:val="21FE09C0"/>
    <w:rsid w:val="27322B84"/>
    <w:rsid w:val="2FDF85B8"/>
    <w:rsid w:val="2FFFEE04"/>
    <w:rsid w:val="30B65379"/>
    <w:rsid w:val="31990EA4"/>
    <w:rsid w:val="3462753B"/>
    <w:rsid w:val="34DF85B0"/>
    <w:rsid w:val="37E1145A"/>
    <w:rsid w:val="3B8F36BC"/>
    <w:rsid w:val="443875A2"/>
    <w:rsid w:val="448C0FB4"/>
    <w:rsid w:val="466A4D53"/>
    <w:rsid w:val="48380E85"/>
    <w:rsid w:val="491FF225"/>
    <w:rsid w:val="4A356407"/>
    <w:rsid w:val="4FFD214C"/>
    <w:rsid w:val="5777D4F5"/>
    <w:rsid w:val="59DD8326"/>
    <w:rsid w:val="5DEF592A"/>
    <w:rsid w:val="5FC6BB1E"/>
    <w:rsid w:val="5FF720F1"/>
    <w:rsid w:val="64E24154"/>
    <w:rsid w:val="67FF5C0B"/>
    <w:rsid w:val="6D6F39E4"/>
    <w:rsid w:val="6EFC0924"/>
    <w:rsid w:val="6FB74722"/>
    <w:rsid w:val="6FEF8B7E"/>
    <w:rsid w:val="71A0685B"/>
    <w:rsid w:val="71A6591B"/>
    <w:rsid w:val="737D59BA"/>
    <w:rsid w:val="77C37683"/>
    <w:rsid w:val="78D1173B"/>
    <w:rsid w:val="79FF515B"/>
    <w:rsid w:val="7A057554"/>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6">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page number"/>
    <w:basedOn w:val="11"/>
    <w:qFormat/>
    <w:uiPriority w:val="0"/>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9010</Words>
  <Characters>10797</Characters>
  <Lines>63</Lines>
  <Paragraphs>18</Paragraphs>
  <TotalTime>35</TotalTime>
  <ScaleCrop>false</ScaleCrop>
  <LinksUpToDate>false</LinksUpToDate>
  <CharactersWithSpaces>11091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2024-09-06T06:25:00Z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D38D6D8739F147F5976945C5726F8E1A_12</vt:lpwstr>
  </property>
</Properties>
</file>