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color w:val="auto"/>
          <w:sz w:val="56"/>
          <w:szCs w:val="56"/>
        </w:rPr>
      </w:pPr>
    </w:p>
    <w:p>
      <w:pPr>
        <w:pStyle w:val="14"/>
        <w:jc w:val="center"/>
        <w:rPr>
          <w:color w:val="auto"/>
          <w:sz w:val="56"/>
          <w:szCs w:val="56"/>
        </w:rPr>
      </w:pPr>
    </w:p>
    <w:p>
      <w:pPr>
        <w:pStyle w:val="14"/>
        <w:jc w:val="center"/>
        <w:rPr>
          <w:color w:val="auto"/>
          <w:sz w:val="84"/>
          <w:szCs w:val="84"/>
        </w:rPr>
      </w:pPr>
    </w:p>
    <w:p>
      <w:pPr>
        <w:pStyle w:val="14"/>
        <w:jc w:val="center"/>
        <w:rPr>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w:t>
      </w:r>
      <w:r>
        <w:rPr>
          <w:rFonts w:hint="eastAsia" w:ascii="方正小标宋_GBK" w:hAnsi="方正小标宋_GBK" w:eastAsia="方正小标宋_GBK" w:cs="方正小标宋_GBK"/>
          <w:color w:val="auto"/>
          <w:sz w:val="84"/>
          <w:szCs w:val="84"/>
          <w:lang w:val="en-US" w:eastAsia="zh-CN"/>
        </w:rPr>
        <w:t>3</w:t>
      </w:r>
      <w:r>
        <w:rPr>
          <w:rFonts w:hint="eastAsia" w:ascii="方正小标宋_GBK" w:hAnsi="方正小标宋_GBK" w:eastAsia="方正小标宋_GBK" w:cs="方正小标宋_GBK"/>
          <w:color w:val="auto"/>
          <w:sz w:val="84"/>
          <w:szCs w:val="84"/>
        </w:rPr>
        <w:t>年度</w:t>
      </w: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lang w:val="en-US" w:eastAsia="zh-CN"/>
        </w:rPr>
        <w:t>湖南省植保植检站</w:t>
      </w:r>
      <w:r>
        <w:rPr>
          <w:rFonts w:hint="eastAsia" w:ascii="方正小标宋_GBK" w:hAnsi="方正小标宋_GBK" w:eastAsia="方正小标宋_GBK" w:cs="方正小标宋_GBK"/>
          <w:color w:val="auto"/>
          <w:sz w:val="84"/>
          <w:szCs w:val="84"/>
        </w:rPr>
        <w:t>部门决算</w:t>
      </w:r>
    </w:p>
    <w:p>
      <w:pPr>
        <w:pStyle w:val="14"/>
        <w:jc w:val="center"/>
        <w:rPr>
          <w:rFonts w:hint="eastAsia" w:ascii="方正小标宋_GBK" w:hAnsi="方正小标宋_GBK" w:eastAsia="方正小标宋_GBK" w:cs="方正小标宋_GBK"/>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spacing w:line="540" w:lineRule="exact"/>
        <w:jc w:val="center"/>
        <w:rPr>
          <w:color w:val="auto"/>
          <w:sz w:val="56"/>
          <w:szCs w:val="56"/>
        </w:rPr>
      </w:pPr>
    </w:p>
    <w:p>
      <w:pPr>
        <w:pStyle w:val="14"/>
        <w:spacing w:line="500" w:lineRule="exact"/>
        <w:jc w:val="center"/>
        <w:rPr>
          <w:b/>
          <w:color w:val="auto"/>
          <w:sz w:val="36"/>
          <w:szCs w:val="28"/>
        </w:rPr>
      </w:pPr>
      <w:r>
        <w:rPr>
          <w:rFonts w:hint="eastAsia"/>
          <w:b/>
          <w:color w:val="auto"/>
          <w:sz w:val="36"/>
          <w:szCs w:val="28"/>
        </w:rPr>
        <w:t>目录</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第一部分</w:t>
      </w:r>
      <w:r>
        <w:rPr>
          <w:rFonts w:hint="eastAsia" w:ascii="黑体" w:hAnsi="黑体" w:eastAsia="黑体" w:cs="黑体"/>
          <w:b w:val="0"/>
          <w:bCs/>
          <w:color w:val="auto"/>
          <w:sz w:val="28"/>
          <w:szCs w:val="28"/>
          <w:lang w:val="en-US" w:eastAsia="zh-CN"/>
        </w:rPr>
        <w:t xml:space="preserve"> </w:t>
      </w:r>
      <w:r>
        <w:rPr>
          <w:rFonts w:hint="eastAsia" w:hAnsi="黑体" w:cs="黑体"/>
          <w:b w:val="0"/>
          <w:bCs/>
          <w:color w:val="auto"/>
          <w:sz w:val="28"/>
          <w:szCs w:val="28"/>
          <w:lang w:val="en-US" w:eastAsia="zh-CN"/>
        </w:rPr>
        <w:t>湖南省植保植检站</w:t>
      </w:r>
      <w:r>
        <w:rPr>
          <w:rFonts w:hint="eastAsia" w:ascii="黑体" w:hAnsi="黑体" w:eastAsia="黑体" w:cs="黑体"/>
          <w:b w:val="0"/>
          <w:bCs/>
          <w:color w:val="auto"/>
          <w:sz w:val="28"/>
          <w:szCs w:val="28"/>
        </w:rPr>
        <w:t>概况</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第二部分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部门决算表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第三部分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部门决算情况说明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w:t>
      </w:r>
      <w:r>
        <w:rPr>
          <w:rFonts w:hint="default" w:ascii="Times New Roman" w:hAnsi="Times New Roman" w:eastAsia="仿宋_GB2312" w:cs="Times New Roman"/>
          <w:color w:val="auto"/>
          <w:sz w:val="28"/>
          <w:szCs w:val="28"/>
        </w:rPr>
        <w:t>202</w:t>
      </w:r>
      <w:r>
        <w:rPr>
          <w:rFonts w:hint="default" w:ascii="Times New Roman" w:hAnsi="Times New Roman" w:eastAsia="仿宋_GB2312" w:cs="Times New Roman"/>
          <w:color w:val="auto"/>
          <w:sz w:val="28"/>
          <w:szCs w:val="28"/>
          <w:lang w:val="en-US" w:eastAsia="zh-CN"/>
        </w:rPr>
        <w:t>3</w:t>
      </w:r>
      <w:r>
        <w:rPr>
          <w:rFonts w:hint="eastAsia" w:ascii="仿宋_GB2312" w:hAnsi="仿宋_GB2312" w:eastAsia="仿宋_GB2312" w:cs="仿宋_GB2312"/>
          <w:color w:val="auto"/>
          <w:sz w:val="28"/>
          <w:szCs w:val="28"/>
        </w:rPr>
        <w:t>年度</w:t>
      </w:r>
      <w:r>
        <w:rPr>
          <w:rFonts w:hint="eastAsia" w:ascii="仿宋_GB2312" w:hAnsi="仿宋_GB2312" w:eastAsia="仿宋_GB2312" w:cs="仿宋_GB2312"/>
          <w:color w:val="auto"/>
          <w:sz w:val="28"/>
          <w:szCs w:val="28"/>
          <w:lang w:eastAsia="zh-CN"/>
        </w:rPr>
        <w:t>预算</w:t>
      </w:r>
      <w:r>
        <w:rPr>
          <w:rFonts w:hint="eastAsia" w:ascii="仿宋_GB2312" w:hAnsi="仿宋_GB2312" w:eastAsia="仿宋_GB2312" w:cs="仿宋_GB2312"/>
          <w:color w:val="auto"/>
          <w:sz w:val="28"/>
          <w:szCs w:val="28"/>
        </w:rPr>
        <w:t>绩效情况的说明</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第四部分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名词解释</w:t>
      </w:r>
    </w:p>
    <w:p>
      <w:pPr>
        <w:pStyle w:val="14"/>
        <w:spacing w:line="500" w:lineRule="exact"/>
        <w:rPr>
          <w:rFonts w:hint="eastAsia" w:ascii="黑体" w:hAnsi="黑体" w:eastAsia="黑体" w:cs="黑体"/>
          <w:b w:val="0"/>
          <w:bCs/>
          <w:color w:val="auto"/>
          <w:sz w:val="28"/>
          <w:szCs w:val="28"/>
          <w:lang w:eastAsia="zh-CN"/>
        </w:rPr>
      </w:pPr>
      <w:r>
        <w:rPr>
          <w:rFonts w:hint="eastAsia" w:ascii="黑体" w:hAnsi="黑体" w:eastAsia="黑体" w:cs="黑体"/>
          <w:b w:val="0"/>
          <w:bCs/>
          <w:color w:val="auto"/>
          <w:sz w:val="28"/>
          <w:szCs w:val="28"/>
        </w:rPr>
        <w:t>第</w:t>
      </w:r>
      <w:r>
        <w:rPr>
          <w:rFonts w:hint="eastAsia" w:hAnsi="黑体" w:cs="黑体"/>
          <w:b w:val="0"/>
          <w:bCs/>
          <w:color w:val="auto"/>
          <w:sz w:val="28"/>
          <w:szCs w:val="28"/>
          <w:lang w:eastAsia="zh-CN"/>
        </w:rPr>
        <w:t>五</w:t>
      </w:r>
      <w:r>
        <w:rPr>
          <w:rFonts w:hint="eastAsia" w:ascii="黑体" w:hAnsi="黑体" w:eastAsia="黑体" w:cs="黑体"/>
          <w:b w:val="0"/>
          <w:bCs/>
          <w:color w:val="auto"/>
          <w:sz w:val="28"/>
          <w:szCs w:val="28"/>
        </w:rPr>
        <w:t>部分</w:t>
      </w:r>
      <w:r>
        <w:rPr>
          <w:rFonts w:hint="eastAsia" w:ascii="黑体" w:hAnsi="黑体" w:eastAsia="黑体" w:cs="黑体"/>
          <w:b w:val="0"/>
          <w:bCs/>
          <w:color w:val="auto"/>
          <w:sz w:val="28"/>
          <w:szCs w:val="28"/>
          <w:lang w:val="en-US" w:eastAsia="zh-CN"/>
        </w:rPr>
        <w:t xml:space="preserve"> </w:t>
      </w:r>
      <w:r>
        <w:rPr>
          <w:rFonts w:hint="eastAsia" w:hAnsi="黑体" w:cs="黑体"/>
          <w:b w:val="0"/>
          <w:bCs/>
          <w:color w:val="auto"/>
          <w:sz w:val="28"/>
          <w:szCs w:val="28"/>
          <w:lang w:eastAsia="zh-CN"/>
        </w:rPr>
        <w:t>附件</w:t>
      </w:r>
    </w:p>
    <w:p>
      <w:pPr>
        <w:pStyle w:val="14"/>
        <w:spacing w:line="500" w:lineRule="exact"/>
        <w:rPr>
          <w:rFonts w:hint="eastAsia" w:ascii="黑体" w:hAnsi="黑体" w:eastAsia="黑体" w:cs="黑体"/>
          <w:b w:val="0"/>
          <w:bCs/>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 xml:space="preserve">第一部分 </w:t>
      </w:r>
    </w:p>
    <w:p>
      <w:pPr>
        <w:pStyle w:val="14"/>
        <w:jc w:val="center"/>
        <w:rPr>
          <w:rFonts w:hint="eastAsia" w:ascii="方正小标宋_GBK" w:hAnsi="方正小标宋_GBK" w:eastAsia="方正小标宋_GBK" w:cs="方正小标宋_GBK"/>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lang w:val="en-US" w:eastAsia="zh-CN"/>
        </w:rPr>
        <w:t>湖南省植保植检站</w:t>
      </w:r>
      <w:r>
        <w:rPr>
          <w:rFonts w:hint="eastAsia" w:ascii="方正小标宋_GBK" w:hAnsi="方正小标宋_GBK" w:eastAsia="方正小标宋_GBK" w:cs="方正小标宋_GBK"/>
          <w:color w:val="auto"/>
          <w:sz w:val="84"/>
          <w:szCs w:val="84"/>
        </w:rPr>
        <w:t>概况</w:t>
      </w:r>
    </w:p>
    <w:p>
      <w:pPr>
        <w:jc w:val="center"/>
        <w:rPr>
          <w:rFonts w:hint="eastAsia" w:ascii="方正小标宋_GBK" w:hAnsi="方正小标宋_GBK" w:eastAsia="方正小标宋_GBK" w:cs="方正小标宋_GBK"/>
          <w:color w:val="auto"/>
          <w:sz w:val="72"/>
          <w:szCs w:val="72"/>
        </w:rPr>
      </w:pPr>
    </w:p>
    <w:p>
      <w:pPr>
        <w:jc w:val="center"/>
        <w:rPr>
          <w:rFonts w:hint="eastAsia" w:ascii="方正小标宋_GBK" w:hAnsi="方正小标宋_GBK" w:eastAsia="方正小标宋_GBK" w:cs="方正小标宋_GBK"/>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pStyle w:val="15"/>
        <w:numPr>
          <w:ilvl w:val="0"/>
          <w:numId w:val="1"/>
        </w:numPr>
        <w:ind w:firstLineChars="0"/>
        <w:jc w:val="left"/>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部门职责</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（一）研究拟定全省植保植检工作中长期规划，指导植保植检体系和队伍建设，组织并指导全省开展大面积农作物病虫草鼠防治工作。</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（二）承担全省专业性病虫测报体系规划、建设及相关业务管理，制定病虫草鼠调查测报办法，及时做出农业有害生物发生趋势预测，发布农业有害生物预报或灾情警报。</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（三）组织农作物病虫害防控与重大农业生物灾害控制。</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（四）组织贯彻植物检疫法律和法规</w:t>
      </w:r>
      <w:r>
        <w:rPr>
          <w:rFonts w:hint="eastAsia" w:ascii="Times New Roman" w:hAnsi="Times New Roman" w:eastAsia="仿宋_GB2312" w:cs="仿宋_GB2312"/>
          <w:bCs/>
          <w:color w:val="auto"/>
          <w:kern w:val="0"/>
          <w:sz w:val="32"/>
          <w:szCs w:val="32"/>
          <w:lang w:eastAsia="zh-CN"/>
        </w:rPr>
        <w:t>，</w:t>
      </w:r>
      <w:r>
        <w:rPr>
          <w:rFonts w:hint="eastAsia" w:ascii="Times New Roman" w:hAnsi="Times New Roman" w:eastAsia="仿宋_GB2312" w:cs="仿宋_GB2312"/>
          <w:bCs/>
          <w:color w:val="auto"/>
          <w:kern w:val="0"/>
          <w:sz w:val="32"/>
          <w:szCs w:val="32"/>
        </w:rPr>
        <w:t>承办检疫审批、检疫检验、签发证书、组织疫情普查，制定封锁和消灭措施。</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（五）负责植保新技术、新农药、新药械的试验示范、开发及推广应用，开展农药使用等专业技术培训及监督管理。</w:t>
      </w:r>
    </w:p>
    <w:p>
      <w:pPr>
        <w:widowControl/>
        <w:spacing w:line="600" w:lineRule="exact"/>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二、机构设置及决算单位构成</w:t>
      </w:r>
    </w:p>
    <w:p>
      <w:pPr>
        <w:ind w:firstLine="600"/>
        <w:jc w:val="left"/>
        <w:rPr>
          <w:rFonts w:asciiTheme="minorEastAsia" w:hAnsiTheme="minorEastAsia"/>
          <w:bCs/>
          <w:color w:val="auto"/>
          <w:kern w:val="0"/>
          <w:sz w:val="32"/>
          <w:szCs w:val="32"/>
        </w:rPr>
      </w:pPr>
      <w:r>
        <w:rPr>
          <w:rFonts w:hint="eastAsia" w:ascii="Times New Roman" w:hAnsi="Times New Roman" w:eastAsia="仿宋_GB2312" w:cs="仿宋_GB2312"/>
          <w:bCs/>
          <w:color w:val="auto"/>
          <w:kern w:val="0"/>
          <w:sz w:val="32"/>
          <w:szCs w:val="32"/>
        </w:rPr>
        <w:t>（一）内设机构设置。</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内设机构包括：</w:t>
      </w:r>
      <w:r>
        <w:rPr>
          <w:rFonts w:hint="eastAsia" w:ascii="Times New Roman" w:hAnsi="Times New Roman" w:eastAsia="仿宋_GB2312" w:cs="仿宋_GB2312"/>
          <w:bCs/>
          <w:color w:val="auto"/>
          <w:kern w:val="0"/>
          <w:sz w:val="32"/>
          <w:szCs w:val="32"/>
          <w:lang w:val="en-US" w:eastAsia="zh-CN"/>
        </w:rPr>
        <w:t>综合科、测报科、检疫科、防治科、计财科、药械科、经保科、信息科等8个科室（机构）</w:t>
      </w:r>
      <w:r>
        <w:rPr>
          <w:rFonts w:hint="eastAsia" w:asciiTheme="minorEastAsia" w:hAnsiTheme="minorEastAsia"/>
          <w:bCs/>
          <w:color w:val="auto"/>
          <w:kern w:val="0"/>
          <w:sz w:val="32"/>
          <w:szCs w:val="32"/>
        </w:rPr>
        <w:t>。</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hint="eastAsia" w:ascii="Times New Roman" w:hAnsi="Times New Roman" w:eastAsia="仿宋_GB2312" w:cs="仿宋_GB2312"/>
          <w:bCs/>
          <w:color w:val="auto"/>
          <w:kern w:val="0"/>
          <w:sz w:val="32"/>
          <w:szCs w:val="32"/>
        </w:rPr>
        <w:t>（二）决算单位构成。</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202</w:t>
      </w:r>
      <w:r>
        <w:rPr>
          <w:rFonts w:hint="eastAsia" w:ascii="Times New Roman" w:hAnsi="Times New Roman" w:eastAsia="仿宋_GB2312" w:cs="仿宋_GB2312"/>
          <w:bCs/>
          <w:color w:val="auto"/>
          <w:kern w:val="0"/>
          <w:sz w:val="32"/>
          <w:szCs w:val="32"/>
          <w:lang w:val="en-US" w:eastAsia="zh-CN"/>
        </w:rPr>
        <w:t>3</w:t>
      </w:r>
      <w:r>
        <w:rPr>
          <w:rFonts w:hint="eastAsia" w:ascii="Times New Roman" w:hAnsi="Times New Roman" w:eastAsia="仿宋_GB2312" w:cs="仿宋_GB2312"/>
          <w:bCs/>
          <w:color w:val="auto"/>
          <w:kern w:val="0"/>
          <w:sz w:val="32"/>
          <w:szCs w:val="32"/>
        </w:rPr>
        <w:t>年部门决算公开单位构成包括：</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本级</w:t>
      </w:r>
      <w:r>
        <w:rPr>
          <w:rFonts w:hint="eastAsia" w:ascii="Times New Roman" w:hAnsi="Times New Roman" w:eastAsia="仿宋_GB2312" w:cs="仿宋_GB2312"/>
          <w:bCs/>
          <w:color w:val="auto"/>
          <w:kern w:val="0"/>
          <w:sz w:val="32"/>
          <w:szCs w:val="32"/>
          <w:lang w:eastAsia="zh-CN"/>
        </w:rPr>
        <w:t>。</w:t>
      </w:r>
    </w:p>
    <w:p>
      <w:pPr>
        <w:jc w:val="left"/>
        <w:rPr>
          <w:rFonts w:ascii="仿宋_GB2312" w:eastAsia="仿宋_GB2312" w:hAnsiTheme="minorEastAsia"/>
          <w:color w:val="auto"/>
          <w:sz w:val="28"/>
          <w:szCs w:val="32"/>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color w:val="auto"/>
          <w:sz w:val="72"/>
          <w:szCs w:val="72"/>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4"/>
        <w:jc w:val="center"/>
        <w:rPr>
          <w:rFonts w:hint="eastAsia" w:ascii="方正小标宋_GBK" w:hAnsi="方正小标宋_GBK" w:eastAsia="方正小标宋_GBK" w:cs="方正小标宋_GBK"/>
          <w:color w:val="auto"/>
          <w:sz w:val="84"/>
          <w:szCs w:val="84"/>
        </w:rPr>
      </w:pPr>
    </w:p>
    <w:p>
      <w:pPr>
        <w:pStyle w:val="14"/>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color w:val="auto"/>
          <w:sz w:val="32"/>
          <w:szCs w:val="32"/>
        </w:rPr>
      </w:pPr>
    </w:p>
    <w:p>
      <w:pPr>
        <w:jc w:val="left"/>
        <w:rPr>
          <w:rFonts w:asciiTheme="minorEastAsia" w:hAnsiTheme="minorEastAsia"/>
          <w:color w:val="auto"/>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t xml:space="preserve"> </w:t>
      </w:r>
    </w:p>
    <w:tbl>
      <w:tblPr>
        <w:tblStyle w:val="10"/>
        <w:tblW w:w="149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40"/>
        <w:gridCol w:w="460"/>
        <w:gridCol w:w="900"/>
        <w:gridCol w:w="3320"/>
        <w:gridCol w:w="460"/>
        <w:gridCol w:w="6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902"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8"/>
                <w:szCs w:val="28"/>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54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9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332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622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540"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部门：湖南省植保植检站</w:t>
            </w: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9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332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622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收入</w:t>
            </w:r>
          </w:p>
        </w:tc>
        <w:tc>
          <w:tcPr>
            <w:tcW w:w="1000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3,010.82</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34</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四、上级补助收入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五、事业收入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六、经营收入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七、附属单位上缴收入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八、其他收入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0.04</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2,459.71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auto"/>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3,010.86</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2,678.02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使用非财政拨款结余和专用结余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3,224.29</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3,561.10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6,239.15</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62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6,239.15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90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90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br w:type="page"/>
      </w:r>
    </w:p>
    <w:p>
      <w:pPr>
        <w:widowControl/>
        <w:rPr>
          <w:rFonts w:ascii="Times New Roman" w:hAnsi="Times New Roman" w:eastAsia="方正小标宋_GBK" w:cs="Times New Roman"/>
          <w:color w:val="auto"/>
          <w:kern w:val="0"/>
          <w:sz w:val="36"/>
          <w:szCs w:val="36"/>
        </w:rPr>
      </w:pPr>
    </w:p>
    <w:tbl>
      <w:tblPr>
        <w:tblStyle w:val="10"/>
        <w:tblW w:w="153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56"/>
        <w:gridCol w:w="3887"/>
        <w:gridCol w:w="1751"/>
        <w:gridCol w:w="1751"/>
        <w:gridCol w:w="1447"/>
        <w:gridCol w:w="1447"/>
        <w:gridCol w:w="1447"/>
        <w:gridCol w:w="1447"/>
        <w:gridCol w:w="1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5359"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5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388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75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75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09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71"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部门：湖南省植保植检站</w:t>
            </w:r>
          </w:p>
        </w:tc>
        <w:tc>
          <w:tcPr>
            <w:tcW w:w="175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75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09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本年收入合计</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财政拨款收入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上级补助收入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附属单位上缴收入</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38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8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3,010.86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3,010.82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79.00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卫生健康支出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83.30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83.30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行政事业单位医疗</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83.30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83.30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行政单位医疗</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2101103</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公务员医疗补助</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2101199</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其他行政事业单位医疗支出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2,776.56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2,776.52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1,026.56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1,026.52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行政运行</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841.56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841.52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185.00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185.00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林业和草原</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1,750.00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1,750.00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2130299</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其他林业和草原支出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1,750.00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1,750.00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38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359"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注：本表反映部门本年度取得的各项收入情况。</w:t>
            </w:r>
          </w:p>
        </w:tc>
      </w:tr>
    </w:tbl>
    <w:p>
      <w:pPr>
        <w:widowControl/>
        <w:jc w:val="both"/>
        <w:rPr>
          <w:rFonts w:ascii="Times New Roman" w:hAnsi="Times New Roman" w:eastAsia="方正小标宋_GBK" w:cs="Times New Roman"/>
          <w:color w:val="auto"/>
          <w:kern w:val="0"/>
          <w:sz w:val="36"/>
          <w:szCs w:val="21"/>
        </w:rPr>
      </w:pPr>
    </w:p>
    <w:tbl>
      <w:tblPr>
        <w:tblStyle w:val="10"/>
        <w:tblW w:w="15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
        <w:gridCol w:w="253"/>
        <w:gridCol w:w="715"/>
        <w:gridCol w:w="4113"/>
        <w:gridCol w:w="1577"/>
        <w:gridCol w:w="1577"/>
        <w:gridCol w:w="1577"/>
        <w:gridCol w:w="1577"/>
        <w:gridCol w:w="1553"/>
        <w:gridCol w:w="19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152"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bookmarkStart w:id="0" w:name="RANGE!A1:I22"/>
            <w:bookmarkEnd w:id="0"/>
            <w:bookmarkStart w:id="1" w:name="RANGE!A1:F16"/>
            <w:r>
              <w:rPr>
                <w:rFonts w:hint="eastAsia" w:ascii="宋体" w:hAnsi="宋体" w:eastAsia="宋体" w:cs="宋体"/>
                <w:b/>
                <w:i w:val="0"/>
                <w:color w:val="auto"/>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7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1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55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95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334"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部门：湖南省植保植检站</w:t>
            </w:r>
          </w:p>
        </w:tc>
        <w:tc>
          <w:tcPr>
            <w:tcW w:w="1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55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95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3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本年支出合计</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上缴上级支出</w:t>
            </w:r>
          </w:p>
        </w:tc>
        <w:tc>
          <w:tcPr>
            <w:tcW w:w="155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经营支出</w:t>
            </w:r>
          </w:p>
        </w:tc>
        <w:tc>
          <w:tcPr>
            <w:tcW w:w="195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right="-319" w:rightChars="-152"/>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4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3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5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9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3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2,678.02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986.04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1,691.98</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卫生健康支出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行政事业单位医疗</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行政单位医疗</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40.22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40.22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2101103</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公务员医疗补助</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2101199</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其他行政事业单位医疗支出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2,459.71</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1,691.98</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939.42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171.69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行政运行</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2130108</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病虫害控制</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167.69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167.69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林业和草原</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2130299</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其他林业和草原支出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9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152"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注：本表反映部门本年度各项支出情况。</w:t>
            </w:r>
          </w:p>
        </w:tc>
      </w:tr>
    </w:tbl>
    <w:p>
      <w:pPr>
        <w:widowControl/>
        <w:jc w:val="center"/>
        <w:rPr>
          <w:rFonts w:ascii="Times New Roman" w:hAnsi="Times New Roman" w:eastAsia="方正小标宋_GBK" w:cs="Times New Roman"/>
          <w:color w:val="auto"/>
          <w:kern w:val="0"/>
          <w:sz w:val="36"/>
          <w:szCs w:val="36"/>
        </w:rPr>
      </w:pPr>
    </w:p>
    <w:tbl>
      <w:tblPr>
        <w:tblStyle w:val="10"/>
        <w:tblW w:w="155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59"/>
        <w:gridCol w:w="481"/>
        <w:gridCol w:w="1536"/>
        <w:gridCol w:w="3845"/>
        <w:gridCol w:w="481"/>
        <w:gridCol w:w="1133"/>
        <w:gridCol w:w="1536"/>
        <w:gridCol w:w="1259"/>
        <w:gridCol w:w="1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5514"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55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8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53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384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8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13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53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25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68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559"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部门：湖南省植保植检站</w:t>
            </w:r>
          </w:p>
        </w:tc>
        <w:tc>
          <w:tcPr>
            <w:tcW w:w="48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53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384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48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113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153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25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auto"/>
                <w:sz w:val="22"/>
                <w:szCs w:val="22"/>
                <w:u w:val="none"/>
              </w:rPr>
            </w:pPr>
          </w:p>
        </w:tc>
        <w:tc>
          <w:tcPr>
            <w:tcW w:w="168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     入</w:t>
            </w:r>
          </w:p>
        </w:tc>
        <w:tc>
          <w:tcPr>
            <w:tcW w:w="9938"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8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一般公共预算财政拨款</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政府性基金预算财政拨款</w:t>
            </w:r>
          </w:p>
        </w:tc>
        <w:tc>
          <w:tcPr>
            <w:tcW w:w="1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8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3,010.82</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2,455.71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2,455.71</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auto"/>
                <w:sz w:val="20"/>
                <w:szCs w:val="20"/>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25</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3,010.82</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2,674.02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2,674.02</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年初财政拨款结转和结余</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3,224.29</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年末财政拨款结转和结余</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3,561.10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3,561.10</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一般公共预算财政拨款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3,224.29</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政府性基金预算财政拨款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国有资本经营预算财政拨款</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6,235.11</w:t>
            </w:r>
          </w:p>
        </w:tc>
        <w:tc>
          <w:tcPr>
            <w:tcW w:w="3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6,235.11</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6,235.11</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830"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684"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r>
    </w:tbl>
    <w:p>
      <w:pPr>
        <w:pStyle w:val="3"/>
        <w:rPr>
          <w:rFonts w:ascii="Times New Roman" w:hAnsi="Times New Roman" w:eastAsia="方正小标宋_GBK" w:cs="Times New Roman"/>
          <w:color w:val="auto"/>
          <w:kern w:val="0"/>
          <w:sz w:val="36"/>
          <w:szCs w:val="36"/>
        </w:rPr>
      </w:pPr>
    </w:p>
    <w:p>
      <w:pPr>
        <w:rPr>
          <w:rFonts w:ascii="Times New Roman" w:hAnsi="Times New Roman" w:eastAsia="方正小标宋_GBK" w:cs="Times New Roman"/>
          <w:color w:val="auto"/>
          <w:kern w:val="0"/>
          <w:sz w:val="36"/>
          <w:szCs w:val="36"/>
        </w:rPr>
      </w:pPr>
    </w:p>
    <w:p>
      <w:pPr>
        <w:pStyle w:val="2"/>
        <w:rPr>
          <w:rFonts w:ascii="Times New Roman" w:hAnsi="Times New Roman" w:eastAsia="方正小标宋_GBK" w:cs="Times New Roman"/>
          <w:color w:val="auto"/>
          <w:kern w:val="0"/>
          <w:sz w:val="36"/>
          <w:szCs w:val="36"/>
        </w:rPr>
      </w:pPr>
    </w:p>
    <w:p>
      <w:pPr>
        <w:pStyle w:val="3"/>
        <w:rPr>
          <w:rFonts w:ascii="Times New Roman" w:hAnsi="Times New Roman" w:eastAsia="方正小标宋_GBK" w:cs="Times New Roman"/>
          <w:color w:val="auto"/>
          <w:kern w:val="0"/>
          <w:sz w:val="36"/>
          <w:szCs w:val="36"/>
        </w:rPr>
      </w:pPr>
    </w:p>
    <w:p>
      <w:pPr>
        <w:rPr>
          <w:rFonts w:ascii="Times New Roman" w:hAnsi="Times New Roman" w:eastAsia="方正小标宋_GBK" w:cs="Times New Roman"/>
          <w:color w:val="auto"/>
          <w:kern w:val="0"/>
          <w:sz w:val="36"/>
          <w:szCs w:val="36"/>
        </w:rPr>
      </w:pPr>
    </w:p>
    <w:p>
      <w:pPr>
        <w:pStyle w:val="2"/>
        <w:rPr>
          <w:rFonts w:ascii="Times New Roman" w:hAnsi="Times New Roman" w:eastAsia="方正小标宋_GBK" w:cs="Times New Roman"/>
          <w:color w:val="auto"/>
          <w:kern w:val="0"/>
          <w:sz w:val="36"/>
          <w:szCs w:val="36"/>
        </w:rPr>
      </w:pPr>
    </w:p>
    <w:p>
      <w:pPr>
        <w:pStyle w:val="3"/>
        <w:rPr>
          <w:rFonts w:ascii="Times New Roman" w:hAnsi="Times New Roman" w:eastAsia="方正小标宋_GBK" w:cs="Times New Roman"/>
          <w:color w:val="auto"/>
          <w:kern w:val="0"/>
          <w:sz w:val="36"/>
          <w:szCs w:val="36"/>
        </w:rPr>
      </w:pPr>
    </w:p>
    <w:p>
      <w:pPr>
        <w:rPr>
          <w:rFonts w:ascii="Times New Roman" w:hAnsi="Times New Roman" w:eastAsia="方正小标宋_GBK" w:cs="Times New Roman"/>
          <w:color w:val="auto"/>
          <w:kern w:val="0"/>
          <w:sz w:val="36"/>
          <w:szCs w:val="36"/>
        </w:rPr>
      </w:pPr>
    </w:p>
    <w:p>
      <w:pPr>
        <w:pStyle w:val="2"/>
        <w:rPr>
          <w:rFonts w:ascii="Times New Roman" w:hAnsi="Times New Roman" w:eastAsia="方正小标宋_GBK" w:cs="Times New Roman"/>
          <w:color w:val="auto"/>
          <w:kern w:val="0"/>
          <w:sz w:val="36"/>
          <w:szCs w:val="36"/>
        </w:rPr>
      </w:pPr>
    </w:p>
    <w:p>
      <w:pPr>
        <w:pStyle w:val="3"/>
        <w:rPr>
          <w:rFonts w:ascii="Times New Roman" w:hAnsi="Times New Roman" w:eastAsia="方正小标宋_GBK" w:cs="Times New Roman"/>
          <w:color w:val="auto"/>
          <w:kern w:val="0"/>
          <w:sz w:val="36"/>
          <w:szCs w:val="36"/>
        </w:rPr>
      </w:pPr>
    </w:p>
    <w:p>
      <w:pPr>
        <w:rPr>
          <w:rFonts w:ascii="Times New Roman" w:hAnsi="Times New Roman" w:eastAsia="方正小标宋_GBK" w:cs="Times New Roman"/>
          <w:color w:val="auto"/>
          <w:kern w:val="0"/>
          <w:sz w:val="36"/>
          <w:szCs w:val="36"/>
        </w:rPr>
      </w:pPr>
    </w:p>
    <w:tbl>
      <w:tblPr>
        <w:tblStyle w:val="10"/>
        <w:tblW w:w="14385" w:type="dxa"/>
        <w:tblInd w:w="6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784"/>
        <w:gridCol w:w="5601"/>
        <w:gridCol w:w="2672"/>
        <w:gridCol w:w="2275"/>
        <w:gridCol w:w="2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4385"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78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560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67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275"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2525"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6913"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部门：湖南省植保植检站</w:t>
            </w:r>
          </w:p>
        </w:tc>
        <w:tc>
          <w:tcPr>
            <w:tcW w:w="267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auto"/>
                <w:sz w:val="22"/>
                <w:szCs w:val="22"/>
                <w:u w:val="none"/>
              </w:rPr>
            </w:pPr>
          </w:p>
        </w:tc>
        <w:tc>
          <w:tcPr>
            <w:tcW w:w="2275"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2525"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747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560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220" w:leftChars="0" w:hanging="220" w:hangingChars="10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26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小计</w:t>
            </w:r>
          </w:p>
        </w:tc>
        <w:tc>
          <w:tcPr>
            <w:tcW w:w="22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2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3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56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6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2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560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6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2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2,674.02</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986.04</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1,687.98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67.45</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卫生健康支出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行政事业单位医疗</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78.85</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行政单位医疗</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40.22</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40.22</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2101103</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公务员医疗补助</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2101199</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其他行政事业单位医疗支出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5.64</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5.64</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2,455.71</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1,687.98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935.42</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167.69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行政运行</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767.73</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167.69</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167.69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林业和草原</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2130299</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其他林业和草原支出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1,520.29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56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2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72.00</w:t>
            </w:r>
          </w:p>
        </w:tc>
        <w:tc>
          <w:tcPr>
            <w:tcW w:w="2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385"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注：本表反映部门本年度一般公共预算财政拨款支出情况。</w:t>
            </w:r>
          </w:p>
        </w:tc>
      </w:tr>
    </w:tbl>
    <w:p>
      <w:pPr>
        <w:pStyle w:val="2"/>
        <w:rPr>
          <w:color w:val="auto"/>
        </w:rPr>
      </w:pPr>
    </w:p>
    <w:p>
      <w:pPr>
        <w:pStyle w:val="3"/>
        <w:ind w:left="-199" w:leftChars="-95" w:firstLine="480" w:firstLineChars="200"/>
        <w:rPr>
          <w:color w:val="auto"/>
        </w:rPr>
      </w:pPr>
      <w:r>
        <w:rPr>
          <w:color w:val="auto"/>
        </w:rPr>
        <w:drawing>
          <wp:inline distT="0" distB="0" distL="114300" distR="114300">
            <wp:extent cx="9772650" cy="6020435"/>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2650" cy="6020435"/>
                    </a:xfrm>
                    <a:prstGeom prst="rect">
                      <a:avLst/>
                    </a:prstGeom>
                    <a:noFill/>
                    <a:ln>
                      <a:noFill/>
                    </a:ln>
                  </pic:spPr>
                </pic:pic>
              </a:graphicData>
            </a:graphic>
          </wp:inline>
        </w:drawing>
      </w:r>
    </w:p>
    <w:p>
      <w:pPr>
        <w:widowControl/>
        <w:jc w:val="center"/>
        <w:rPr>
          <w:rFonts w:ascii="Times New Roman" w:hAnsi="Times New Roman" w:eastAsia="方正小标宋_GBK" w:cs="Times New Roman"/>
          <w:color w:val="auto"/>
          <w:kern w:val="0"/>
          <w:sz w:val="36"/>
          <w:szCs w:val="36"/>
        </w:rPr>
      </w:pPr>
    </w:p>
    <w:tbl>
      <w:tblPr>
        <w:tblStyle w:val="10"/>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auto"/>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部门：湖南省植保植检站</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xml:space="preserve">项 </w:t>
            </w:r>
            <w:r>
              <w:rPr>
                <w:rStyle w:val="17"/>
                <w:color w:val="auto"/>
                <w:lang w:val="en-US" w:eastAsia="zh-CN" w:bidi="ar"/>
              </w:rPr>
              <w:t xml:space="preserve">   </w:t>
            </w:r>
            <w:r>
              <w:rPr>
                <w:rStyle w:val="18"/>
                <w:color w:val="auto"/>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auto"/>
          <w:kern w:val="0"/>
          <w:sz w:val="36"/>
          <w:szCs w:val="36"/>
        </w:rPr>
      </w:pPr>
    </w:p>
    <w:p>
      <w:pPr>
        <w:pStyle w:val="2"/>
        <w:rPr>
          <w:color w:val="auto"/>
        </w:rPr>
      </w:pPr>
    </w:p>
    <w:bookmarkEnd w:id="1"/>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部门：湖南省植保植检站</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xml:space="preserve">项 </w:t>
            </w:r>
            <w:r>
              <w:rPr>
                <w:rFonts w:hint="eastAsia" w:ascii="宋体" w:hAnsi="宋体" w:eastAsia="宋体" w:cs="宋体"/>
                <w:i w:val="0"/>
                <w:color w:val="auto"/>
                <w:kern w:val="0"/>
                <w:sz w:val="22"/>
                <w:szCs w:val="22"/>
                <w:u w:val="none"/>
                <w:lang w:val="en-US" w:eastAsia="zh-CN" w:bidi="ar"/>
              </w:rPr>
              <w:t xml:space="preserve">   </w:t>
            </w:r>
            <w:r>
              <w:rPr>
                <w:rStyle w:val="19"/>
                <w:color w:val="auto"/>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auto"/>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auto"/>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部门：湖南省植保植检站</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公务用车</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4.86</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widowControl/>
        <w:jc w:val="both"/>
        <w:rPr>
          <w:color w:val="auto"/>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color w:val="auto"/>
          <w:szCs w:val="21"/>
        </w:rPr>
        <w:br w:type="page"/>
      </w:r>
    </w:p>
    <w:p>
      <w:pPr>
        <w:pStyle w:val="14"/>
        <w:rPr>
          <w:color w:val="auto"/>
          <w:sz w:val="72"/>
          <w:szCs w:val="72"/>
        </w:rPr>
      </w:pPr>
    </w:p>
    <w:p>
      <w:pPr>
        <w:pStyle w:val="14"/>
        <w:rPr>
          <w:color w:val="auto"/>
          <w:sz w:val="72"/>
          <w:szCs w:val="72"/>
        </w:rPr>
      </w:pPr>
    </w:p>
    <w:p>
      <w:pPr>
        <w:pStyle w:val="14"/>
        <w:rPr>
          <w:color w:val="auto"/>
          <w:sz w:val="72"/>
          <w:szCs w:val="72"/>
        </w:rPr>
      </w:pPr>
    </w:p>
    <w:p>
      <w:pPr>
        <w:pStyle w:val="14"/>
        <w:rPr>
          <w:color w:val="auto"/>
          <w:sz w:val="72"/>
          <w:szCs w:val="72"/>
        </w:rPr>
      </w:pPr>
    </w:p>
    <w:p>
      <w:pPr>
        <w:pStyle w:val="14"/>
        <w:jc w:val="center"/>
        <w:rPr>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4"/>
        <w:jc w:val="center"/>
        <w:rPr>
          <w:rFonts w:hint="eastAsia" w:ascii="方正小标宋_GBK" w:hAnsi="方正小标宋_GBK" w:eastAsia="方正小标宋_GBK" w:cs="方正小标宋_GBK"/>
          <w:color w:val="auto"/>
          <w:sz w:val="70"/>
          <w:szCs w:val="70"/>
        </w:rPr>
      </w:pPr>
    </w:p>
    <w:p>
      <w:pPr>
        <w:pStyle w:val="14"/>
        <w:jc w:val="center"/>
        <w:rPr>
          <w:rFonts w:hint="eastAsia"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w:t>
      </w:r>
      <w:r>
        <w:rPr>
          <w:rFonts w:hint="eastAsia" w:ascii="方正小标宋_GBK" w:hAnsi="方正小标宋_GBK" w:eastAsia="方正小标宋_GBK" w:cs="方正小标宋_GBK"/>
          <w:color w:val="auto"/>
          <w:sz w:val="70"/>
          <w:szCs w:val="70"/>
          <w:lang w:val="en-US" w:eastAsia="zh-CN"/>
        </w:rPr>
        <w:t>3</w:t>
      </w:r>
      <w:r>
        <w:rPr>
          <w:rFonts w:hint="eastAsia" w:ascii="方正小标宋_GBK" w:hAnsi="方正小标宋_GBK" w:eastAsia="方正小标宋_GBK" w:cs="方正小标宋_GBK"/>
          <w:color w:val="auto"/>
          <w:sz w:val="70"/>
          <w:szCs w:val="70"/>
        </w:rPr>
        <w:t>年度部门决算情况说明</w:t>
      </w:r>
    </w:p>
    <w:p>
      <w:pPr>
        <w:widowControl/>
        <w:jc w:val="left"/>
        <w:rPr>
          <w:rFonts w:asciiTheme="minorEastAsia" w:hAnsiTheme="minorEastAsia" w:eastAsiaTheme="minorEastAsia"/>
          <w:color w:val="auto"/>
          <w:sz w:val="32"/>
          <w:szCs w:val="32"/>
        </w:rPr>
      </w:pPr>
      <w:r>
        <w:rPr>
          <w:rFonts w:hint="eastAsia" w:ascii="方正小标宋_GBK" w:hAnsi="方正小标宋_GBK" w:eastAsia="方正小标宋_GBK" w:cs="方正小标宋_GBK"/>
          <w:color w:val="auto"/>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年度收、支总计</w:t>
      </w:r>
      <w:r>
        <w:rPr>
          <w:rFonts w:hint="eastAsia" w:ascii="Times New Roman" w:hAnsi="Times New Roman" w:eastAsia="仿宋_GB2312"/>
          <w:color w:val="auto"/>
          <w:sz w:val="32"/>
          <w:szCs w:val="32"/>
          <w:lang w:val="en-US" w:eastAsia="zh-CN"/>
        </w:rPr>
        <w:t>6239.15</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42.46</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0.68</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人员退休，人员经费减少。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年度收入合计</w:t>
      </w:r>
      <w:r>
        <w:rPr>
          <w:rFonts w:hint="eastAsia" w:ascii="Times New Roman" w:hAnsi="Times New Roman" w:eastAsia="仿宋_GB2312"/>
          <w:color w:val="auto"/>
          <w:sz w:val="32"/>
          <w:szCs w:val="32"/>
          <w:lang w:val="en-US" w:eastAsia="zh-CN"/>
        </w:rPr>
        <w:t>3010.86</w:t>
      </w:r>
      <w:r>
        <w:rPr>
          <w:rFonts w:hint="eastAsia" w:ascii="Times New Roman" w:hAnsi="Times New Roman" w:eastAsia="仿宋_GB2312"/>
          <w:color w:val="auto"/>
          <w:sz w:val="32"/>
          <w:szCs w:val="32"/>
        </w:rPr>
        <w:t>万元，其中：财政拨款收入</w:t>
      </w:r>
      <w:r>
        <w:rPr>
          <w:rFonts w:hint="eastAsia" w:ascii="Times New Roman" w:hAnsi="Times New Roman" w:eastAsia="仿宋_GB2312"/>
          <w:color w:val="auto"/>
          <w:sz w:val="32"/>
          <w:szCs w:val="32"/>
          <w:lang w:val="en-US" w:eastAsia="zh-CN"/>
        </w:rPr>
        <w:t>3010.82</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%；上级补助收入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%；事业收入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%；附属单位上缴收入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%；其他收入</w:t>
      </w:r>
      <w:r>
        <w:rPr>
          <w:rFonts w:hint="eastAsia" w:ascii="Times New Roman" w:hAnsi="Times New Roman" w:eastAsia="仿宋_GB2312"/>
          <w:color w:val="auto"/>
          <w:sz w:val="32"/>
          <w:szCs w:val="32"/>
          <w:lang w:val="en-US" w:eastAsia="zh-CN"/>
        </w:rPr>
        <w:t>0.04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年度支出合计</w:t>
      </w:r>
      <w:r>
        <w:rPr>
          <w:rFonts w:hint="eastAsia" w:ascii="Times New Roman" w:hAnsi="Times New Roman" w:eastAsia="仿宋_GB2312"/>
          <w:color w:val="auto"/>
          <w:sz w:val="32"/>
          <w:szCs w:val="32"/>
          <w:lang w:val="en-US" w:eastAsia="zh-CN"/>
        </w:rPr>
        <w:t>2678.02</w:t>
      </w:r>
      <w:r>
        <w:rPr>
          <w:rFonts w:hint="eastAsia" w:ascii="Times New Roman" w:hAnsi="Times New Roman" w:eastAsia="仿宋_GB2312"/>
          <w:color w:val="auto"/>
          <w:sz w:val="32"/>
          <w:szCs w:val="32"/>
        </w:rPr>
        <w:t>万元，其中：基本支出</w:t>
      </w:r>
      <w:r>
        <w:rPr>
          <w:rFonts w:hint="eastAsia" w:ascii="Times New Roman" w:hAnsi="Times New Roman" w:eastAsia="仿宋_GB2312"/>
          <w:color w:val="auto"/>
          <w:sz w:val="32"/>
          <w:szCs w:val="32"/>
          <w:lang w:val="en-US" w:eastAsia="zh-CN"/>
        </w:rPr>
        <w:t>986.04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36.82</w:t>
      </w:r>
      <w:r>
        <w:rPr>
          <w:rFonts w:hint="eastAsia" w:ascii="Times New Roman" w:hAnsi="Times New Roman" w:eastAsia="仿宋_GB2312"/>
          <w:color w:val="auto"/>
          <w:sz w:val="32"/>
          <w:szCs w:val="32"/>
        </w:rPr>
        <w:t>%；项目支出</w:t>
      </w:r>
      <w:r>
        <w:rPr>
          <w:rFonts w:hint="eastAsia" w:ascii="Times New Roman" w:hAnsi="Times New Roman" w:eastAsia="仿宋_GB2312"/>
          <w:color w:val="auto"/>
          <w:sz w:val="32"/>
          <w:szCs w:val="32"/>
          <w:lang w:val="en-US" w:eastAsia="zh-CN"/>
        </w:rPr>
        <w:t>1691.98</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63.18</w:t>
      </w:r>
      <w:r>
        <w:rPr>
          <w:rFonts w:hint="eastAsia" w:ascii="Times New Roman" w:hAnsi="Times New Roman" w:eastAsia="仿宋_GB2312"/>
          <w:color w:val="auto"/>
          <w:sz w:val="32"/>
          <w:szCs w:val="32"/>
        </w:rPr>
        <w:t>%；上缴上级支出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%；对附属单位补助支出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年度财政拨款收、支总计</w:t>
      </w:r>
      <w:r>
        <w:rPr>
          <w:rFonts w:hint="eastAsia" w:ascii="Times New Roman" w:hAnsi="Times New Roman" w:eastAsia="仿宋_GB2312"/>
          <w:color w:val="auto"/>
          <w:sz w:val="32"/>
          <w:szCs w:val="32"/>
          <w:lang w:val="en-US" w:eastAsia="zh-CN"/>
        </w:rPr>
        <w:t>6235.11</w:t>
      </w:r>
      <w:r>
        <w:rPr>
          <w:rFonts w:hint="eastAsia" w:ascii="Times New Roman" w:hAnsi="Times New Roman" w:eastAsia="仿宋_GB2312"/>
          <w:color w:val="auto"/>
          <w:sz w:val="32"/>
          <w:szCs w:val="32"/>
        </w:rPr>
        <w:t>万元，与上年相比，减少</w:t>
      </w:r>
      <w:r>
        <w:rPr>
          <w:rFonts w:hint="eastAsia" w:ascii="Times New Roman" w:hAnsi="Times New Roman" w:eastAsia="仿宋_GB2312"/>
          <w:color w:val="auto"/>
          <w:sz w:val="32"/>
          <w:szCs w:val="32"/>
          <w:lang w:val="en-US" w:eastAsia="zh-CN"/>
        </w:rPr>
        <w:t>36.81</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0.59</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人员退休，人员经费减少。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2674.02</w:t>
      </w:r>
      <w:r>
        <w:rPr>
          <w:rFonts w:hint="eastAsia" w:ascii="Times New Roman" w:hAnsi="Times New Roman" w:eastAsia="仿宋_GB2312"/>
          <w:color w:val="auto"/>
          <w:sz w:val="32"/>
          <w:szCs w:val="32"/>
        </w:rPr>
        <w:t>万元，占本年支出合计的</w:t>
      </w:r>
      <w:r>
        <w:rPr>
          <w:rFonts w:hint="eastAsia" w:ascii="Times New Roman" w:hAnsi="Times New Roman" w:eastAsia="仿宋_GB2312"/>
          <w:color w:val="auto"/>
          <w:sz w:val="32"/>
          <w:szCs w:val="32"/>
          <w:lang w:val="en-US" w:eastAsia="zh-CN"/>
        </w:rPr>
        <w:t>99.85</w:t>
      </w:r>
      <w:r>
        <w:rPr>
          <w:rFonts w:hint="eastAsia" w:ascii="Times New Roman" w:hAnsi="Times New Roman" w:eastAsia="仿宋_GB2312"/>
          <w:color w:val="auto"/>
          <w:sz w:val="32"/>
          <w:szCs w:val="32"/>
        </w:rPr>
        <w:t>%，与上年相比，财政拨款支出增加</w:t>
      </w:r>
      <w:r>
        <w:rPr>
          <w:rFonts w:hint="eastAsia" w:ascii="Times New Roman" w:hAnsi="Times New Roman" w:eastAsia="仿宋_GB2312"/>
          <w:color w:val="auto"/>
          <w:sz w:val="32"/>
          <w:szCs w:val="32"/>
          <w:lang w:val="en-US" w:eastAsia="zh-CN"/>
        </w:rPr>
        <w:t>50.97</w:t>
      </w:r>
      <w:r>
        <w:rPr>
          <w:rFonts w:hint="eastAsia" w:ascii="Times New Roman" w:hAnsi="Times New Roman" w:eastAsia="仿宋_GB2312"/>
          <w:color w:val="auto"/>
          <w:sz w:val="32"/>
          <w:szCs w:val="32"/>
        </w:rPr>
        <w:t>万元，增长</w:t>
      </w:r>
      <w:r>
        <w:rPr>
          <w:rFonts w:hint="eastAsia" w:ascii="Times New Roman" w:hAnsi="Times New Roman" w:eastAsia="仿宋_GB2312"/>
          <w:color w:val="auto"/>
          <w:sz w:val="32"/>
          <w:szCs w:val="32"/>
          <w:lang w:val="en-US" w:eastAsia="zh-CN"/>
        </w:rPr>
        <w:t>1.94</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中央预算内投资项目经费增加。</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2674.02</w:t>
      </w:r>
      <w:r>
        <w:rPr>
          <w:rFonts w:hint="eastAsia" w:ascii="Times New Roman" w:hAnsi="Times New Roman" w:eastAsia="仿宋_GB2312"/>
          <w:color w:val="auto"/>
          <w:sz w:val="32"/>
          <w:szCs w:val="32"/>
        </w:rPr>
        <w:t>万元，主要用于以下方面：社会保障和就业（类）支出</w:t>
      </w:r>
      <w:r>
        <w:rPr>
          <w:rFonts w:hint="eastAsia" w:ascii="Times New Roman" w:hAnsi="Times New Roman" w:eastAsia="仿宋_GB2312"/>
          <w:color w:val="auto"/>
          <w:sz w:val="32"/>
          <w:szCs w:val="32"/>
          <w:lang w:val="en-US" w:eastAsia="zh-CN"/>
        </w:rPr>
        <w:t>67.45</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2.52</w:t>
      </w:r>
      <w:r>
        <w:rPr>
          <w:rFonts w:hint="eastAsia" w:ascii="Times New Roman" w:hAnsi="Times New Roman" w:eastAsia="仿宋_GB2312"/>
          <w:color w:val="auto"/>
          <w:sz w:val="32"/>
          <w:szCs w:val="32"/>
        </w:rPr>
        <w:t>%；卫生健康（类）支出</w:t>
      </w:r>
      <w:r>
        <w:rPr>
          <w:rFonts w:hint="eastAsia" w:ascii="Times New Roman" w:hAnsi="Times New Roman" w:eastAsia="仿宋_GB2312"/>
          <w:color w:val="auto"/>
          <w:sz w:val="32"/>
          <w:szCs w:val="32"/>
          <w:lang w:val="en-US" w:eastAsia="zh-CN"/>
        </w:rPr>
        <w:t>78.85</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2.95</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；农林水</w:t>
      </w:r>
      <w:r>
        <w:rPr>
          <w:rFonts w:hint="eastAsia" w:ascii="Times New Roman" w:hAnsi="Times New Roman" w:eastAsia="仿宋_GB2312"/>
          <w:color w:val="auto"/>
          <w:sz w:val="32"/>
          <w:szCs w:val="32"/>
        </w:rPr>
        <w:t>（类）支出</w:t>
      </w:r>
      <w:r>
        <w:rPr>
          <w:rFonts w:hint="eastAsia" w:ascii="Times New Roman" w:hAnsi="Times New Roman" w:eastAsia="仿宋_GB2312"/>
          <w:color w:val="auto"/>
          <w:sz w:val="32"/>
          <w:szCs w:val="32"/>
          <w:lang w:val="en-US" w:eastAsia="zh-CN"/>
        </w:rPr>
        <w:t>2455.71</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91.84</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；住房保障</w:t>
      </w:r>
      <w:r>
        <w:rPr>
          <w:rFonts w:hint="eastAsia" w:ascii="Times New Roman" w:hAnsi="Times New Roman" w:eastAsia="仿宋_GB2312"/>
          <w:color w:val="auto"/>
          <w:sz w:val="32"/>
          <w:szCs w:val="32"/>
        </w:rPr>
        <w:t>（类）支出</w:t>
      </w:r>
      <w:r>
        <w:rPr>
          <w:rFonts w:hint="eastAsia" w:ascii="Times New Roman" w:hAnsi="Times New Roman" w:eastAsia="仿宋_GB2312"/>
          <w:color w:val="auto"/>
          <w:sz w:val="32"/>
          <w:szCs w:val="32"/>
          <w:lang w:val="en-US" w:eastAsia="zh-CN"/>
        </w:rPr>
        <w:t>72</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2.69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年度财政拨款支出年初预算数为</w:t>
      </w:r>
      <w:r>
        <w:rPr>
          <w:rFonts w:hint="eastAsia" w:ascii="Times New Roman" w:hAnsi="Times New Roman" w:eastAsia="仿宋_GB2312"/>
          <w:color w:val="auto"/>
          <w:sz w:val="32"/>
          <w:szCs w:val="32"/>
          <w:lang w:val="en-US" w:eastAsia="zh-CN"/>
        </w:rPr>
        <w:t>4430.01</w:t>
      </w:r>
      <w:r>
        <w:rPr>
          <w:rFonts w:hint="eastAsia" w:ascii="Times New Roman" w:hAnsi="Times New Roman" w:eastAsia="仿宋_GB2312"/>
          <w:color w:val="auto"/>
          <w:sz w:val="32"/>
          <w:szCs w:val="32"/>
        </w:rPr>
        <w:t>万元，支出决算数为</w:t>
      </w:r>
      <w:r>
        <w:rPr>
          <w:rFonts w:hint="eastAsia" w:ascii="Times New Roman" w:hAnsi="Times New Roman" w:eastAsia="仿宋_GB2312"/>
          <w:color w:val="auto"/>
          <w:sz w:val="32"/>
          <w:szCs w:val="32"/>
          <w:lang w:val="en-US" w:eastAsia="zh-CN"/>
        </w:rPr>
        <w:t>2674.02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60.36</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1、社会保障和就业</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（类）行政事业单位养老</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（款）机关事业单位基本养老保险缴费</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67.45</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120.45</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大</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年中追加资金。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2、卫生健康</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类）行政事业单位医疗（款）行政单位医疗（项）。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43</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40.22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93.53</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人员经费有结余。</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类）行政事业单位医疗（款）公务员医疗补助（项）。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33.00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91.67</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人员经费有结余。</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类）行政事业单位医疗（款）其他行政事业单位医疗支出（项）。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6.3</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5.64</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89.52</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人员经费有结余。</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类）农业农村（款）</w:t>
      </w:r>
      <w:r>
        <w:rPr>
          <w:rFonts w:hint="eastAsia" w:ascii="Times New Roman" w:hAnsi="Times New Roman" w:eastAsia="仿宋_GB2312"/>
          <w:color w:val="auto"/>
          <w:sz w:val="32"/>
          <w:szCs w:val="32"/>
          <w:lang w:val="en-US" w:eastAsia="zh-CN"/>
        </w:rPr>
        <w:t>行政运行</w:t>
      </w:r>
      <w:r>
        <w:rPr>
          <w:rFonts w:hint="eastAsia" w:ascii="Times New Roman" w:hAnsi="Times New Roman" w:eastAsia="仿宋_GB2312"/>
          <w:color w:val="auto"/>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798.42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767.73</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122.39</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年中追加绩效奖金。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类）农业农村（款）农业生产发展（项）。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238.09</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167.69</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71.04</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政府采购项目跨年实施。</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7</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类）林业和草原（款）其他林业和草原支出（项）。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3171.20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1520.29</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47.94</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政府采购跨年项目。</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8</w:t>
      </w:r>
      <w:r>
        <w:rPr>
          <w:rFonts w:hint="eastAsia" w:ascii="Times New Roman" w:hAnsi="Times New Roman" w:eastAsia="仿宋_GB2312"/>
          <w:color w:val="auto"/>
          <w:sz w:val="32"/>
          <w:szCs w:val="32"/>
        </w:rPr>
        <w:t>、住房保障支出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类）住房改革支出（款）住房公积金（项）。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81.00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72.00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88.89</w:t>
      </w:r>
      <w:r>
        <w:rPr>
          <w:rFonts w:hint="eastAsia" w:ascii="Times New Roman" w:hAnsi="Times New Roman" w:eastAsia="仿宋_GB2312"/>
          <w:color w:val="auto"/>
          <w:sz w:val="32"/>
          <w:szCs w:val="32"/>
        </w:rPr>
        <w:t>%，决算数小于年初预算数的主要原因是：住房公积金</w:t>
      </w:r>
      <w:r>
        <w:rPr>
          <w:rFonts w:hint="eastAsia" w:ascii="Times New Roman" w:hAnsi="Times New Roman" w:eastAsia="仿宋_GB2312"/>
          <w:color w:val="auto"/>
          <w:sz w:val="32"/>
          <w:szCs w:val="32"/>
          <w:lang w:val="en-US" w:eastAsia="zh-CN"/>
        </w:rPr>
        <w:t>有结余</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年度财政拨款基本支出</w:t>
      </w:r>
      <w:r>
        <w:rPr>
          <w:rFonts w:hint="eastAsia" w:ascii="Times New Roman" w:hAnsi="Times New Roman" w:eastAsia="仿宋_GB2312"/>
          <w:color w:val="auto"/>
          <w:sz w:val="32"/>
          <w:szCs w:val="32"/>
          <w:lang w:val="en-US" w:eastAsia="zh-CN"/>
        </w:rPr>
        <w:t>986.04</w:t>
      </w:r>
      <w:r>
        <w:rPr>
          <w:rFonts w:hint="eastAsia" w:ascii="Times New Roman" w:hAnsi="Times New Roman" w:eastAsia="仿宋_GB2312"/>
          <w:color w:val="auto"/>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bCs/>
          <w:color w:val="auto"/>
          <w:sz w:val="32"/>
          <w:szCs w:val="32"/>
        </w:rPr>
        <w:t>人员经费</w:t>
      </w:r>
      <w:r>
        <w:rPr>
          <w:rFonts w:hint="eastAsia" w:ascii="Times New Roman" w:hAnsi="Times New Roman" w:eastAsia="仿宋_GB2312"/>
          <w:color w:val="auto"/>
          <w:sz w:val="32"/>
          <w:szCs w:val="32"/>
          <w:lang w:val="en-US" w:eastAsia="zh-CN"/>
        </w:rPr>
        <w:t>879.60</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89.21</w:t>
      </w:r>
      <w:r>
        <w:rPr>
          <w:rFonts w:hint="eastAsia" w:ascii="Times New Roman" w:hAnsi="Times New Roman" w:eastAsia="仿宋_GB2312"/>
          <w:color w:val="auto"/>
          <w:sz w:val="32"/>
          <w:szCs w:val="32"/>
        </w:rPr>
        <w:t>%,主要包括基本工资、津贴补贴、奖金、伙食补助费</w:t>
      </w:r>
      <w:r>
        <w:rPr>
          <w:rFonts w:hint="eastAsia" w:ascii="Times New Roman" w:hAnsi="Times New Roman" w:eastAsia="仿宋_GB2312"/>
          <w:color w:val="auto"/>
          <w:sz w:val="32"/>
          <w:szCs w:val="32"/>
          <w:lang w:eastAsia="zh-CN"/>
        </w:rPr>
        <w:t>、机关事业单位基本养老保险缴费、职工基本医疗保险缴费、住房公积金、生活补助、职工基本医疗保险缴费、公务员医疗补助缴费</w:t>
      </w:r>
      <w:r>
        <w:rPr>
          <w:rFonts w:hint="eastAsia" w:ascii="Times New Roman" w:hAnsi="Times New Roman" w:eastAsia="仿宋_GB2312"/>
          <w:color w:val="auto"/>
          <w:sz w:val="32"/>
          <w:szCs w:val="32"/>
          <w:lang w:val="en-US" w:eastAsia="zh-CN"/>
        </w:rPr>
        <w:t>等</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b/>
          <w:bCs/>
          <w:color w:val="auto"/>
          <w:sz w:val="32"/>
          <w:szCs w:val="32"/>
        </w:rPr>
        <w:t>公用经费</w:t>
      </w:r>
      <w:r>
        <w:rPr>
          <w:rFonts w:hint="eastAsia" w:ascii="Times New Roman" w:hAnsi="Times New Roman" w:eastAsia="仿宋_GB2312"/>
          <w:color w:val="auto"/>
          <w:sz w:val="32"/>
          <w:szCs w:val="32"/>
          <w:lang w:val="en-US" w:eastAsia="zh-CN"/>
        </w:rPr>
        <w:t>106.43</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10.79</w:t>
      </w:r>
      <w:r>
        <w:rPr>
          <w:rFonts w:hint="eastAsia" w:ascii="Times New Roman" w:hAnsi="Times New Roman" w:eastAsia="仿宋_GB2312"/>
          <w:color w:val="auto"/>
          <w:sz w:val="32"/>
          <w:szCs w:val="32"/>
        </w:rPr>
        <w:t>%，主要包括办公费、印刷费、物业管理费</w:t>
      </w:r>
      <w:r>
        <w:rPr>
          <w:rFonts w:hint="eastAsia" w:ascii="Times New Roman" w:hAnsi="Times New Roman" w:eastAsia="仿宋_GB2312"/>
          <w:color w:val="auto"/>
          <w:sz w:val="32"/>
          <w:szCs w:val="32"/>
          <w:lang w:eastAsia="zh-CN"/>
        </w:rPr>
        <w:t>、差旅费、委托业务费、其他交通费用、工会经费</w:t>
      </w:r>
      <w:r>
        <w:rPr>
          <w:rFonts w:hint="eastAsia" w:ascii="Times New Roman" w:hAnsi="Times New Roman" w:eastAsia="仿宋_GB2312"/>
          <w:color w:val="auto"/>
          <w:sz w:val="32"/>
          <w:szCs w:val="32"/>
          <w:lang w:val="en-US" w:eastAsia="zh-CN"/>
        </w:rPr>
        <w:t>等</w:t>
      </w:r>
      <w:r>
        <w:rPr>
          <w:rFonts w:hint="eastAsia" w:ascii="Times New Roman" w:hAnsi="Times New Roman" w:eastAsia="仿宋_GB2312"/>
          <w:color w:val="auto"/>
          <w:sz w:val="32"/>
          <w:szCs w:val="32"/>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7</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5.17</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73.86</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1.24</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19.34</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万元，与上年相比</w:t>
      </w:r>
      <w:r>
        <w:rPr>
          <w:rFonts w:hint="eastAsia" w:ascii="Times New Roman" w:hAnsi="Times New Roman" w:eastAsia="仿宋_GB2312"/>
          <w:color w:val="auto"/>
          <w:sz w:val="32"/>
          <w:szCs w:val="32"/>
          <w:lang w:val="en-US" w:eastAsia="zh-CN"/>
        </w:rPr>
        <w:t>无增减</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0.31</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15.50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0.10</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24.39</w:t>
      </w:r>
      <w:r>
        <w:rPr>
          <w:rFonts w:hint="eastAsia" w:ascii="Times New Roman" w:hAnsi="Times New Roman" w:eastAsia="仿宋_GB2312"/>
          <w:color w:val="auto"/>
          <w:sz w:val="32"/>
          <w:szCs w:val="32"/>
        </w:rPr>
        <w:t>%,减少的主要原因是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万元，与上年相比</w:t>
      </w:r>
      <w:r>
        <w:rPr>
          <w:rFonts w:hint="eastAsia" w:ascii="Times New Roman" w:hAnsi="Times New Roman" w:eastAsia="仿宋_GB2312"/>
          <w:color w:val="auto"/>
          <w:sz w:val="32"/>
          <w:szCs w:val="32"/>
          <w:lang w:val="en-US" w:eastAsia="zh-CN"/>
        </w:rPr>
        <w:t>无增减</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4.86</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97.20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1.14</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19.00</w:t>
      </w:r>
      <w:r>
        <w:rPr>
          <w:rFonts w:hint="eastAsia" w:ascii="Times New Roman" w:hAnsi="Times New Roman" w:eastAsia="仿宋_GB2312"/>
          <w:color w:val="auto"/>
          <w:sz w:val="32"/>
          <w:szCs w:val="32"/>
        </w:rPr>
        <w:t>%,减少的主要原因是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0.31</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6.00</w:t>
      </w:r>
      <w:r>
        <w:rPr>
          <w:rFonts w:hint="eastAsia" w:ascii="Times New Roman" w:hAnsi="Times New Roman" w:eastAsia="仿宋_GB2312"/>
          <w:color w:val="auto"/>
          <w:sz w:val="32"/>
          <w:szCs w:val="32"/>
        </w:rPr>
        <w:t>%,因公出国（境）费支出决算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%,公务用车购置费及运行维护费支出决算</w:t>
      </w:r>
      <w:r>
        <w:rPr>
          <w:rFonts w:hint="eastAsia" w:ascii="Times New Roman" w:hAnsi="Times New Roman" w:eastAsia="仿宋_GB2312"/>
          <w:color w:val="auto"/>
          <w:sz w:val="32"/>
          <w:szCs w:val="32"/>
          <w:lang w:val="en-US" w:eastAsia="zh-CN"/>
        </w:rPr>
        <w:t>4.86</w:t>
      </w:r>
      <w:r>
        <w:rPr>
          <w:rFonts w:hint="eastAsia" w:ascii="Times New Roman" w:hAnsi="Times New Roman" w:eastAsia="仿宋_GB2312"/>
          <w:color w:val="auto"/>
          <w:sz w:val="32"/>
          <w:szCs w:val="32"/>
        </w:rPr>
        <w:t>元，占</w:t>
      </w:r>
      <w:r>
        <w:rPr>
          <w:rFonts w:hint="eastAsia" w:ascii="Times New Roman" w:hAnsi="Times New Roman" w:eastAsia="仿宋_GB2312"/>
          <w:color w:val="auto"/>
          <w:sz w:val="32"/>
          <w:szCs w:val="32"/>
          <w:lang w:val="en-US" w:eastAsia="zh-CN"/>
        </w:rPr>
        <w:t>94.00</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因公出国（境）费支出决算为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万元，全年安排因公出国（境）团组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个，累计</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人次</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2、公务接待费支出决算为</w:t>
      </w:r>
      <w:r>
        <w:rPr>
          <w:rFonts w:hint="eastAsia" w:ascii="Times New Roman" w:hAnsi="Times New Roman" w:eastAsia="仿宋_GB2312"/>
          <w:color w:val="auto"/>
          <w:sz w:val="32"/>
          <w:szCs w:val="32"/>
          <w:lang w:val="en-US" w:eastAsia="zh-CN"/>
        </w:rPr>
        <w:t>0.31</w:t>
      </w:r>
      <w:r>
        <w:rPr>
          <w:rFonts w:hint="eastAsia" w:ascii="Times New Roman" w:hAnsi="Times New Roman" w:eastAsia="仿宋_GB2312"/>
          <w:color w:val="auto"/>
          <w:sz w:val="32"/>
          <w:szCs w:val="32"/>
        </w:rPr>
        <w:t>万元，全年共接待来访团组</w:t>
      </w: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个、来宾</w:t>
      </w:r>
      <w:r>
        <w:rPr>
          <w:rFonts w:hint="eastAsia" w:ascii="Times New Roman" w:hAnsi="Times New Roman" w:eastAsia="仿宋_GB2312"/>
          <w:color w:val="auto"/>
          <w:sz w:val="32"/>
          <w:szCs w:val="32"/>
          <w:lang w:val="en-US" w:eastAsia="zh-CN"/>
        </w:rPr>
        <w:t>20</w:t>
      </w:r>
      <w:r>
        <w:rPr>
          <w:rFonts w:hint="eastAsia" w:ascii="Times New Roman" w:hAnsi="Times New Roman" w:eastAsia="仿宋_GB2312"/>
          <w:color w:val="auto"/>
          <w:sz w:val="32"/>
          <w:szCs w:val="32"/>
        </w:rPr>
        <w:t>人次，主要是</w:t>
      </w:r>
      <w:r>
        <w:rPr>
          <w:rFonts w:hint="eastAsia" w:ascii="Times New Roman" w:hAnsi="Times New Roman" w:eastAsia="仿宋_GB2312"/>
          <w:color w:val="auto"/>
          <w:sz w:val="32"/>
          <w:szCs w:val="32"/>
          <w:lang w:val="en-US" w:eastAsia="zh-CN"/>
        </w:rPr>
        <w:t>各地州市县植保植检植检部门间工作联系</w:t>
      </w:r>
      <w:r>
        <w:rPr>
          <w:rFonts w:hint="eastAsia" w:ascii="Times New Roman" w:hAnsi="Times New Roman" w:eastAsia="仿宋_GB2312"/>
          <w:color w:val="auto"/>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color w:val="auto"/>
          <w:sz w:val="32"/>
          <w:szCs w:val="32"/>
        </w:rPr>
        <w:t>3、公务用车购置费及运行维护费支出决算为</w:t>
      </w:r>
      <w:r>
        <w:rPr>
          <w:rFonts w:hint="eastAsia" w:ascii="Times New Roman" w:hAnsi="Times New Roman" w:eastAsia="仿宋_GB2312"/>
          <w:color w:val="auto"/>
          <w:sz w:val="32"/>
          <w:szCs w:val="32"/>
          <w:lang w:val="en-US" w:eastAsia="zh-CN"/>
        </w:rPr>
        <w:t>4.86</w:t>
      </w:r>
      <w:r>
        <w:rPr>
          <w:rFonts w:hint="eastAsia" w:ascii="Times New Roman" w:hAnsi="Times New Roman" w:eastAsia="仿宋_GB2312"/>
          <w:color w:val="auto"/>
          <w:sz w:val="32"/>
          <w:szCs w:val="32"/>
        </w:rPr>
        <w:t>万元，其中：公务用车购置费</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万元，单位本级更新公务用车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rPr>
        <w:t>公务用车运行维护费</w:t>
      </w:r>
      <w:r>
        <w:rPr>
          <w:rFonts w:hint="eastAsia" w:ascii="Times New Roman" w:hAnsi="Times New Roman" w:eastAsia="仿宋_GB2312"/>
          <w:color w:val="auto"/>
          <w:sz w:val="32"/>
          <w:szCs w:val="32"/>
          <w:lang w:val="en-US" w:eastAsia="zh-CN"/>
        </w:rPr>
        <w:t>4.86</w:t>
      </w:r>
      <w:r>
        <w:rPr>
          <w:rFonts w:hint="eastAsia" w:ascii="Times New Roman" w:hAnsi="Times New Roman" w:eastAsia="仿宋_GB2312"/>
          <w:color w:val="auto"/>
          <w:sz w:val="32"/>
          <w:szCs w:val="32"/>
        </w:rPr>
        <w:t>万元，主要是公务用车辆燃油</w:t>
      </w:r>
      <w:r>
        <w:rPr>
          <w:rFonts w:ascii="Times New Roman" w:hAnsi="Times New Roman" w:eastAsia="仿宋_GB2312"/>
          <w:color w:val="auto"/>
          <w:sz w:val="32"/>
          <w:szCs w:val="32"/>
        </w:rPr>
        <w:t>费</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维修保养费</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保险费</w:t>
      </w:r>
      <w:r>
        <w:rPr>
          <w:rFonts w:hint="eastAsia" w:ascii="Times New Roman" w:hAnsi="Times New Roman" w:eastAsia="仿宋_GB2312"/>
          <w:color w:val="auto"/>
          <w:sz w:val="32"/>
          <w:szCs w:val="32"/>
        </w:rPr>
        <w:t>、过路过桥费支出，截止202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年12月31日，我单位开支财政拨款的公务用车保有量为</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color w:val="auto"/>
          <w:sz w:val="32"/>
          <w:szCs w:val="32"/>
        </w:rPr>
        <w:t xml:space="preserve">     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w:t>
      </w:r>
      <w:r>
        <w:rPr>
          <w:rFonts w:hint="eastAsia" w:ascii="Times New Roman" w:hAnsi="Times New Roman" w:eastAsia="仿宋_GB2312"/>
          <w:color w:val="auto"/>
          <w:sz w:val="32"/>
          <w:szCs w:val="32"/>
          <w:lang w:val="en-US" w:eastAsia="zh-CN"/>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年度机关运行经费支出</w:t>
      </w:r>
      <w:r>
        <w:rPr>
          <w:rFonts w:hint="eastAsia" w:ascii="Times New Roman" w:hAnsi="Times New Roman" w:eastAsia="仿宋_GB2312"/>
          <w:color w:val="auto"/>
          <w:sz w:val="32"/>
          <w:szCs w:val="32"/>
          <w:lang w:val="en-US" w:eastAsia="zh-CN"/>
        </w:rPr>
        <w:t>106.43</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比上年决算数减少</w:t>
      </w:r>
      <w:r>
        <w:rPr>
          <w:rFonts w:hint="eastAsia" w:ascii="Times New Roman" w:hAnsi="Times New Roman" w:eastAsia="仿宋_GB2312"/>
          <w:color w:val="auto"/>
          <w:sz w:val="32"/>
          <w:szCs w:val="32"/>
          <w:lang w:val="en-US" w:eastAsia="zh-CN"/>
        </w:rPr>
        <w:t>12.00</w:t>
      </w:r>
      <w:r>
        <w:rPr>
          <w:rFonts w:hint="eastAsia" w:ascii="Times New Roman" w:hAnsi="Times New Roman" w:eastAsia="仿宋_GB2312"/>
          <w:color w:val="auto"/>
          <w:sz w:val="32"/>
          <w:szCs w:val="32"/>
        </w:rPr>
        <w:t>万元，降低</w:t>
      </w:r>
      <w:r>
        <w:rPr>
          <w:rFonts w:hint="eastAsia" w:ascii="Times New Roman" w:hAnsi="Times New Roman" w:eastAsia="仿宋_GB2312"/>
          <w:color w:val="auto"/>
          <w:sz w:val="32"/>
          <w:szCs w:val="32"/>
          <w:lang w:val="en-US" w:eastAsia="zh-CN"/>
        </w:rPr>
        <w:t>10.13</w:t>
      </w:r>
      <w:r>
        <w:rPr>
          <w:rFonts w:hint="eastAsia" w:ascii="Times New Roman" w:hAnsi="Times New Roman" w:eastAsia="仿宋_GB2312"/>
          <w:color w:val="auto"/>
          <w:sz w:val="32"/>
          <w:szCs w:val="32"/>
        </w:rPr>
        <w:t>%。主要原因是：</w:t>
      </w:r>
      <w:r>
        <w:rPr>
          <w:rFonts w:hint="eastAsia" w:ascii="Times New Roman" w:hAnsi="Times New Roman" w:eastAsia="仿宋_GB2312"/>
          <w:color w:val="auto"/>
          <w:sz w:val="32"/>
          <w:szCs w:val="32"/>
          <w:lang w:val="en-US" w:eastAsia="zh-CN"/>
        </w:rPr>
        <w:t>厉行节约，大力压减各项经费开支。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年本部门开支会议费</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用于召开全省种植业工作会议，人数</w:t>
      </w:r>
      <w:r>
        <w:rPr>
          <w:rFonts w:hint="eastAsia" w:ascii="Times New Roman" w:hAnsi="Times New Roman" w:eastAsia="仿宋_GB2312"/>
          <w:color w:val="auto"/>
          <w:sz w:val="32"/>
          <w:szCs w:val="32"/>
          <w:lang w:val="en-US" w:eastAsia="zh-CN"/>
        </w:rPr>
        <w:t>98</w:t>
      </w:r>
      <w:r>
        <w:rPr>
          <w:rFonts w:hint="eastAsia" w:ascii="Times New Roman" w:hAnsi="Times New Roman" w:eastAsia="仿宋_GB2312"/>
          <w:color w:val="auto"/>
          <w:sz w:val="32"/>
          <w:szCs w:val="32"/>
        </w:rPr>
        <w:t>人，内容为贯彻落实中央农村工作会议、全国农业农村厅局长会议、省委农村工作会议和全省农办主任农业农村局长会议精神、总结交流2022年种植业生产情况，部署2023年种植业重点工作，确保完成全年粮食和重要农产品生产目标任务</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开支培训费</w:t>
      </w:r>
      <w:r>
        <w:rPr>
          <w:rFonts w:hint="eastAsia" w:ascii="Times New Roman" w:hAnsi="Times New Roman" w:eastAsia="仿宋_GB2312"/>
          <w:color w:val="auto"/>
          <w:sz w:val="32"/>
          <w:szCs w:val="32"/>
          <w:lang w:val="en-US" w:eastAsia="zh-CN"/>
        </w:rPr>
        <w:t>46.88</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其中：</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2023年全省植保系统站（局）长培训班，31.00万元，180人；</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2023年全省油菜病虫害综合防控现场观摩专技培训，5.24万元，60人；</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2023年下半年主要农作物病虫害发生趋势分析会商暨全省秋粮作物重大病虫害防控现场观摩培训，6.07万元，55人；</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中晚稻重大病虫害防控工作推进暨植保贡献率评价试验现场观摩培训，4.42万元，50人；</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柑橘黄龙病、柑橘木虱防控技术培训，0.15万元，36人。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年度政府采购支出总额</w:t>
      </w:r>
      <w:r>
        <w:rPr>
          <w:rFonts w:hint="eastAsia" w:ascii="Times New Roman" w:hAnsi="Times New Roman" w:eastAsia="仿宋_GB2312"/>
          <w:color w:val="auto"/>
          <w:sz w:val="32"/>
          <w:szCs w:val="32"/>
          <w:lang w:val="en-US" w:eastAsia="zh-CN"/>
        </w:rPr>
        <w:t>1475.49</w:t>
      </w:r>
      <w:r>
        <w:rPr>
          <w:rFonts w:hint="eastAsia" w:ascii="Times New Roman" w:hAnsi="Times New Roman" w:eastAsia="仿宋_GB2312"/>
          <w:color w:val="auto"/>
          <w:sz w:val="32"/>
          <w:szCs w:val="32"/>
        </w:rPr>
        <w:t>万元，其中：政府采购货物支出</w:t>
      </w:r>
      <w:r>
        <w:rPr>
          <w:rFonts w:hint="eastAsia" w:ascii="Times New Roman" w:hAnsi="Times New Roman" w:eastAsia="仿宋_GB2312"/>
          <w:color w:val="auto"/>
          <w:sz w:val="32"/>
          <w:szCs w:val="32"/>
          <w:lang w:val="en-US" w:eastAsia="zh-CN"/>
        </w:rPr>
        <w:t>1355.15</w:t>
      </w:r>
      <w:r>
        <w:rPr>
          <w:rFonts w:hint="eastAsia" w:ascii="Times New Roman" w:hAnsi="Times New Roman" w:eastAsia="仿宋_GB2312"/>
          <w:color w:val="auto"/>
          <w:sz w:val="32"/>
          <w:szCs w:val="32"/>
        </w:rPr>
        <w:t>万元、政府采购工程支出</w:t>
      </w:r>
      <w:r>
        <w:rPr>
          <w:rFonts w:hint="eastAsia" w:ascii="Times New Roman" w:hAnsi="Times New Roman" w:eastAsia="仿宋_GB2312"/>
          <w:color w:val="auto"/>
          <w:sz w:val="32"/>
          <w:szCs w:val="32"/>
          <w:lang w:val="en-US" w:eastAsia="zh-CN"/>
        </w:rPr>
        <w:t>100.54</w:t>
      </w:r>
      <w:r>
        <w:rPr>
          <w:rFonts w:hint="eastAsia" w:ascii="Times New Roman" w:hAnsi="Times New Roman" w:eastAsia="仿宋_GB2312"/>
          <w:color w:val="auto"/>
          <w:sz w:val="32"/>
          <w:szCs w:val="32"/>
        </w:rPr>
        <w:t>万元、政府采购服务支出</w:t>
      </w:r>
      <w:r>
        <w:rPr>
          <w:rFonts w:hint="eastAsia" w:ascii="Times New Roman" w:hAnsi="Times New Roman" w:eastAsia="仿宋_GB2312"/>
          <w:color w:val="auto"/>
          <w:sz w:val="32"/>
          <w:szCs w:val="32"/>
          <w:lang w:val="en-US" w:eastAsia="zh-CN"/>
        </w:rPr>
        <w:t>19.80</w:t>
      </w:r>
      <w:r>
        <w:rPr>
          <w:rFonts w:hint="eastAsia" w:ascii="Times New Roman" w:hAnsi="Times New Roman" w:eastAsia="仿宋_GB2312"/>
          <w:color w:val="auto"/>
          <w:sz w:val="32"/>
          <w:szCs w:val="32"/>
        </w:rPr>
        <w:t>万元。授予中小企业合同金额</w:t>
      </w:r>
      <w:r>
        <w:rPr>
          <w:rFonts w:hint="eastAsia" w:ascii="Times New Roman" w:hAnsi="Times New Roman" w:eastAsia="仿宋_GB2312"/>
          <w:color w:val="auto"/>
          <w:sz w:val="32"/>
          <w:szCs w:val="32"/>
          <w:lang w:val="en-US" w:eastAsia="zh-CN"/>
        </w:rPr>
        <w:t>1475.49</w:t>
      </w:r>
      <w:r>
        <w:rPr>
          <w:rFonts w:hint="eastAsia" w:ascii="Times New Roman" w:hAnsi="Times New Roman" w:eastAsia="仿宋_GB2312"/>
          <w:color w:val="auto"/>
          <w:sz w:val="32"/>
          <w:szCs w:val="32"/>
        </w:rPr>
        <w:t>万元，占政府采购支出总额的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%，其中：授予小微企业合同金额</w:t>
      </w:r>
      <w:r>
        <w:rPr>
          <w:rFonts w:hint="eastAsia" w:ascii="Times New Roman" w:hAnsi="Times New Roman" w:eastAsia="仿宋_GB2312"/>
          <w:color w:val="auto"/>
          <w:sz w:val="32"/>
          <w:szCs w:val="32"/>
          <w:lang w:val="en-US" w:eastAsia="zh-CN"/>
        </w:rPr>
        <w:t>1475.49</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（一）绩效管理工作开展情况</w:t>
      </w:r>
    </w:p>
    <w:p>
      <w:pPr>
        <w:pStyle w:val="6"/>
        <w:spacing w:line="580" w:lineRule="exact"/>
        <w:ind w:firstLine="640" w:firstLineChars="200"/>
        <w:rPr>
          <w:rFonts w:hint="eastAsia" w:ascii="Times New Roman" w:hAnsi="Times New Roman" w:eastAsia="仿宋_GB2312" w:cs="Times New Roman"/>
          <w:b w:val="0"/>
          <w:bCs w:val="0"/>
          <w:color w:val="auto"/>
          <w:kern w:val="2"/>
          <w:sz w:val="32"/>
          <w:szCs w:val="32"/>
          <w:highlight w:val="none"/>
          <w:lang w:val="en-US" w:eastAsia="zh-CN" w:bidi="ar-SA"/>
        </w:rPr>
      </w:pPr>
      <w:bookmarkStart w:id="2" w:name="_Toc16228"/>
      <w:bookmarkStart w:id="3" w:name="_Toc26299"/>
      <w:r>
        <w:rPr>
          <w:rFonts w:hint="eastAsia" w:ascii="Times New Roman" w:hAnsi="Times New Roman" w:eastAsia="仿宋_GB2312" w:cs="Times New Roman"/>
          <w:b w:val="0"/>
          <w:bCs w:val="0"/>
          <w:color w:val="auto"/>
          <w:kern w:val="2"/>
          <w:sz w:val="32"/>
          <w:szCs w:val="32"/>
          <w:highlight w:val="none"/>
          <w:lang w:val="en-US" w:eastAsia="zh-CN" w:bidi="ar-SA"/>
        </w:rPr>
        <w:t>1.加强组织领导，明确工作要求</w:t>
      </w:r>
      <w:bookmarkEnd w:id="2"/>
      <w:bookmarkEnd w:id="3"/>
    </w:p>
    <w:p>
      <w:pPr>
        <w:ind w:firstLine="640"/>
        <w:rPr>
          <w:rFonts w:hint="eastAsia" w:ascii="Times New Roman" w:hAnsi="Times New Roman" w:eastAsia="仿宋_GB2312" w:cs="Times New Roman"/>
          <w:b w:val="0"/>
          <w:bCs w:val="0"/>
          <w:color w:val="auto"/>
          <w:kern w:val="2"/>
          <w:sz w:val="32"/>
          <w:szCs w:val="32"/>
          <w:highlight w:val="none"/>
          <w:lang w:val="en-US" w:eastAsia="zh-CN" w:bidi="ar-SA"/>
        </w:rPr>
      </w:pPr>
      <w:bookmarkStart w:id="4" w:name="_Toc22303"/>
      <w:r>
        <w:rPr>
          <w:rFonts w:hint="eastAsia" w:ascii="Times New Roman" w:hAnsi="Times New Roman" w:eastAsia="仿宋_GB2312" w:cs="Times New Roman"/>
          <w:b w:val="0"/>
          <w:bCs w:val="0"/>
          <w:color w:val="auto"/>
          <w:kern w:val="2"/>
          <w:sz w:val="32"/>
          <w:szCs w:val="32"/>
          <w:highlight w:val="none"/>
          <w:lang w:val="en-US" w:eastAsia="zh-CN" w:bidi="ar-SA"/>
        </w:rPr>
        <w:t>根据《湖南省财政厅关于开展2023年度省级预算部门绩效自评和部门评价的通知》（湘财绩〔2024〕1号）的相关要求，省农业农村厅成立了绩效自评工作小组，由计划财务处具体负责牵头，拟制了绩效自评工作方案，下达了《湖南省农业农村厅关开展2023年度部门整体支出绩效自评工作的通知》，要求各处室和所属单位做好本部门绩效自评工作，并按要求上报相关资料。</w:t>
      </w:r>
    </w:p>
    <w:p>
      <w:pPr>
        <w:pStyle w:val="6"/>
        <w:spacing w:line="58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bookmarkStart w:id="5" w:name="_Toc8015"/>
      <w:bookmarkStart w:id="6" w:name="_Toc3707"/>
      <w:r>
        <w:rPr>
          <w:rFonts w:hint="eastAsia" w:ascii="Times New Roman" w:hAnsi="Times New Roman" w:eastAsia="仿宋_GB2312" w:cs="Times New Roman"/>
          <w:b w:val="0"/>
          <w:bCs w:val="0"/>
          <w:color w:val="auto"/>
          <w:kern w:val="2"/>
          <w:sz w:val="32"/>
          <w:szCs w:val="32"/>
          <w:highlight w:val="none"/>
          <w:lang w:val="en-US" w:eastAsia="zh-CN" w:bidi="ar-SA"/>
        </w:rPr>
        <w:t>2.强化绩效意识，</w:t>
      </w:r>
      <w:bookmarkEnd w:id="5"/>
      <w:r>
        <w:rPr>
          <w:rFonts w:hint="eastAsia" w:ascii="Times New Roman" w:hAnsi="Times New Roman" w:eastAsia="仿宋_GB2312" w:cs="Times New Roman"/>
          <w:b w:val="0"/>
          <w:bCs w:val="0"/>
          <w:color w:val="auto"/>
          <w:kern w:val="2"/>
          <w:sz w:val="32"/>
          <w:szCs w:val="32"/>
          <w:highlight w:val="none"/>
          <w:lang w:val="en-US" w:eastAsia="zh-CN" w:bidi="ar-SA"/>
        </w:rPr>
        <w:t>确保绩效自评全覆盖</w:t>
      </w:r>
      <w:bookmarkEnd w:id="6"/>
    </w:p>
    <w:p>
      <w:pPr>
        <w:ind w:firstLine="640"/>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省农业农村厅强化全员全系统的绩效意识，要求各处室、各直属单位认真开展绩效自评工作，确保绩效自评全覆盖。本次绩效自评范围包括一般公共预算支出、省级专项资金、事业单位经营支出等资金的绩效自评。</w:t>
      </w:r>
    </w:p>
    <w:bookmarkEnd w:id="4"/>
    <w:p>
      <w:pPr>
        <w:pStyle w:val="6"/>
        <w:spacing w:line="580" w:lineRule="exact"/>
        <w:ind w:firstLine="640" w:firstLineChars="200"/>
        <w:rPr>
          <w:rFonts w:hint="eastAsia" w:ascii="Times New Roman" w:hAnsi="Times New Roman" w:eastAsia="仿宋_GB2312" w:cs="Times New Roman"/>
          <w:b w:val="0"/>
          <w:bCs w:val="0"/>
          <w:color w:val="auto"/>
          <w:kern w:val="2"/>
          <w:sz w:val="32"/>
          <w:szCs w:val="32"/>
          <w:highlight w:val="none"/>
          <w:lang w:val="en-US" w:eastAsia="zh-CN" w:bidi="ar-SA"/>
        </w:rPr>
      </w:pPr>
      <w:bookmarkStart w:id="7" w:name="_Toc7299"/>
      <w:bookmarkStart w:id="8" w:name="_Toc10202"/>
      <w:r>
        <w:rPr>
          <w:rFonts w:hint="eastAsia" w:ascii="Times New Roman" w:hAnsi="Times New Roman" w:eastAsia="仿宋_GB2312" w:cs="Times New Roman"/>
          <w:b w:val="0"/>
          <w:bCs w:val="0"/>
          <w:color w:val="auto"/>
          <w:kern w:val="2"/>
          <w:sz w:val="32"/>
          <w:szCs w:val="32"/>
          <w:highlight w:val="none"/>
          <w:lang w:val="en-US" w:eastAsia="zh-CN" w:bidi="ar-SA"/>
        </w:rPr>
        <w:t>3.抓好细节落实，提高自评质量</w:t>
      </w:r>
      <w:bookmarkEnd w:id="7"/>
      <w:bookmarkEnd w:id="8"/>
    </w:p>
    <w:p>
      <w:pPr>
        <w:ind w:firstLine="640"/>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根据绩效自评工作方案，绩效自评工作小组从各项数据入手抓好细节的落实，通过汇总整理客观、全面、精准的自评数据材料，提高绩效自评质量。增加量化指标占比，通过以数据评指标，提高自评质量。</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（二）单位</w:t>
      </w:r>
      <w:r>
        <w:rPr>
          <w:rFonts w:hint="eastAsia" w:ascii="楷体" w:hAnsi="楷体" w:eastAsia="楷体" w:cs="楷体"/>
          <w:b/>
          <w:bCs/>
          <w:color w:val="auto"/>
          <w:sz w:val="32"/>
          <w:szCs w:val="32"/>
        </w:rPr>
        <w:t>整体支出绩效情况</w:t>
      </w:r>
    </w:p>
    <w:p>
      <w:pPr>
        <w:spacing w:line="560" w:lineRule="atLeast"/>
        <w:ind w:firstLine="640"/>
        <w:rPr>
          <w:rFonts w:hint="eastAsia" w:ascii="仿宋_GB2312" w:eastAsia="仿宋_GB2312"/>
          <w:color w:val="auto"/>
          <w:sz w:val="32"/>
          <w:szCs w:val="32"/>
        </w:rPr>
      </w:pPr>
      <w:r>
        <w:rPr>
          <w:rFonts w:hint="eastAsia" w:ascii="仿宋_GB2312" w:eastAsia="仿宋_GB2312"/>
          <w:color w:val="auto"/>
          <w:sz w:val="32"/>
          <w:szCs w:val="32"/>
        </w:rPr>
        <w:t>今年以来，</w:t>
      </w:r>
      <w:r>
        <w:rPr>
          <w:rFonts w:hint="eastAsia" w:ascii="仿宋_GB2312" w:eastAsia="仿宋_GB2312"/>
          <w:snapToGrid w:val="0"/>
          <w:color w:val="auto"/>
          <w:kern w:val="0"/>
          <w:sz w:val="32"/>
          <w:szCs w:val="32"/>
        </w:rPr>
        <w:t>全省温湿度适宜，气候条件适宜农作物病虫发生为害。</w:t>
      </w:r>
      <w:r>
        <w:rPr>
          <w:rFonts w:hint="eastAsia" w:ascii="仿宋_GB2312" w:eastAsia="仿宋_GB2312"/>
          <w:color w:val="auto"/>
          <w:sz w:val="32"/>
          <w:szCs w:val="32"/>
        </w:rPr>
        <w:t>全省粮食作物主要病虫害总体偏重发生。面对上半年病虫发生严峻形势，我站在厅党组的正确领导下，提高站位，及早部署，积极应对，主动作为，着力防范化解重大病虫为害风险，</w:t>
      </w:r>
      <w:r>
        <w:rPr>
          <w:rFonts w:hint="eastAsia" w:ascii="仿宋_GB2312" w:eastAsia="仿宋_GB2312"/>
          <w:snapToGrid w:val="0"/>
          <w:color w:val="auto"/>
          <w:kern w:val="0"/>
          <w:sz w:val="32"/>
          <w:szCs w:val="32"/>
        </w:rPr>
        <w:t>大力推进“两增两减”虫口夺粮促丰收行动，</w:t>
      </w:r>
      <w:r>
        <w:rPr>
          <w:rFonts w:hint="eastAsia" w:ascii="仿宋_GB2312" w:eastAsia="仿宋_GB2312"/>
          <w:color w:val="auto"/>
          <w:sz w:val="32"/>
          <w:szCs w:val="32"/>
        </w:rPr>
        <w:t>全力保障粮食生产安全与农业生态环境安全。全国油菜综合防控现场会、全国水稻病虫害统防统治与绿色防控融合现场会相继在我省召开，我省均作典型经验交流。我站成功承办了第</w:t>
      </w:r>
      <w:r>
        <w:rPr>
          <w:rFonts w:eastAsia="仿宋_GB2312"/>
          <w:color w:val="auto"/>
          <w:sz w:val="32"/>
          <w:szCs w:val="32"/>
        </w:rPr>
        <w:t>37</w:t>
      </w:r>
      <w:r>
        <w:rPr>
          <w:rFonts w:hint="eastAsia" w:ascii="仿宋_GB2312" w:eastAsia="仿宋_GB2312"/>
          <w:color w:val="auto"/>
          <w:sz w:val="32"/>
          <w:szCs w:val="32"/>
        </w:rPr>
        <w:t>届中国植保信息交流与农药械交易会。</w:t>
      </w:r>
    </w:p>
    <w:p>
      <w:pPr>
        <w:pStyle w:val="14"/>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运行成本</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全年预算数6239.15万元，决算数2678.02万元，执行率42.92%，我单位全年整体支出控制在预算范围内。</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人员经费预算数976.59万元，决算数873.61元，公用经费数119.27万元，决算数106.43万元，均控制在预算范围内。</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“三公”经费财政拨款支出预算为</w:t>
      </w:r>
      <w:r>
        <w:rPr>
          <w:rFonts w:hint="eastAsia" w:ascii="Times New Roman" w:hAnsi="Times New Roman" w:eastAsia="仿宋_GB2312"/>
          <w:color w:val="auto"/>
          <w:sz w:val="32"/>
          <w:szCs w:val="32"/>
          <w:highlight w:val="none"/>
          <w:lang w:val="en-US" w:eastAsia="zh-CN"/>
        </w:rPr>
        <w:t>7</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5.17</w:t>
      </w:r>
      <w:r>
        <w:rPr>
          <w:rFonts w:hint="eastAsia" w:ascii="Times New Roman" w:hAnsi="Times New Roman" w:eastAsia="仿宋_GB2312"/>
          <w:color w:val="auto"/>
          <w:sz w:val="32"/>
          <w:szCs w:val="32"/>
          <w:highlight w:val="none"/>
        </w:rPr>
        <w:t>万元，完成预算的</w:t>
      </w:r>
      <w:r>
        <w:rPr>
          <w:rFonts w:hint="eastAsia" w:ascii="Times New Roman" w:hAnsi="Times New Roman" w:eastAsia="仿宋_GB2312"/>
          <w:color w:val="auto"/>
          <w:sz w:val="32"/>
          <w:szCs w:val="32"/>
          <w:highlight w:val="none"/>
          <w:lang w:val="en-US" w:eastAsia="zh-CN"/>
        </w:rPr>
        <w:t>73.86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控制在预算范围内。</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、管理效率</w:t>
      </w:r>
    </w:p>
    <w:p>
      <w:pPr>
        <w:widowControl/>
        <w:spacing w:line="600" w:lineRule="exact"/>
        <w:ind w:firstLine="643"/>
        <w:textAlignment w:val="baseline"/>
        <w:rPr>
          <w:rFonts w:eastAsia="仿宋_GB2312"/>
          <w:color w:val="auto"/>
          <w:sz w:val="32"/>
          <w:szCs w:val="32"/>
          <w:shd w:val="clear" w:color="auto" w:fill="FFFFFF"/>
        </w:rPr>
      </w:pPr>
      <w:r>
        <w:rPr>
          <w:rFonts w:hint="eastAsia" w:eastAsia="仿宋_GB2312"/>
          <w:color w:val="auto"/>
          <w:sz w:val="32"/>
          <w:szCs w:val="32"/>
          <w:shd w:val="clear" w:color="auto" w:fill="FFFFFF"/>
        </w:rPr>
        <w:t>今年以来，我站加力推动《湖南省加强基层动植物疫病防控体系建设实施方案》落地。一、二季度面向市州、县市区开展了方案落实情况调度；三、四季度按照农业农村部指示，组织全省做好“全国植保体系信息化管理平台”数据填报及维护工作，并同步督促各市州持续健全基层植保机构设置及人员配置。机构设置方面，明确要求各地按照农作物种植面积50万亩及以上的农业大县（市、区）独立设置植物疫病预防控制机构，名称统一为“××县（市、区）植保植检站”，为县市区农业农村部门所属公益类事业单位；50万亩以下的县市区可与相关机构综合设置，统一加挂“××县（市、区）植保植检站”牌子。人员配置方面，明确要求县级植保机构按每10万亩作物配备1名植保植检专业人员事业编制，环境复杂或病虫害多发重发地区适当增加植保植检人员编制（最多不超过10名），独立设置植保植检机构的专业技术人员占比不低于80%；明确要求农业乡镇至少配备1名植保员。当前，全省100%农业大县（市、区）农业农村部门联合编制部门按要求印发了当地正式文件，植保专业人数正在持续增加中。目前全省共840余名县级植保专业技术人员、1800余名乡镇植保员，农业县市区植保人员县均达到5人以上。全省绝大部分县市区已按照方案要求健全了机构、配齐了人员。</w:t>
      </w:r>
    </w:p>
    <w:p>
      <w:pPr>
        <w:pStyle w:val="14"/>
        <w:keepNext w:val="0"/>
        <w:keepLines w:val="0"/>
        <w:pageBreakBefore w:val="0"/>
        <w:widowControl w:val="0"/>
        <w:numPr>
          <w:ilvl w:val="0"/>
          <w:numId w:val="5"/>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履职效能</w:t>
      </w:r>
    </w:p>
    <w:p>
      <w:pPr>
        <w:spacing w:line="600" w:lineRule="exact"/>
        <w:ind w:firstLine="640" w:firstLineChars="200"/>
        <w:rPr>
          <w:rFonts w:eastAsia="仿宋_GB2312"/>
          <w:snapToGrid w:val="0"/>
          <w:color w:val="auto"/>
          <w:kern w:val="0"/>
          <w:sz w:val="32"/>
          <w:szCs w:val="32"/>
        </w:rPr>
      </w:pPr>
      <w:r>
        <w:rPr>
          <w:rFonts w:hint="eastAsia" w:ascii="仿宋_GB2312" w:hAnsi="仿宋_GB2312" w:eastAsia="仿宋_GB2312" w:cs="仿宋_GB2312"/>
          <w:b w:val="0"/>
          <w:bCs w:val="0"/>
          <w:color w:val="auto"/>
          <w:sz w:val="32"/>
          <w:szCs w:val="32"/>
          <w:lang w:val="en-US" w:eastAsia="zh-CN"/>
        </w:rPr>
        <w:t>一是</w:t>
      </w:r>
      <w:r>
        <w:rPr>
          <w:rFonts w:hint="eastAsia" w:ascii="仿宋_GB2312" w:hAnsi="仿宋_GB2312" w:eastAsia="仿宋_GB2312" w:cs="仿宋_GB2312"/>
          <w:b w:val="0"/>
          <w:bCs w:val="0"/>
          <w:snapToGrid w:val="0"/>
          <w:color w:val="auto"/>
          <w:kern w:val="0"/>
          <w:sz w:val="32"/>
          <w:szCs w:val="32"/>
        </w:rPr>
        <w:t>提升病虫监测预警能力</w:t>
      </w:r>
      <w:r>
        <w:rPr>
          <w:rFonts w:hint="eastAsia" w:ascii="仿宋_GB2312" w:hAnsi="仿宋_GB2312" w:eastAsia="仿宋_GB2312" w:cs="仿宋_GB2312"/>
          <w:b w:val="0"/>
          <w:bCs w:val="0"/>
          <w:snapToGrid w:val="0"/>
          <w:color w:val="auto"/>
          <w:kern w:val="0"/>
          <w:sz w:val="32"/>
          <w:szCs w:val="32"/>
          <w:lang w:eastAsia="zh-CN"/>
        </w:rPr>
        <w:t>。</w:t>
      </w:r>
      <w:r>
        <w:rPr>
          <w:rFonts w:eastAsia="仿宋_GB2312"/>
          <w:snapToGrid w:val="0"/>
          <w:color w:val="auto"/>
          <w:kern w:val="0"/>
          <w:sz w:val="32"/>
          <w:szCs w:val="32"/>
        </w:rPr>
        <w:t>深入推进动植物保护能力提升工程建设，截至2023年底，全省已建26个全国粮食作物病虫疫情监测分中心共111个监测点，结合各农业县市区布设的县级监测点，织密水稻病虫害监测网；在53个县市区布设草地贪夜蛾性诱自动监测点，在40个县市区布设112台高空监测防控灯，全区域加密构建起湘南、湘中、湘北三条草地贪夜蛾高空监测带。组织各地及早开展病虫调查监测，适时开展病虫发生趋势会商，及时印发病虫情报警报，严格执行周报制度和新发突发重大病虫情当天即报制度，全面掌握全省病虫情发生动态，切实做到了“底数清、情况明”。2023年度，全省共发布病虫情报1200余期300多万份；张贴病虫情报公告版570余期95余万份，进村率平均达97%；下发病虫防治通知单760余期1400余万份，入户率达到93%以上；发送手机短信500多万条次。</w:t>
      </w:r>
    </w:p>
    <w:p>
      <w:pPr>
        <w:spacing w:line="600" w:lineRule="exact"/>
        <w:ind w:firstLine="640" w:firstLineChars="200"/>
        <w:rPr>
          <w:rFonts w:eastAsia="仿宋_GB2312"/>
          <w:b w:val="0"/>
          <w:bCs/>
          <w:snapToGrid w:val="0"/>
          <w:color w:val="auto"/>
          <w:kern w:val="0"/>
          <w:sz w:val="32"/>
          <w:szCs w:val="32"/>
        </w:rPr>
      </w:pPr>
      <w:r>
        <w:rPr>
          <w:rFonts w:hint="eastAsia" w:ascii="Times New Roman" w:hAnsi="Times New Roman" w:eastAsia="仿宋_GB2312"/>
          <w:color w:val="auto"/>
          <w:sz w:val="32"/>
          <w:szCs w:val="32"/>
          <w:lang w:val="en-US" w:eastAsia="zh-CN"/>
        </w:rPr>
        <w:t>二是大力推广病虫害绿色防控。</w:t>
      </w:r>
      <w:r>
        <w:rPr>
          <w:rFonts w:eastAsia="仿宋_GB2312"/>
          <w:color w:val="auto"/>
          <w:sz w:val="32"/>
          <w:szCs w:val="32"/>
        </w:rPr>
        <w:t>分</w:t>
      </w:r>
      <w:r>
        <w:rPr>
          <w:rFonts w:eastAsia="仿宋_GB2312"/>
          <w:color w:val="auto"/>
          <w:kern w:val="0"/>
          <w:sz w:val="32"/>
          <w:szCs w:val="32"/>
        </w:rPr>
        <w:t>作物、分层次开展粮食作物病虫害绿色防控示范，</w:t>
      </w:r>
      <w:r>
        <w:rPr>
          <w:rFonts w:eastAsia="仿宋_GB2312"/>
          <w:bCs/>
          <w:snapToGrid w:val="0"/>
          <w:color w:val="auto"/>
          <w:kern w:val="0"/>
          <w:sz w:val="32"/>
          <w:szCs w:val="32"/>
        </w:rPr>
        <w:t>创建省级粮食作物绿色防控示范区</w:t>
      </w:r>
      <w:r>
        <w:rPr>
          <w:rFonts w:hint="eastAsia" w:eastAsia="仿宋_GB2312"/>
          <w:bCs/>
          <w:snapToGrid w:val="0"/>
          <w:color w:val="auto"/>
          <w:kern w:val="0"/>
          <w:sz w:val="32"/>
          <w:szCs w:val="32"/>
        </w:rPr>
        <w:t>248</w:t>
      </w:r>
      <w:r>
        <w:rPr>
          <w:rFonts w:eastAsia="仿宋_GB2312"/>
          <w:bCs/>
          <w:snapToGrid w:val="0"/>
          <w:color w:val="auto"/>
          <w:kern w:val="0"/>
          <w:sz w:val="32"/>
          <w:szCs w:val="32"/>
        </w:rPr>
        <w:t>个，其中水稻病虫害绿色防控示范区</w:t>
      </w:r>
      <w:r>
        <w:rPr>
          <w:rFonts w:hint="eastAsia" w:eastAsia="仿宋_GB2312"/>
          <w:bCs/>
          <w:snapToGrid w:val="0"/>
          <w:color w:val="auto"/>
          <w:kern w:val="0"/>
          <w:sz w:val="32"/>
          <w:szCs w:val="32"/>
        </w:rPr>
        <w:t>146</w:t>
      </w:r>
      <w:r>
        <w:rPr>
          <w:rFonts w:eastAsia="仿宋_GB2312"/>
          <w:bCs/>
          <w:snapToGrid w:val="0"/>
          <w:color w:val="auto"/>
          <w:kern w:val="0"/>
          <w:sz w:val="32"/>
          <w:szCs w:val="32"/>
        </w:rPr>
        <w:t>个，</w:t>
      </w:r>
      <w:r>
        <w:rPr>
          <w:rFonts w:hint="eastAsia" w:eastAsia="仿宋_GB2312"/>
          <w:bCs/>
          <w:snapToGrid w:val="0"/>
          <w:color w:val="auto"/>
          <w:kern w:val="0"/>
          <w:sz w:val="32"/>
          <w:szCs w:val="32"/>
        </w:rPr>
        <w:t>玉米</w:t>
      </w:r>
      <w:r>
        <w:rPr>
          <w:rFonts w:eastAsia="仿宋_GB2312"/>
          <w:bCs/>
          <w:snapToGrid w:val="0"/>
          <w:color w:val="auto"/>
          <w:kern w:val="0"/>
          <w:sz w:val="32"/>
          <w:szCs w:val="32"/>
        </w:rPr>
        <w:t>综合防控示范区</w:t>
      </w:r>
      <w:r>
        <w:rPr>
          <w:rFonts w:hint="eastAsia" w:eastAsia="仿宋_GB2312"/>
          <w:bCs/>
          <w:snapToGrid w:val="0"/>
          <w:color w:val="auto"/>
          <w:kern w:val="0"/>
          <w:sz w:val="32"/>
          <w:szCs w:val="32"/>
        </w:rPr>
        <w:t>77</w:t>
      </w:r>
      <w:r>
        <w:rPr>
          <w:rFonts w:eastAsia="仿宋_GB2312"/>
          <w:bCs/>
          <w:snapToGrid w:val="0"/>
          <w:color w:val="auto"/>
          <w:kern w:val="0"/>
          <w:sz w:val="32"/>
          <w:szCs w:val="32"/>
        </w:rPr>
        <w:t>个，</w:t>
      </w:r>
      <w:r>
        <w:rPr>
          <w:rFonts w:hint="eastAsia" w:eastAsia="仿宋_GB2312"/>
          <w:bCs/>
          <w:snapToGrid w:val="0"/>
          <w:color w:val="auto"/>
          <w:kern w:val="0"/>
          <w:sz w:val="32"/>
          <w:szCs w:val="32"/>
        </w:rPr>
        <w:t>油菜</w:t>
      </w:r>
      <w:r>
        <w:rPr>
          <w:rFonts w:eastAsia="仿宋_GB2312"/>
          <w:bCs/>
          <w:snapToGrid w:val="0"/>
          <w:color w:val="auto"/>
          <w:kern w:val="0"/>
          <w:sz w:val="32"/>
          <w:szCs w:val="32"/>
        </w:rPr>
        <w:t>综合防控示范区</w:t>
      </w:r>
      <w:r>
        <w:rPr>
          <w:rFonts w:hint="eastAsia" w:eastAsia="仿宋_GB2312"/>
          <w:bCs/>
          <w:snapToGrid w:val="0"/>
          <w:color w:val="auto"/>
          <w:kern w:val="0"/>
          <w:sz w:val="32"/>
          <w:szCs w:val="32"/>
        </w:rPr>
        <w:t>25</w:t>
      </w:r>
      <w:r>
        <w:rPr>
          <w:rFonts w:eastAsia="仿宋_GB2312"/>
          <w:bCs/>
          <w:snapToGrid w:val="0"/>
          <w:color w:val="auto"/>
          <w:kern w:val="0"/>
          <w:sz w:val="32"/>
          <w:szCs w:val="32"/>
        </w:rPr>
        <w:t>个，示范区重点推广农业防治、理化诱控、生态调控、生物农药等绿色防控技术和产品，并组织开展示范、现场观摩和培训活动，带动全省农作物绿色防控技术应用面积</w:t>
      </w:r>
      <w:r>
        <w:rPr>
          <w:rFonts w:hint="eastAsia" w:eastAsia="仿宋_GB2312"/>
          <w:bCs/>
          <w:snapToGrid w:val="0"/>
          <w:color w:val="auto"/>
          <w:kern w:val="0"/>
          <w:sz w:val="32"/>
          <w:szCs w:val="32"/>
        </w:rPr>
        <w:t>、</w:t>
      </w:r>
      <w:r>
        <w:rPr>
          <w:rFonts w:eastAsia="仿宋_GB2312"/>
          <w:bCs/>
          <w:snapToGrid w:val="0"/>
          <w:color w:val="auto"/>
          <w:kern w:val="0"/>
          <w:sz w:val="32"/>
          <w:szCs w:val="32"/>
        </w:rPr>
        <w:t>绿色防控覆盖率</w:t>
      </w:r>
      <w:r>
        <w:rPr>
          <w:rFonts w:hint="eastAsia" w:eastAsia="仿宋_GB2312"/>
          <w:bCs/>
          <w:snapToGrid w:val="0"/>
          <w:color w:val="auto"/>
          <w:kern w:val="0"/>
          <w:sz w:val="32"/>
          <w:szCs w:val="32"/>
        </w:rPr>
        <w:t>较上年有所提升</w:t>
      </w:r>
      <w:r>
        <w:rPr>
          <w:rFonts w:eastAsia="仿宋_GB2312"/>
          <w:bCs/>
          <w:snapToGrid w:val="0"/>
          <w:color w:val="auto"/>
          <w:kern w:val="0"/>
          <w:sz w:val="32"/>
          <w:szCs w:val="32"/>
        </w:rPr>
        <w:t>。组织有</w:t>
      </w:r>
      <w:r>
        <w:rPr>
          <w:rFonts w:eastAsia="仿宋_GB2312"/>
          <w:b w:val="0"/>
          <w:bCs/>
          <w:snapToGrid w:val="0"/>
          <w:color w:val="auto"/>
          <w:kern w:val="0"/>
          <w:sz w:val="32"/>
          <w:szCs w:val="32"/>
        </w:rPr>
        <w:t>条件的县市区全国农作物病虫害绿色防控技术示范推广基地”与“农作物病虫害绿色防控技术模式”的遴选。</w:t>
      </w:r>
    </w:p>
    <w:p>
      <w:pPr>
        <w:spacing w:line="600" w:lineRule="exact"/>
        <w:ind w:firstLine="640" w:firstLineChars="200"/>
        <w:rPr>
          <w:rFonts w:eastAsia="仿宋_GB2312"/>
          <w:color w:val="auto"/>
          <w:kern w:val="0"/>
          <w:sz w:val="32"/>
          <w:szCs w:val="32"/>
        </w:rPr>
      </w:pPr>
      <w:r>
        <w:rPr>
          <w:rFonts w:hint="eastAsia" w:ascii="仿宋_GB2312" w:hAnsi="仿宋_GB2312" w:eastAsia="仿宋_GB2312" w:cs="仿宋_GB2312"/>
          <w:b w:val="0"/>
          <w:bCs/>
          <w:snapToGrid w:val="0"/>
          <w:color w:val="auto"/>
          <w:kern w:val="0"/>
          <w:sz w:val="32"/>
          <w:szCs w:val="32"/>
          <w:lang w:val="en-US" w:eastAsia="zh-CN"/>
        </w:rPr>
        <w:t>三是</w:t>
      </w:r>
      <w:r>
        <w:rPr>
          <w:rFonts w:hint="eastAsia" w:ascii="仿宋_GB2312" w:hAnsi="仿宋_GB2312" w:eastAsia="仿宋_GB2312" w:cs="仿宋_GB2312"/>
          <w:b w:val="0"/>
          <w:bCs/>
          <w:snapToGrid w:val="0"/>
          <w:color w:val="auto"/>
          <w:kern w:val="0"/>
          <w:sz w:val="32"/>
          <w:szCs w:val="32"/>
        </w:rPr>
        <w:t>纵深推进病虫害统防统治</w:t>
      </w:r>
      <w:r>
        <w:rPr>
          <w:rFonts w:hint="eastAsia" w:ascii="仿宋_GB2312" w:hAnsi="仿宋_GB2312" w:eastAsia="仿宋_GB2312" w:cs="仿宋_GB2312"/>
          <w:b w:val="0"/>
          <w:bCs/>
          <w:snapToGrid w:val="0"/>
          <w:color w:val="auto"/>
          <w:kern w:val="0"/>
          <w:sz w:val="32"/>
          <w:szCs w:val="32"/>
          <w:lang w:eastAsia="zh-CN"/>
        </w:rPr>
        <w:t>。</w:t>
      </w:r>
      <w:r>
        <w:rPr>
          <w:rFonts w:hint="eastAsia" w:ascii="仿宋_GB2312" w:hAnsi="仿宋_GB2312" w:eastAsia="仿宋_GB2312" w:cs="仿宋_GB2312"/>
          <w:b w:val="0"/>
          <w:bCs/>
          <w:snapToGrid w:val="0"/>
          <w:color w:val="auto"/>
          <w:kern w:val="0"/>
          <w:sz w:val="32"/>
          <w:szCs w:val="32"/>
        </w:rPr>
        <w:t>大力推进联</w:t>
      </w:r>
      <w:r>
        <w:rPr>
          <w:rFonts w:eastAsia="仿宋_GB2312"/>
          <w:b w:val="0"/>
          <w:bCs/>
          <w:snapToGrid w:val="0"/>
          <w:color w:val="auto"/>
          <w:kern w:val="0"/>
          <w:sz w:val="32"/>
          <w:szCs w:val="32"/>
        </w:rPr>
        <w:t>防联控和统防统治。在病虫发生关键时节和重发区，支持年服务面积万亩</w:t>
      </w:r>
      <w:r>
        <w:rPr>
          <w:rFonts w:hint="eastAsia" w:eastAsia="仿宋_GB2312"/>
          <w:b w:val="0"/>
          <w:bCs/>
          <w:snapToGrid w:val="0"/>
          <w:color w:val="auto"/>
          <w:kern w:val="0"/>
          <w:sz w:val="32"/>
          <w:szCs w:val="32"/>
        </w:rPr>
        <w:t>次</w:t>
      </w:r>
      <w:r>
        <w:rPr>
          <w:rFonts w:eastAsia="仿宋_GB2312"/>
          <w:b w:val="0"/>
          <w:bCs/>
          <w:snapToGrid w:val="0"/>
          <w:color w:val="auto"/>
          <w:kern w:val="0"/>
          <w:sz w:val="32"/>
          <w:szCs w:val="32"/>
        </w:rPr>
        <w:t>以上的专业化统防统治服务组</w:t>
      </w:r>
      <w:r>
        <w:rPr>
          <w:rFonts w:eastAsia="仿宋_GB2312"/>
          <w:bCs/>
          <w:snapToGrid w:val="0"/>
          <w:color w:val="auto"/>
          <w:kern w:val="0"/>
          <w:sz w:val="32"/>
          <w:szCs w:val="32"/>
        </w:rPr>
        <w:t>织开展病虫应急防控。</w:t>
      </w:r>
      <w:r>
        <w:rPr>
          <w:rStyle w:val="20"/>
          <w:rFonts w:eastAsia="仿宋_GB2312"/>
          <w:color w:val="auto"/>
          <w:kern w:val="0"/>
          <w:sz w:val="32"/>
          <w:szCs w:val="32"/>
        </w:rPr>
        <w:t>分区域组织召开病虫害专业化统防统治工作推进会，在益阳市桃江县召开湘北地区以粮食作物为主的统防统治工作推进会；在怀化市麻阳县召开了湘西南地区以柑橘为主的统防统治工作推进会，现场示范了植保无人机施药和开展柑橘病虫防控药剂技术交流，要求各地因地制宜推进统防统治工作。</w:t>
      </w:r>
      <w:r>
        <w:rPr>
          <w:rFonts w:eastAsia="仿宋_GB2312"/>
          <w:bCs/>
          <w:snapToGrid w:val="0"/>
          <w:color w:val="auto"/>
          <w:kern w:val="0"/>
          <w:sz w:val="32"/>
          <w:szCs w:val="32"/>
        </w:rPr>
        <w:t>截至2023年底，全省专业化统防统治服务组织达到2116家，经登记注册的1735家，植保无人机保有量达到10308台，累计建设病虫害专业化统防统治标准化区域服务站1306个，带动全省主要农作物专业化统防统治服务面积</w:t>
      </w:r>
      <w:r>
        <w:rPr>
          <w:rFonts w:hint="eastAsia" w:eastAsia="仿宋_GB2312"/>
          <w:bCs/>
          <w:snapToGrid w:val="0"/>
          <w:color w:val="auto"/>
          <w:kern w:val="0"/>
          <w:sz w:val="32"/>
          <w:szCs w:val="32"/>
        </w:rPr>
        <w:t>预计</w:t>
      </w:r>
      <w:r>
        <w:rPr>
          <w:rFonts w:eastAsia="仿宋_GB2312"/>
          <w:bCs/>
          <w:snapToGrid w:val="0"/>
          <w:color w:val="auto"/>
          <w:kern w:val="0"/>
          <w:sz w:val="32"/>
          <w:szCs w:val="32"/>
        </w:rPr>
        <w:t>达</w:t>
      </w:r>
      <w:r>
        <w:rPr>
          <w:rFonts w:hint="eastAsia" w:eastAsia="仿宋_GB2312"/>
          <w:bCs/>
          <w:snapToGrid w:val="0"/>
          <w:color w:val="auto"/>
          <w:kern w:val="0"/>
          <w:sz w:val="32"/>
          <w:szCs w:val="32"/>
        </w:rPr>
        <w:t>1.93亿</w:t>
      </w:r>
      <w:r>
        <w:rPr>
          <w:rFonts w:eastAsia="仿宋_GB2312"/>
          <w:bCs/>
          <w:snapToGrid w:val="0"/>
          <w:color w:val="auto"/>
          <w:kern w:val="0"/>
          <w:sz w:val="32"/>
          <w:szCs w:val="32"/>
        </w:rPr>
        <w:t>万亩</w:t>
      </w:r>
      <w:r>
        <w:rPr>
          <w:rFonts w:hint="eastAsia" w:eastAsia="仿宋_GB2312"/>
          <w:bCs/>
          <w:snapToGrid w:val="0"/>
          <w:color w:val="auto"/>
          <w:kern w:val="0"/>
          <w:sz w:val="32"/>
          <w:szCs w:val="32"/>
        </w:rPr>
        <w:t>次</w:t>
      </w:r>
      <w:r>
        <w:rPr>
          <w:rFonts w:eastAsia="仿宋_GB2312"/>
          <w:bCs/>
          <w:snapToGrid w:val="0"/>
          <w:color w:val="auto"/>
          <w:kern w:val="0"/>
          <w:sz w:val="32"/>
          <w:szCs w:val="32"/>
        </w:rPr>
        <w:t>，覆盖率达</w:t>
      </w:r>
      <w:r>
        <w:rPr>
          <w:rFonts w:hint="eastAsia" w:eastAsia="仿宋_GB2312"/>
          <w:bCs/>
          <w:snapToGrid w:val="0"/>
          <w:color w:val="auto"/>
          <w:kern w:val="0"/>
          <w:sz w:val="32"/>
          <w:szCs w:val="32"/>
        </w:rPr>
        <w:t>5</w:t>
      </w:r>
      <w:r>
        <w:rPr>
          <w:rFonts w:eastAsia="仿宋_GB2312"/>
          <w:bCs/>
          <w:snapToGrid w:val="0"/>
          <w:color w:val="auto"/>
          <w:kern w:val="0"/>
          <w:sz w:val="32"/>
          <w:szCs w:val="32"/>
        </w:rPr>
        <w:t>3.3%。</w:t>
      </w:r>
    </w:p>
    <w:p>
      <w:pPr>
        <w:spacing w:line="600" w:lineRule="exact"/>
        <w:ind w:firstLine="640" w:firstLineChars="200"/>
        <w:rPr>
          <w:rFonts w:ascii="仿宋_GB2312" w:eastAsia="仿宋_GB2312"/>
          <w:color w:val="auto"/>
          <w:sz w:val="32"/>
          <w:szCs w:val="32"/>
        </w:rPr>
      </w:pPr>
      <w:r>
        <w:rPr>
          <w:rFonts w:hint="eastAsia" w:ascii="仿宋_GB2312" w:hAnsi="仿宋_GB2312" w:eastAsia="仿宋_GB2312" w:cs="仿宋_GB2312"/>
          <w:b w:val="0"/>
          <w:bCs/>
          <w:snapToGrid w:val="0"/>
          <w:color w:val="auto"/>
          <w:kern w:val="0"/>
          <w:sz w:val="32"/>
          <w:szCs w:val="32"/>
          <w:lang w:val="en-US" w:eastAsia="zh-CN"/>
        </w:rPr>
        <w:t>四是</w:t>
      </w:r>
      <w:r>
        <w:rPr>
          <w:rFonts w:hint="eastAsia" w:ascii="仿宋_GB2312" w:hAnsi="仿宋_GB2312" w:eastAsia="仿宋_GB2312" w:cs="仿宋_GB2312"/>
          <w:b w:val="0"/>
          <w:bCs/>
          <w:snapToGrid w:val="0"/>
          <w:color w:val="auto"/>
          <w:kern w:val="0"/>
          <w:sz w:val="32"/>
          <w:szCs w:val="32"/>
        </w:rPr>
        <w:t>扎实开展经济作物保护工作</w:t>
      </w:r>
      <w:r>
        <w:rPr>
          <w:rFonts w:hint="eastAsia" w:ascii="仿宋_GB2312" w:hAnsi="仿宋_GB2312" w:eastAsia="仿宋_GB2312" w:cs="仿宋_GB2312"/>
          <w:b w:val="0"/>
          <w:bCs/>
          <w:snapToGrid w:val="0"/>
          <w:color w:val="auto"/>
          <w:kern w:val="0"/>
          <w:sz w:val="32"/>
          <w:szCs w:val="32"/>
          <w:lang w:eastAsia="zh-CN"/>
        </w:rPr>
        <w:t>。</w:t>
      </w:r>
      <w:r>
        <w:rPr>
          <w:rFonts w:hint="eastAsia" w:ascii="仿宋_GB2312" w:hAnsi="仿宋_GB2312" w:eastAsia="仿宋_GB2312" w:cs="仿宋_GB2312"/>
          <w:b w:val="0"/>
          <w:bCs/>
          <w:color w:val="auto"/>
          <w:sz w:val="32"/>
          <w:szCs w:val="32"/>
        </w:rPr>
        <w:t>全面部</w:t>
      </w:r>
      <w:r>
        <w:rPr>
          <w:rFonts w:hint="eastAsia" w:ascii="仿宋_GB2312" w:hAnsi="仿宋" w:eastAsia="仿宋_GB2312" w:cs="仿宋"/>
          <w:bCs/>
          <w:color w:val="auto"/>
          <w:sz w:val="32"/>
          <w:szCs w:val="32"/>
        </w:rPr>
        <w:t>署“三棵菜”治理行动。</w:t>
      </w:r>
      <w:r>
        <w:rPr>
          <w:rFonts w:hint="eastAsia" w:ascii="仿宋_GB2312" w:hAnsi="仿宋" w:eastAsia="仿宋_GB2312" w:cs="仿宋"/>
          <w:color w:val="auto"/>
          <w:sz w:val="32"/>
          <w:szCs w:val="32"/>
        </w:rPr>
        <w:t>将</w:t>
      </w:r>
      <w:r>
        <w:rPr>
          <w:rFonts w:hint="eastAsia" w:ascii="仿宋_GB2312" w:hAnsi="仿宋" w:eastAsia="仿宋_GB2312" w:cs="仿宋"/>
          <w:bCs/>
          <w:color w:val="auto"/>
          <w:sz w:val="32"/>
          <w:szCs w:val="32"/>
        </w:rPr>
        <w:t>“三棵菜”治理</w:t>
      </w:r>
      <w:r>
        <w:rPr>
          <w:rFonts w:hint="eastAsia" w:ascii="仿宋_GB2312" w:hAnsi="仿宋" w:eastAsia="仿宋_GB2312" w:cs="仿宋"/>
          <w:color w:val="auto"/>
          <w:sz w:val="32"/>
          <w:szCs w:val="32"/>
        </w:rPr>
        <w:t>工作纳入全省重点植保工作，印发《关于进一步加强豇豆、韭菜、芹菜科学安全用药培训指导和绿色防控工作的通知》《关于进一步加强豇豆病虫害绿色防控和科学安全用药的函》。市州、县市区植保部门也相应印发了有关文件，按要求开展</w:t>
      </w:r>
      <w:r>
        <w:rPr>
          <w:rFonts w:hint="eastAsia" w:ascii="仿宋_GB2312" w:hAnsi="仿宋" w:eastAsia="仿宋_GB2312" w:cs="仿宋"/>
          <w:bCs/>
          <w:color w:val="auto"/>
          <w:sz w:val="32"/>
          <w:szCs w:val="32"/>
        </w:rPr>
        <w:t>“三棵菜”治理</w:t>
      </w:r>
      <w:r>
        <w:rPr>
          <w:rFonts w:hint="eastAsia" w:ascii="仿宋_GB2312" w:hAnsi="仿宋" w:eastAsia="仿宋_GB2312" w:cs="仿宋"/>
          <w:color w:val="auto"/>
          <w:sz w:val="32"/>
          <w:szCs w:val="32"/>
        </w:rPr>
        <w:t>工作。</w:t>
      </w:r>
      <w:r>
        <w:rPr>
          <w:rFonts w:hint="eastAsia" w:ascii="仿宋_GB2312" w:hAnsi="仿宋" w:eastAsia="仿宋_GB2312" w:cs="仿宋"/>
          <w:color w:val="auto"/>
          <w:kern w:val="0"/>
          <w:sz w:val="32"/>
          <w:szCs w:val="32"/>
        </w:rPr>
        <w:t>同时，根据我省</w:t>
      </w:r>
      <w:r>
        <w:rPr>
          <w:rFonts w:hint="eastAsia" w:ascii="仿宋_GB2312" w:hAnsi="仿宋" w:eastAsia="仿宋_GB2312" w:cs="仿宋"/>
          <w:color w:val="auto"/>
          <w:sz w:val="32"/>
          <w:szCs w:val="32"/>
        </w:rPr>
        <w:t>治理实践，修订了豇豆、韭菜、芹菜主要病虫害绿色防控技术要点，进一步提高绿色防控水平。</w:t>
      </w:r>
      <w:r>
        <w:rPr>
          <w:rFonts w:hint="eastAsia" w:ascii="仿宋_GB2312" w:hAnsi="华文楷体" w:eastAsia="仿宋_GB2312" w:cs="华文楷体"/>
          <w:color w:val="auto"/>
          <w:sz w:val="32"/>
          <w:szCs w:val="32"/>
        </w:rPr>
        <w:t>抓好豇豆农残突出问题攻坚治理。</w:t>
      </w:r>
      <w:r>
        <w:rPr>
          <w:rFonts w:hint="eastAsia" w:ascii="仿宋_GB2312" w:eastAsia="仿宋_GB2312"/>
          <w:color w:val="auto"/>
          <w:sz w:val="32"/>
          <w:szCs w:val="32"/>
        </w:rPr>
        <w:t>印发《关于进一步加强豇豆、韭菜、芹菜科学安全用药培训指导和绿色防控工作的通知》，要求各级植保部门提高认识，毫不松懈抓好减药控残工作，加强豇豆农残突出问题治理，落实包联责任制，强化技术指导，科学安全用药，强化示范引领，大力推广绿色防控。先后在全省植保植检站长培训班、种植业工作会、全省秋粮重大病虫防控现场观摩培训会等相关会议上对</w:t>
      </w:r>
      <w:r>
        <w:rPr>
          <w:rFonts w:hint="eastAsia" w:ascii="仿宋_GB2312" w:hAnsi="仿宋" w:eastAsia="仿宋_GB2312" w:cs="仿宋"/>
          <w:color w:val="auto"/>
          <w:sz w:val="32"/>
          <w:szCs w:val="32"/>
        </w:rPr>
        <w:t>豇豆农残突出问题攻坚治理工作</w:t>
      </w:r>
      <w:r>
        <w:rPr>
          <w:rFonts w:hint="eastAsia" w:ascii="仿宋_GB2312" w:eastAsia="仿宋_GB2312"/>
          <w:color w:val="auto"/>
          <w:sz w:val="32"/>
          <w:szCs w:val="32"/>
        </w:rPr>
        <w:t>进行部署推动。市州、县市区植保部门也相应印发了有关文件，召开相关会议，按要求开展豇豆农残突出问题治理工作。</w:t>
      </w:r>
    </w:p>
    <w:p>
      <w:pPr>
        <w:pStyle w:val="14"/>
        <w:keepNext w:val="0"/>
        <w:keepLines w:val="0"/>
        <w:pageBreakBefore w:val="0"/>
        <w:widowControl w:val="0"/>
        <w:numPr>
          <w:ilvl w:val="0"/>
          <w:numId w:val="5"/>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社会效应</w:t>
      </w:r>
    </w:p>
    <w:p>
      <w:pPr>
        <w:spacing w:line="60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积极开展植保信息服务</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强化病虫情报上网发布，出台《关于切实加强病虫情报上网发布工作的通知》文件，规范全省病虫情报发布工作，对发布情况进行通报，督促各市县补齐缺漏的病虫情报。2023年在湖南植保植检信息网共审核发布病虫情报2017篇。利用自有网站、公众号、app等新媒体网上发布病虫情报，推进植保病虫信息进村入户。通过主动争取，全省病虫情报查询服务作为特色公共服务接入省政府“湘易办”超级移动端，完成了与“湘易办”的系统对接，植保信息由此登上“湘易办”超级平台传播得更远更广。利用视频会议系统举办《植保课堂》5期，在病虫防控的关键时间快速为全省植保工作人员和农户送上急需的知识和指导，组织全省病虫防控省级专家到浏阳、平江，进基地与农户，现场解决生产难题12个，指导农户推行病虫绿色防控技术。</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（三）</w:t>
      </w:r>
      <w:r>
        <w:rPr>
          <w:rFonts w:hint="eastAsia" w:ascii="楷体" w:hAnsi="楷体" w:eastAsia="楷体" w:cs="楷体"/>
          <w:b/>
          <w:bCs/>
          <w:color w:val="auto"/>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我单位预算执行率有待提高，主要原因是藏粮于地藏粮于技</w:t>
      </w:r>
      <w:r>
        <w:rPr>
          <w:rFonts w:hint="eastAsia" w:ascii="仿宋_GB2312" w:hAnsi="仿宋_GB2312" w:eastAsia="仿宋_GB2312" w:cs="仿宋_GB2312"/>
          <w:color w:val="auto"/>
          <w:sz w:val="32"/>
          <w:szCs w:val="32"/>
          <w:lang w:val="en-US" w:eastAsia="zh-CN"/>
        </w:rPr>
        <w:t>中央基建投资项目资金于第一年全额下达，但是按照项目进度批复，该</w:t>
      </w:r>
      <w:r>
        <w:rPr>
          <w:rFonts w:hint="default" w:ascii="仿宋_GB2312" w:hAnsi="仿宋_GB2312" w:eastAsia="仿宋_GB2312" w:cs="仿宋_GB2312"/>
          <w:color w:val="auto"/>
          <w:sz w:val="32"/>
          <w:szCs w:val="32"/>
          <w:lang w:val="en-US" w:eastAsia="zh-CN"/>
        </w:rPr>
        <w:t>建设期为二年，第一年为项目筹备期，费用发生较少，项目建设费用支出主要发生在第二年</w:t>
      </w:r>
      <w:r>
        <w:rPr>
          <w:rFonts w:hint="eastAsia" w:ascii="仿宋_GB2312" w:hAnsi="仿宋_GB2312" w:eastAsia="仿宋_GB2312" w:cs="仿宋_GB2312"/>
          <w:color w:val="auto"/>
          <w:sz w:val="32"/>
          <w:szCs w:val="32"/>
          <w:lang w:val="en-US" w:eastAsia="zh-CN"/>
        </w:rPr>
        <w:t>，因此导致第一年预算执行率偏低的情况。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p>
    <w:p>
      <w:pPr>
        <w:pStyle w:val="14"/>
        <w:jc w:val="both"/>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both"/>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jc w:val="center"/>
        <w:rPr>
          <w:rFonts w:hint="eastAsia" w:ascii="方正小标宋_GBK" w:hAnsi="方正小标宋_GBK" w:eastAsia="方正小标宋_GBK" w:cs="方正小标宋_GBK"/>
          <w:color w:val="auto"/>
          <w:kern w:val="0"/>
          <w:sz w:val="70"/>
          <w:szCs w:val="70"/>
        </w:rPr>
      </w:pPr>
    </w:p>
    <w:p>
      <w:pPr>
        <w:jc w:val="center"/>
        <w:rPr>
          <w:rFonts w:hint="eastAsia" w:ascii="方正小标宋_GBK" w:hAnsi="方正小标宋_GBK" w:eastAsia="方正小标宋_GBK" w:cs="方正小标宋_GBK"/>
          <w:color w:val="auto"/>
          <w:kern w:val="0"/>
          <w:sz w:val="70"/>
          <w:szCs w:val="70"/>
        </w:rPr>
      </w:pPr>
      <w:r>
        <w:rPr>
          <w:rFonts w:hint="eastAsia" w:ascii="方正小标宋_GBK" w:hAnsi="方正小标宋_GBK" w:eastAsia="方正小标宋_GBK" w:cs="方正小标宋_GBK"/>
          <w:color w:val="auto"/>
          <w:kern w:val="0"/>
          <w:sz w:val="70"/>
          <w:szCs w:val="70"/>
        </w:rPr>
        <w:t>名词解释</w:t>
      </w:r>
    </w:p>
    <w:p>
      <w:pPr>
        <w:widowControl/>
        <w:jc w:val="left"/>
        <w:rPr>
          <w:rFonts w:cs="黑体" w:asciiTheme="minorEastAsia" w:hAnsiTheme="minorEastAsia"/>
          <w:color w:val="auto"/>
          <w:kern w:val="0"/>
          <w:sz w:val="32"/>
          <w:szCs w:val="32"/>
        </w:rPr>
      </w:pPr>
      <w:r>
        <w:rPr>
          <w:rFonts w:hint="eastAsia" w:ascii="方正小标宋_GBK" w:hAnsi="方正小标宋_GBK" w:eastAsia="方正小标宋_GBK" w:cs="方正小标宋_GBK"/>
          <w:color w:val="auto"/>
          <w:kern w:val="0"/>
          <w:sz w:val="70"/>
          <w:szCs w:val="70"/>
        </w:rPr>
        <w:br w:type="page"/>
      </w:r>
    </w:p>
    <w:p>
      <w:pPr>
        <w:widowControl/>
        <w:spacing w:line="600" w:lineRule="exact"/>
        <w:ind w:firstLine="66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color w:val="auto"/>
          <w:sz w:val="72"/>
          <w:szCs w:val="72"/>
        </w:rPr>
      </w:pPr>
      <w:r>
        <w:rPr>
          <w:rFonts w:hint="eastAsia" w:ascii="Times New Roman" w:hAnsi="Times New Roman" w:eastAsia="仿宋_GB2312" w:cs="黑体"/>
          <w:color w:val="auto"/>
          <w:kern w:val="0"/>
          <w:sz w:val="32"/>
          <w:szCs w:val="32"/>
          <w:lang w:val="en-US" w:eastAsia="zh-CN" w:bidi="ar-SA"/>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rPr>
          <w:color w:val="auto"/>
          <w:sz w:val="72"/>
          <w:szCs w:val="72"/>
        </w:rPr>
      </w:pPr>
      <w:r>
        <w:rPr>
          <w:color w:val="auto"/>
          <w:sz w:val="72"/>
          <w:szCs w:val="72"/>
        </w:rPr>
        <w:br w:type="page"/>
      </w: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p>
    <w:p>
      <w:pPr>
        <w:pStyle w:val="14"/>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w:t>
      </w:r>
      <w:r>
        <w:rPr>
          <w:rFonts w:hint="eastAsia" w:ascii="方正小标宋_GBK" w:hAnsi="方正小标宋_GBK" w:eastAsia="方正小标宋_GBK" w:cs="方正小标宋_GBK"/>
          <w:color w:val="auto"/>
          <w:sz w:val="72"/>
          <w:szCs w:val="72"/>
          <w:lang w:eastAsia="zh-CN"/>
        </w:rPr>
        <w:t>五</w:t>
      </w:r>
      <w:r>
        <w:rPr>
          <w:rFonts w:hint="eastAsia" w:ascii="方正小标宋_GBK" w:hAnsi="方正小标宋_GBK" w:eastAsia="方正小标宋_GBK" w:cs="方正小标宋_GBK"/>
          <w:color w:val="auto"/>
          <w:sz w:val="72"/>
          <w:szCs w:val="72"/>
        </w:rPr>
        <w:t>部分</w:t>
      </w:r>
    </w:p>
    <w:p>
      <w:pPr>
        <w:pStyle w:val="14"/>
        <w:jc w:val="center"/>
        <w:rPr>
          <w:rFonts w:hint="eastAsia" w:ascii="方正小标宋_GBK" w:hAnsi="方正小标宋_GBK" w:eastAsia="方正小标宋_GBK" w:cs="方正小标宋_GBK"/>
          <w:color w:val="auto"/>
          <w:sz w:val="70"/>
          <w:szCs w:val="70"/>
        </w:rPr>
      </w:pPr>
    </w:p>
    <w:p>
      <w:pPr>
        <w:pStyle w:val="14"/>
        <w:jc w:val="center"/>
        <w:rPr>
          <w:rFonts w:hint="eastAsia" w:eastAsia="黑体"/>
          <w:color w:val="auto"/>
          <w:sz w:val="72"/>
          <w:szCs w:val="72"/>
          <w:lang w:eastAsia="zh-CN"/>
        </w:rPr>
      </w:pPr>
      <w:r>
        <w:rPr>
          <w:rFonts w:hint="eastAsia" w:ascii="方正小标宋_GBK" w:hAnsi="方正小标宋_GBK" w:eastAsia="方正小标宋_GBK" w:cs="方正小标宋_GBK"/>
          <w:color w:val="auto"/>
          <w:sz w:val="70"/>
          <w:szCs w:val="70"/>
          <w:lang w:eastAsia="zh-CN"/>
        </w:rPr>
        <w:t>附</w:t>
      </w:r>
      <w:r>
        <w:rPr>
          <w:rFonts w:hint="eastAsia" w:ascii="方正小标宋_GBK" w:hAnsi="方正小标宋_GBK" w:eastAsia="方正小标宋_GBK" w:cs="方正小标宋_GBK"/>
          <w:color w:val="auto"/>
          <w:sz w:val="70"/>
          <w:szCs w:val="70"/>
          <w:lang w:val="en-US" w:eastAsia="zh-CN"/>
        </w:rPr>
        <w:t xml:space="preserve"> </w:t>
      </w:r>
      <w:r>
        <w:rPr>
          <w:rFonts w:hint="eastAsia" w:ascii="方正小标宋_GBK" w:hAnsi="方正小标宋_GBK" w:eastAsia="方正小标宋_GBK" w:cs="方正小标宋_GBK"/>
          <w:color w:val="auto"/>
          <w:sz w:val="70"/>
          <w:szCs w:val="70"/>
          <w:lang w:eastAsia="zh-CN"/>
        </w:rPr>
        <w:t>件</w:t>
      </w:r>
    </w:p>
    <w:p>
      <w:pPr>
        <w:rPr>
          <w:color w:val="auto"/>
          <w:sz w:val="72"/>
          <w:szCs w:val="72"/>
        </w:rPr>
      </w:pPr>
      <w:r>
        <w:rPr>
          <w:color w:val="auto"/>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楷体" w:hAnsi="楷体" w:eastAsia="楷体" w:cs="楷体"/>
          <w:b/>
          <w:bCs/>
          <w:color w:val="auto"/>
          <w:sz w:val="32"/>
          <w:szCs w:val="32"/>
          <w:lang w:eastAsia="zh-CN"/>
        </w:rPr>
        <w:t>一、</w:t>
      </w:r>
      <w:r>
        <w:rPr>
          <w:rFonts w:hint="eastAsia" w:ascii="Times New Roman" w:hAnsi="Times New Roman" w:eastAsia="仿宋_GB2312"/>
          <w:color w:val="auto"/>
          <w:sz w:val="32"/>
          <w:szCs w:val="32"/>
          <w:lang w:val="en-US" w:eastAsia="zh-CN"/>
        </w:rPr>
        <w:t>2023年度单位整体支出绩效自评报告。</w:t>
      </w:r>
    </w:p>
    <w:p>
      <w:pPr>
        <w:pStyle w:val="5"/>
        <w:rPr>
          <w:rFonts w:hint="eastAsia" w:ascii="方正小标宋_GBK" w:hAnsi="方正小标宋_GBK" w:eastAsia="方正小标宋_GBK" w:cs="方正小标宋_GBK"/>
          <w:color w:val="auto"/>
          <w:spacing w:val="-8"/>
        </w:rPr>
      </w:pPr>
      <w:r>
        <w:rPr>
          <w:rFonts w:hint="eastAsia" w:ascii="方正小标宋_GBK" w:hAnsi="方正小标宋_GBK" w:eastAsia="方正小标宋_GBK" w:cs="方正小标宋_GBK"/>
          <w:color w:val="auto"/>
          <w:spacing w:val="-8"/>
          <w:lang w:val="en-US" w:eastAsia="zh-CN"/>
        </w:rPr>
        <w:t>2023</w:t>
      </w:r>
      <w:r>
        <w:rPr>
          <w:rFonts w:hint="eastAsia" w:ascii="方正小标宋_GBK" w:hAnsi="方正小标宋_GBK" w:eastAsia="方正小标宋_GBK" w:cs="方正小标宋_GBK"/>
          <w:color w:val="auto"/>
          <w:spacing w:val="-8"/>
        </w:rPr>
        <w:t>年度</w:t>
      </w:r>
      <w:r>
        <w:rPr>
          <w:rFonts w:hint="eastAsia" w:ascii="方正小标宋_GBK" w:hAnsi="方正小标宋_GBK" w:eastAsia="方正小标宋_GBK" w:cs="方正小标宋_GBK"/>
          <w:color w:val="auto"/>
          <w:spacing w:val="-8"/>
          <w:lang w:val="en-US" w:eastAsia="zh-CN"/>
        </w:rPr>
        <w:t>湖南省植保植检站</w:t>
      </w:r>
      <w:r>
        <w:rPr>
          <w:rFonts w:hint="eastAsia" w:ascii="方正小标宋_GBK" w:hAnsi="方正小标宋_GBK" w:eastAsia="方正小标宋_GBK" w:cs="方正小标宋_GBK"/>
          <w:color w:val="auto"/>
          <w:spacing w:val="-8"/>
        </w:rPr>
        <w:t>整体支出绩效</w:t>
      </w:r>
    </w:p>
    <w:p>
      <w:pPr>
        <w:pStyle w:val="5"/>
        <w:rPr>
          <w:rFonts w:hint="eastAsia" w:ascii="方正小标宋_GBK" w:hAnsi="方正小标宋_GBK" w:eastAsia="方正小标宋_GBK" w:cs="方正小标宋_GBK"/>
          <w:color w:val="auto"/>
          <w:spacing w:val="-8"/>
        </w:rPr>
      </w:pPr>
      <w:r>
        <w:rPr>
          <w:rFonts w:hint="eastAsia" w:ascii="方正小标宋_GBK" w:hAnsi="方正小标宋_GBK" w:eastAsia="方正小标宋_GBK" w:cs="方正小标宋_GBK"/>
          <w:color w:val="auto"/>
          <w:spacing w:val="-8"/>
        </w:rPr>
        <w:t>自评报告</w:t>
      </w:r>
    </w:p>
    <w:p>
      <w:pPr>
        <w:pStyle w:val="6"/>
        <w:spacing w:line="560" w:lineRule="atLeast"/>
        <w:ind w:firstLine="640"/>
        <w:rPr>
          <w:color w:val="auto"/>
        </w:rPr>
      </w:pPr>
    </w:p>
    <w:p>
      <w:pPr>
        <w:pStyle w:val="6"/>
        <w:spacing w:line="560" w:lineRule="atLeast"/>
        <w:ind w:firstLine="640"/>
        <w:rPr>
          <w:rFonts w:hint="eastAsia" w:ascii="华文细黑" w:hAnsi="华文细黑" w:eastAsia="华文细黑" w:cs="华文细黑"/>
          <w:color w:val="auto"/>
          <w:sz w:val="32"/>
          <w:szCs w:val="32"/>
        </w:rPr>
      </w:pPr>
      <w:r>
        <w:rPr>
          <w:rFonts w:hint="eastAsia" w:ascii="华文细黑" w:hAnsi="华文细黑" w:eastAsia="华文细黑" w:cs="华文细黑"/>
          <w:color w:val="auto"/>
          <w:sz w:val="32"/>
          <w:szCs w:val="32"/>
        </w:rPr>
        <w:t>一、单位基本情况</w:t>
      </w:r>
    </w:p>
    <w:p>
      <w:pPr>
        <w:spacing w:line="600" w:lineRule="exact"/>
        <w:ind w:firstLine="600"/>
        <w:rPr>
          <w:rFonts w:eastAsia="仿宋_GB2312"/>
          <w:color w:val="auto"/>
          <w:sz w:val="32"/>
          <w:szCs w:val="32"/>
        </w:rPr>
      </w:pPr>
      <w:r>
        <w:rPr>
          <w:rFonts w:hint="eastAsia" w:ascii="仿宋_GB2312" w:hAnsi="仿宋_GB2312" w:eastAsia="仿宋_GB2312" w:cs="仿宋_GB2312"/>
          <w:b/>
          <w:color w:val="auto"/>
          <w:sz w:val="32"/>
          <w:szCs w:val="32"/>
        </w:rPr>
        <w:t>（一）职能职责。</w:t>
      </w:r>
      <w:r>
        <w:rPr>
          <w:rFonts w:eastAsia="仿宋_GB2312"/>
          <w:color w:val="auto"/>
          <w:sz w:val="32"/>
          <w:szCs w:val="32"/>
        </w:rPr>
        <w:t>湖南省植保植检站主要职能职责包括</w:t>
      </w:r>
      <w:r>
        <w:rPr>
          <w:rFonts w:hint="eastAsia" w:eastAsia="仿宋_GB2312"/>
          <w:color w:val="auto"/>
          <w:sz w:val="32"/>
          <w:szCs w:val="32"/>
        </w:rPr>
        <w:t>：研究拟定全省植保植检工作中长期规划，指导植保植检体系和队伍建设，组织并指导全省开展大面积农作物病虫草鼠防治工作；承担全省专业性病虫测报体系规划、建设及相关业务管理，制定病虫草鼠调查测报办法，及时做出农业有害生物发生趋势预测，发布农业有害生物预报或灾情警报；组织农作物病虫害防控与重大农业生物灾害控制；组织贯彻植物检疫法律和法规，承办检疫审批、检疫检验、签发证书、组织疫情普查，制定封锁和消灭措施；负责植保新技术、新农药、新药械的试验示范、开发及推广应用，开展农药使用等专业技术培训及监督管理。</w:t>
      </w:r>
    </w:p>
    <w:p>
      <w:pPr>
        <w:spacing w:line="600" w:lineRule="exact"/>
        <w:ind w:firstLine="600"/>
        <w:rPr>
          <w:rFonts w:eastAsia="仿宋_GB2312"/>
          <w:color w:val="auto"/>
          <w:sz w:val="32"/>
          <w:szCs w:val="32"/>
        </w:rPr>
      </w:pPr>
      <w:r>
        <w:rPr>
          <w:rFonts w:hint="eastAsia" w:ascii="仿宋_GB2312" w:hAnsi="仿宋_GB2312" w:eastAsia="仿宋_GB2312" w:cs="仿宋_GB2312"/>
          <w:b/>
          <w:color w:val="auto"/>
          <w:sz w:val="32"/>
          <w:szCs w:val="32"/>
        </w:rPr>
        <w:t>（二）机构设置。</w:t>
      </w:r>
      <w:r>
        <w:rPr>
          <w:rFonts w:hint="eastAsia" w:eastAsia="仿宋_GB2312"/>
          <w:color w:val="auto"/>
          <w:sz w:val="32"/>
          <w:szCs w:val="32"/>
        </w:rPr>
        <w:t>湖南省植保植检站内设有综合科、测报科、检疫科、防治科、计财科、药械科、经保科、信息科等8个科室。</w:t>
      </w:r>
    </w:p>
    <w:p>
      <w:pPr>
        <w:rPr>
          <w:rFonts w:hint="eastAsia"/>
          <w:color w:val="auto"/>
        </w:rPr>
      </w:pPr>
    </w:p>
    <w:p>
      <w:pPr>
        <w:pStyle w:val="6"/>
        <w:spacing w:line="560" w:lineRule="atLeast"/>
        <w:ind w:firstLine="640"/>
        <w:rPr>
          <w:rFonts w:hint="eastAsia" w:ascii="华文细黑" w:hAnsi="华文细黑" w:eastAsia="华文细黑" w:cs="华文细黑"/>
          <w:color w:val="auto"/>
          <w:sz w:val="32"/>
          <w:szCs w:val="32"/>
        </w:rPr>
      </w:pPr>
      <w:r>
        <w:rPr>
          <w:rFonts w:hint="eastAsia" w:ascii="华文细黑" w:hAnsi="华文细黑" w:eastAsia="华文细黑" w:cs="华文细黑"/>
          <w:color w:val="auto"/>
          <w:sz w:val="32"/>
          <w:szCs w:val="32"/>
        </w:rPr>
        <w:t>二、一般公共预算支出情况</w:t>
      </w:r>
    </w:p>
    <w:p>
      <w:pPr>
        <w:spacing w:line="560" w:lineRule="atLeas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（一）基本支出情况</w:t>
      </w:r>
    </w:p>
    <w:p>
      <w:pPr>
        <w:spacing w:line="560" w:lineRule="atLeas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2023年基本支出986.04万元，其中</w:t>
      </w:r>
      <w:r>
        <w:rPr>
          <w:rFonts w:hint="eastAsia" w:ascii="仿宋_GB2312" w:hAnsi="仿宋_GB2312" w:eastAsia="仿宋_GB2312" w:cs="仿宋_GB2312"/>
          <w:color w:val="auto"/>
          <w:sz w:val="32"/>
          <w:szCs w:val="32"/>
        </w:rPr>
        <w:t>人员经费</w:t>
      </w:r>
      <w:r>
        <w:rPr>
          <w:rFonts w:hint="eastAsia" w:ascii="仿宋_GB2312" w:hAnsi="仿宋_GB2312" w:eastAsia="仿宋_GB2312" w:cs="仿宋_GB2312"/>
          <w:color w:val="auto"/>
          <w:sz w:val="32"/>
          <w:szCs w:val="32"/>
          <w:lang w:val="en-US" w:eastAsia="zh-CN"/>
        </w:rPr>
        <w:t>879.61</w:t>
      </w:r>
      <w:r>
        <w:rPr>
          <w:rFonts w:hint="eastAsia" w:ascii="仿宋_GB2312" w:hAnsi="仿宋_GB2312" w:eastAsia="仿宋_GB2312" w:cs="仿宋_GB2312"/>
          <w:color w:val="auto"/>
          <w:sz w:val="32"/>
          <w:szCs w:val="32"/>
        </w:rPr>
        <w:t>万元，占基本支出的</w:t>
      </w:r>
      <w:r>
        <w:rPr>
          <w:rFonts w:hint="eastAsia" w:ascii="仿宋_GB2312" w:hAnsi="仿宋_GB2312" w:eastAsia="仿宋_GB2312" w:cs="仿宋_GB2312"/>
          <w:color w:val="auto"/>
          <w:sz w:val="32"/>
          <w:szCs w:val="32"/>
          <w:lang w:val="en-US" w:eastAsia="zh-CN"/>
        </w:rPr>
        <w:t>89.21</w:t>
      </w:r>
      <w:r>
        <w:rPr>
          <w:rFonts w:hint="eastAsia" w:ascii="仿宋_GB2312" w:hAnsi="仿宋_GB2312" w:eastAsia="仿宋_GB2312" w:cs="仿宋_GB2312"/>
          <w:color w:val="auto"/>
          <w:sz w:val="32"/>
          <w:szCs w:val="32"/>
        </w:rPr>
        <w:t>%,主要包括基本工资、津贴补贴、奖金、伙食补助费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机关事业单位基本养老保险缴费、住房公积金、公务员医疗补助缴费、职工基本医疗保险缴费、退休费、奖励金等</w:t>
      </w:r>
      <w:r>
        <w:rPr>
          <w:rFonts w:hint="eastAsia" w:ascii="仿宋_GB2312" w:hAnsi="仿宋_GB2312" w:eastAsia="仿宋_GB2312" w:cs="仿宋_GB2312"/>
          <w:color w:val="auto"/>
          <w:sz w:val="32"/>
          <w:szCs w:val="32"/>
          <w:lang w:eastAsia="zh-CN"/>
        </w:rPr>
        <w:t>。</w:t>
      </w:r>
    </w:p>
    <w:p>
      <w:pPr>
        <w:spacing w:line="560" w:lineRule="atLeas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公用经费</w:t>
      </w:r>
      <w:r>
        <w:rPr>
          <w:rFonts w:hint="default" w:ascii="仿宋_GB2312" w:hAnsi="仿宋_GB2312" w:eastAsia="仿宋_GB2312" w:cs="仿宋_GB2312"/>
          <w:color w:val="auto"/>
          <w:sz w:val="32"/>
          <w:szCs w:val="32"/>
        </w:rPr>
        <w:t>106</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t>万元，占基本支出的</w:t>
      </w:r>
      <w:r>
        <w:rPr>
          <w:rFonts w:hint="eastAsia" w:ascii="仿宋_GB2312" w:hAnsi="仿宋_GB2312" w:eastAsia="仿宋_GB2312" w:cs="仿宋_GB2312"/>
          <w:color w:val="auto"/>
          <w:sz w:val="32"/>
          <w:szCs w:val="32"/>
          <w:lang w:val="en-US" w:eastAsia="zh-CN"/>
        </w:rPr>
        <w:t>10.79</w:t>
      </w:r>
      <w:r>
        <w:rPr>
          <w:rFonts w:hint="eastAsia" w:ascii="仿宋_GB2312" w:hAnsi="仿宋_GB2312" w:eastAsia="仿宋_GB2312" w:cs="仿宋_GB2312"/>
          <w:color w:val="auto"/>
          <w:sz w:val="32"/>
          <w:szCs w:val="32"/>
        </w:rPr>
        <w:t>%，主要包括办公费、印刷费、咨询费、</w:t>
      </w:r>
      <w:r>
        <w:rPr>
          <w:rFonts w:hint="eastAsia" w:ascii="仿宋_GB2312" w:hAnsi="仿宋_GB2312" w:eastAsia="仿宋_GB2312" w:cs="仿宋_GB2312"/>
          <w:color w:val="auto"/>
          <w:sz w:val="32"/>
          <w:szCs w:val="32"/>
          <w:lang w:val="en-US" w:eastAsia="zh-CN"/>
        </w:rPr>
        <w:t>水费、电费、邮电费、物业管理费、郑州费、会议费、工会经费、福利费、公务用车运行维护费、其他交通费、其他商品和服务支出等</w:t>
      </w:r>
      <w:r>
        <w:rPr>
          <w:rFonts w:hint="eastAsia" w:ascii="仿宋_GB2312" w:hAnsi="仿宋_GB2312" w:eastAsia="仿宋_GB2312" w:cs="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“三公”经费支出预算为</w:t>
      </w:r>
      <w:r>
        <w:rPr>
          <w:rFonts w:hint="eastAsia" w:ascii="Times New Roman" w:hAnsi="Times New Roman" w:eastAsia="仿宋_GB2312"/>
          <w:color w:val="auto"/>
          <w:sz w:val="32"/>
          <w:szCs w:val="32"/>
          <w:lang w:val="en-US" w:eastAsia="zh-CN"/>
        </w:rPr>
        <w:t>7.00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5.17</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73.86</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0.39</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19.5</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5.00</w:t>
      </w:r>
      <w:r>
        <w:rPr>
          <w:rFonts w:hint="eastAsia" w:ascii="Times New Roman" w:hAnsi="Times New Roman" w:eastAsia="仿宋_GB2312"/>
          <w:color w:val="auto"/>
          <w:sz w:val="32"/>
          <w:szCs w:val="32"/>
        </w:rPr>
        <w:t>万元，支出决算为4.8</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97.20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单位厉行节约，压减三公经费</w:t>
      </w:r>
      <w:r>
        <w:rPr>
          <w:rFonts w:hint="eastAsia" w:ascii="Times New Roman" w:hAnsi="Times New Roman" w:eastAsia="仿宋_GB2312"/>
          <w:color w:val="auto"/>
          <w:sz w:val="32"/>
          <w:szCs w:val="32"/>
        </w:rPr>
        <w:t>。</w:t>
      </w:r>
    </w:p>
    <w:p>
      <w:pPr>
        <w:spacing w:line="560" w:lineRule="atLeas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（二）项目支出情况</w:t>
      </w:r>
    </w:p>
    <w:p>
      <w:pPr>
        <w:pStyle w:val="6"/>
        <w:spacing w:line="560" w:lineRule="atLeas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代农业发展-种植产业发展-春耕生产工作经费-1支出预算15万元，支出决算6万元；现代农业发展-植保创新活动经费支出预算10万元，支出决算0.42万元；现代农业发展-植保设备购置经费支出预算5万元，支出决算4.66万元；现代农业发展-植保重点工作推进经费支出预算60万元，支出决算43.96万元；现代农业发展-植保信息化建设支出预算13万元，支出决算6.07万元；现代农业发展-种植产业发展-农药减量工作经费-1-1支出预算50万元，支出决算26.13万元；现代农业发展-植保专技培训经费支出预算32万元，支出决算32万元；现代农业发展-植保专技培训经费（2022结转）支出预算14.88万元，支出决算14.88万元；现代农业发展-检疫执法着装费（2022结转）支出预算3万元，支出决算2.81万元；现代农业发展-种植产业发展-春耕生产工作经费（2022结转）支出预算3.16万元，支出决算1.98万元；现代农业发展-植保创新活动经费（2022结转）支出预算3.03万元，支出决算1.45万元；现代农业发展-植保重点工作推进经费（2022结转）支出预算8.79万元，支出决算8.29万元；国内植物检疫业务委托费支出预算0万元，支出决算4万元；现代农业发展-植保信息化建设（2022结转）支出预算17.47万元，支出决算17.47万元；现代农业发展-种植产业发展-农药减量工作经费（2022结转）支出预算2.10万元，支出决算0.90万元；现代农业发展-植保设备购置经费（2022结转）支出预算0.67万元，支出决算0.67万元；2023年藏粮于地藏粮于技专项（现代种业提升工程和动植物保护能力提升工程方向）支出预算1750.00万元，支出决算19.80万元；2022年藏粮于地藏粮于技专项（动植物保护能力提升工程项目）中央基建投资预算（2022结转）支出预算3171.20万元，支出决算1500.49万元。</w:t>
      </w:r>
    </w:p>
    <w:p>
      <w:pPr>
        <w:pStyle w:val="6"/>
        <w:spacing w:line="560" w:lineRule="atLeas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结转项目资金支出预算为3224.29万元，支出决算为1548.93万元，执行率为48.04%，原因为湖南省重大病虫疫情区域应急防控设施及物资储备库建设项目涉及用地审批，省发改委要求，根据湖南省住建厅印发的《湖南省房屋建筑和市政基础设施工程初步设计审批管理办法》（湘建设〔2022〕30号）精神，房屋建筑须由住建部门出具初步设计审批意见。住建部门出具初步设计审批意见前提是自然资源部门出具用地预审、选址意见书等文件。自然资源部门根据有关规定，单宗用地规模超过3000平方米的须提交规委会集体讨论通过。因此审批流程较长，目前委托隆回县农业农村局协调，争取用地审批的绿色通道，业务费用支出主要发生在2024年。</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kern w:val="2"/>
          <w:sz w:val="32"/>
          <w:szCs w:val="32"/>
          <w:highlight w:val="none"/>
          <w:lang w:val="en-US" w:eastAsia="zh-CN" w:bidi="ar-SA"/>
        </w:rPr>
        <w:t>2023年非结转资金支出预算1935.00万元，支出决算为143.04万元，执行率为7.39%，</w:t>
      </w:r>
      <w:r>
        <w:rPr>
          <w:rFonts w:hint="eastAsia" w:ascii="Times New Roman" w:hAnsi="Times New Roman" w:eastAsia="仿宋_GB2312"/>
          <w:color w:val="auto"/>
          <w:sz w:val="32"/>
          <w:szCs w:val="32"/>
          <w:lang w:val="en-US" w:eastAsia="zh-CN"/>
        </w:rPr>
        <w:t>主要原因是2023年藏粮于地藏粮于技专项（现代种业提升工程和动植物保护能力提升工程方向）</w:t>
      </w:r>
      <w:r>
        <w:rPr>
          <w:rFonts w:hint="eastAsia" w:ascii="仿宋_GB2312" w:hAnsi="仿宋_GB2312" w:eastAsia="仿宋_GB2312" w:cs="仿宋_GB2312"/>
          <w:color w:val="auto"/>
          <w:sz w:val="32"/>
          <w:szCs w:val="32"/>
          <w:lang w:val="en-US" w:eastAsia="zh-CN"/>
        </w:rPr>
        <w:t>项目资金1750万元于第一年全额下达，但是按照项目进度批复，该</w:t>
      </w:r>
      <w:r>
        <w:rPr>
          <w:rFonts w:hint="default" w:ascii="仿宋_GB2312" w:hAnsi="仿宋_GB2312" w:eastAsia="仿宋_GB2312" w:cs="仿宋_GB2312"/>
          <w:color w:val="auto"/>
          <w:sz w:val="32"/>
          <w:szCs w:val="32"/>
          <w:lang w:val="en-US" w:eastAsia="zh-CN"/>
        </w:rPr>
        <w:t>建设期为二年，第一年为项目筹备期，费用发生较少，项目建设费用支出主要发生在第二年</w:t>
      </w:r>
      <w:r>
        <w:rPr>
          <w:rFonts w:hint="eastAsia" w:ascii="仿宋_GB2312" w:hAnsi="仿宋_GB2312" w:eastAsia="仿宋_GB2312" w:cs="仿宋_GB2312"/>
          <w:color w:val="auto"/>
          <w:sz w:val="32"/>
          <w:szCs w:val="32"/>
          <w:lang w:val="en-US" w:eastAsia="zh-CN"/>
        </w:rPr>
        <w:t>，2023年支出决算仅为19.8万元，导致整体预算执行率均偏低的情况。</w:t>
      </w:r>
    </w:p>
    <w:p>
      <w:pPr>
        <w:pStyle w:val="6"/>
        <w:spacing w:line="560" w:lineRule="atLeast"/>
        <w:ind w:firstLine="640"/>
        <w:rPr>
          <w:rFonts w:hint="eastAsia" w:ascii="华文细黑" w:hAnsi="华文细黑" w:eastAsia="华文细黑" w:cs="华文细黑"/>
          <w:color w:val="auto"/>
          <w:sz w:val="32"/>
          <w:szCs w:val="32"/>
        </w:rPr>
      </w:pPr>
      <w:r>
        <w:rPr>
          <w:rFonts w:hint="eastAsia" w:ascii="华文细黑" w:hAnsi="华文细黑" w:eastAsia="华文细黑" w:cs="华文细黑"/>
          <w:color w:val="auto"/>
          <w:sz w:val="32"/>
          <w:szCs w:val="32"/>
        </w:rPr>
        <w:t>三、部门整体支出绩效情况</w:t>
      </w:r>
    </w:p>
    <w:p>
      <w:pPr>
        <w:spacing w:line="560" w:lineRule="atLeast"/>
        <w:ind w:firstLine="640"/>
        <w:rPr>
          <w:rFonts w:hint="eastAsia" w:ascii="仿宋_GB2312" w:eastAsia="仿宋_GB2312"/>
          <w:color w:val="auto"/>
          <w:sz w:val="32"/>
          <w:szCs w:val="32"/>
        </w:rPr>
      </w:pPr>
      <w:r>
        <w:rPr>
          <w:rFonts w:hint="eastAsia" w:ascii="仿宋_GB2312" w:eastAsia="仿宋_GB2312"/>
          <w:color w:val="auto"/>
          <w:sz w:val="32"/>
          <w:szCs w:val="32"/>
        </w:rPr>
        <w:t>今年以来，</w:t>
      </w:r>
      <w:r>
        <w:rPr>
          <w:rFonts w:hint="eastAsia" w:ascii="仿宋_GB2312" w:eastAsia="仿宋_GB2312"/>
          <w:snapToGrid w:val="0"/>
          <w:color w:val="auto"/>
          <w:kern w:val="0"/>
          <w:sz w:val="32"/>
          <w:szCs w:val="32"/>
        </w:rPr>
        <w:t>全省温湿度适宜，气候条件适宜农作物病虫发生为害。</w:t>
      </w:r>
      <w:r>
        <w:rPr>
          <w:rFonts w:hint="eastAsia" w:ascii="仿宋_GB2312" w:eastAsia="仿宋_GB2312"/>
          <w:color w:val="auto"/>
          <w:sz w:val="32"/>
          <w:szCs w:val="32"/>
        </w:rPr>
        <w:t>全省粮食作物主要病虫害总体偏重发生。面对上半年病虫发生严峻形势，我站在厅党组的正确领导下，提高站位，及早部署，积极应对，主动作为，着力防范化解重大病虫为害风险，</w:t>
      </w:r>
      <w:r>
        <w:rPr>
          <w:rFonts w:hint="eastAsia" w:ascii="仿宋_GB2312" w:eastAsia="仿宋_GB2312"/>
          <w:snapToGrid w:val="0"/>
          <w:color w:val="auto"/>
          <w:kern w:val="0"/>
          <w:sz w:val="32"/>
          <w:szCs w:val="32"/>
        </w:rPr>
        <w:t>大力推进“两增两减”虫口夺粮促丰收行动，</w:t>
      </w:r>
      <w:r>
        <w:rPr>
          <w:rFonts w:hint="eastAsia" w:ascii="仿宋_GB2312" w:eastAsia="仿宋_GB2312"/>
          <w:color w:val="auto"/>
          <w:sz w:val="32"/>
          <w:szCs w:val="32"/>
        </w:rPr>
        <w:t>全力保障粮食生产安全与农业生态环境安全。全国油菜综合防控现场会、全国水稻病虫害统防统治与绿色防控融合现场会相继在我省召开，我省均作典型经验交流。我站成功承办了第</w:t>
      </w:r>
      <w:r>
        <w:rPr>
          <w:rFonts w:eastAsia="仿宋_GB2312"/>
          <w:color w:val="auto"/>
          <w:sz w:val="32"/>
          <w:szCs w:val="32"/>
        </w:rPr>
        <w:t>37</w:t>
      </w:r>
      <w:r>
        <w:rPr>
          <w:rFonts w:hint="eastAsia" w:ascii="仿宋_GB2312" w:eastAsia="仿宋_GB2312"/>
          <w:color w:val="auto"/>
          <w:sz w:val="32"/>
          <w:szCs w:val="32"/>
        </w:rPr>
        <w:t>届中国植保信息交流与农药械交易会。</w:t>
      </w:r>
    </w:p>
    <w:p>
      <w:pPr>
        <w:pStyle w:val="14"/>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运行成本</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全年预算数6239.15万元，决算数2678.02万元，执行率42.92%，我单位全年整体支出控制在预算范围内。</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人员经费预算数976.59万元，决算数873.61元，公用经费数119.27万元，决算数106.43万元，均控制在预算范围内。</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“三公”经费财政拨款支出预算为</w:t>
      </w:r>
      <w:r>
        <w:rPr>
          <w:rFonts w:hint="eastAsia" w:ascii="Times New Roman" w:hAnsi="Times New Roman" w:eastAsia="仿宋_GB2312"/>
          <w:color w:val="auto"/>
          <w:sz w:val="32"/>
          <w:szCs w:val="32"/>
          <w:highlight w:val="none"/>
          <w:lang w:val="en-US" w:eastAsia="zh-CN"/>
        </w:rPr>
        <w:t>7</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5.17</w:t>
      </w:r>
      <w:r>
        <w:rPr>
          <w:rFonts w:hint="eastAsia" w:ascii="Times New Roman" w:hAnsi="Times New Roman" w:eastAsia="仿宋_GB2312"/>
          <w:color w:val="auto"/>
          <w:sz w:val="32"/>
          <w:szCs w:val="32"/>
          <w:highlight w:val="none"/>
        </w:rPr>
        <w:t>万元，完成预算的</w:t>
      </w:r>
      <w:r>
        <w:rPr>
          <w:rFonts w:hint="eastAsia" w:ascii="Times New Roman" w:hAnsi="Times New Roman" w:eastAsia="仿宋_GB2312"/>
          <w:color w:val="auto"/>
          <w:sz w:val="32"/>
          <w:szCs w:val="32"/>
          <w:highlight w:val="none"/>
          <w:lang w:val="en-US" w:eastAsia="zh-CN"/>
        </w:rPr>
        <w:t>73.86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控制在预算范围内。</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、管理效率</w:t>
      </w:r>
    </w:p>
    <w:p>
      <w:pPr>
        <w:widowControl/>
        <w:spacing w:line="600" w:lineRule="exact"/>
        <w:ind w:firstLine="643"/>
        <w:textAlignment w:val="baseline"/>
        <w:rPr>
          <w:rFonts w:eastAsia="仿宋_GB2312"/>
          <w:color w:val="auto"/>
          <w:sz w:val="32"/>
          <w:szCs w:val="32"/>
          <w:shd w:val="clear" w:color="auto" w:fill="FFFFFF"/>
        </w:rPr>
      </w:pPr>
      <w:r>
        <w:rPr>
          <w:rFonts w:hint="eastAsia" w:eastAsia="仿宋_GB2312"/>
          <w:color w:val="auto"/>
          <w:sz w:val="32"/>
          <w:szCs w:val="32"/>
          <w:shd w:val="clear" w:color="auto" w:fill="FFFFFF"/>
        </w:rPr>
        <w:t>今年以来，我站加力推动《湖南省加强基层动植物疫病防控体系建设实施方案》落地。一、二季度面向市州、县市区开展了方案落实情况调度；三、四季度按照农业农村部指示，组织全省做好“全国植保体系信息化管理平台”数据填报及维护工作，并同步督促各市州持续健全基层植保机构设置及人员配置。机构设置方面，明确要求各地按照农作物种植面积50万亩及以上的农业大县（市、区）独立设置植物疫病预防控制机构，名称统一为“××县（市、区）植保植检站”，为县市区农业农村部门所属公益类事业单位；50万亩以下的县市区可与相关机构综合设置，统一加挂“××县（市、区）植保植检站”牌子。人员配置方面，明确要求县级植保机构按每10万亩作物配备1名植保植检专业人员事业编制，环境复杂或病虫害多发重发地区适当增加植保植检人员编制（最多不超过10名），独立设置植保植检机构的专业技术人员占比不低于80%；明确要求农业乡镇至少配备1名植保员。当前，全省100%农业大县（市、区）农业农村部门联合编制部门按要求印发了当地正式文件，植保专业人数正在持续增加中。目前全省共840余名县级植保专业技术人员、1800余名乡镇植保员，农业县市区植保人员县均达到5人以上。全省绝大部分县市区已按照方案要求健全了机构、配齐了人员。</w:t>
      </w:r>
    </w:p>
    <w:p>
      <w:pPr>
        <w:pStyle w:val="14"/>
        <w:keepNext w:val="0"/>
        <w:keepLines w:val="0"/>
        <w:pageBreakBefore w:val="0"/>
        <w:widowControl w:val="0"/>
        <w:numPr>
          <w:ilvl w:val="0"/>
          <w:numId w:val="5"/>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履职效能</w:t>
      </w:r>
    </w:p>
    <w:p>
      <w:pPr>
        <w:spacing w:line="600" w:lineRule="exact"/>
        <w:ind w:firstLine="640" w:firstLineChars="200"/>
        <w:rPr>
          <w:rFonts w:eastAsia="仿宋_GB2312"/>
          <w:snapToGrid w:val="0"/>
          <w:color w:val="auto"/>
          <w:kern w:val="0"/>
          <w:sz w:val="32"/>
          <w:szCs w:val="32"/>
        </w:rPr>
      </w:pPr>
      <w:r>
        <w:rPr>
          <w:rFonts w:hint="eastAsia" w:ascii="仿宋_GB2312" w:hAnsi="仿宋_GB2312" w:eastAsia="仿宋_GB2312" w:cs="仿宋_GB2312"/>
          <w:b w:val="0"/>
          <w:bCs w:val="0"/>
          <w:color w:val="auto"/>
          <w:sz w:val="32"/>
          <w:szCs w:val="32"/>
          <w:lang w:val="en-US" w:eastAsia="zh-CN"/>
        </w:rPr>
        <w:t>一是</w:t>
      </w:r>
      <w:r>
        <w:rPr>
          <w:rFonts w:hint="eastAsia" w:ascii="仿宋_GB2312" w:hAnsi="仿宋_GB2312" w:eastAsia="仿宋_GB2312" w:cs="仿宋_GB2312"/>
          <w:b w:val="0"/>
          <w:bCs w:val="0"/>
          <w:snapToGrid w:val="0"/>
          <w:color w:val="auto"/>
          <w:kern w:val="0"/>
          <w:sz w:val="32"/>
          <w:szCs w:val="32"/>
        </w:rPr>
        <w:t>提升病虫监测预警能力</w:t>
      </w:r>
      <w:r>
        <w:rPr>
          <w:rFonts w:hint="eastAsia" w:ascii="仿宋_GB2312" w:hAnsi="仿宋_GB2312" w:eastAsia="仿宋_GB2312" w:cs="仿宋_GB2312"/>
          <w:b w:val="0"/>
          <w:bCs w:val="0"/>
          <w:snapToGrid w:val="0"/>
          <w:color w:val="auto"/>
          <w:kern w:val="0"/>
          <w:sz w:val="32"/>
          <w:szCs w:val="32"/>
          <w:lang w:eastAsia="zh-CN"/>
        </w:rPr>
        <w:t>。</w:t>
      </w:r>
      <w:r>
        <w:rPr>
          <w:rFonts w:eastAsia="仿宋_GB2312"/>
          <w:snapToGrid w:val="0"/>
          <w:color w:val="auto"/>
          <w:kern w:val="0"/>
          <w:sz w:val="32"/>
          <w:szCs w:val="32"/>
        </w:rPr>
        <w:t>深入推进动植物保护能力提升工程建设，截至2023年底，全省已建26个全国粮食作物病虫疫情监测分中心共111个监测点，结合各农业县市区布设的县级监测点，织密水稻病虫害监测网；在53个县市区布设草地贪夜蛾性诱自动监测点，在40个县市区布设112台高空监测防控灯，全区域加密构建起湘南、湘中、湘北三条草地贪夜蛾高空监测带。组织各地及早开展病虫调查监测，适时开展病虫发生趋势会商，及时印发病虫情报警报，严格执行周报制度和新发突发重大病虫情当天即报制度，全面掌握全省病虫情发生动态，切实做到了“底数清、情况明”。2023年度，全省共发布病虫情报1200余期300多万份；张贴病虫情报公告版570余期95余万份，进村率平均达97%；下发病虫防治通知单760余期1400余万份，入户率达到93%以上；发送手机短信500多万条次。</w:t>
      </w:r>
    </w:p>
    <w:p>
      <w:pPr>
        <w:spacing w:line="600" w:lineRule="exact"/>
        <w:ind w:firstLine="640" w:firstLineChars="200"/>
        <w:rPr>
          <w:rFonts w:eastAsia="仿宋_GB2312"/>
          <w:b w:val="0"/>
          <w:bCs/>
          <w:snapToGrid w:val="0"/>
          <w:color w:val="auto"/>
          <w:kern w:val="0"/>
          <w:sz w:val="32"/>
          <w:szCs w:val="32"/>
        </w:rPr>
      </w:pPr>
      <w:r>
        <w:rPr>
          <w:rFonts w:hint="eastAsia" w:ascii="Times New Roman" w:hAnsi="Times New Roman" w:eastAsia="仿宋_GB2312"/>
          <w:color w:val="auto"/>
          <w:sz w:val="32"/>
          <w:szCs w:val="32"/>
          <w:lang w:val="en-US" w:eastAsia="zh-CN"/>
        </w:rPr>
        <w:t>二是大力推广病虫害绿色防控。</w:t>
      </w:r>
      <w:r>
        <w:rPr>
          <w:rFonts w:eastAsia="仿宋_GB2312"/>
          <w:color w:val="auto"/>
          <w:sz w:val="32"/>
          <w:szCs w:val="32"/>
        </w:rPr>
        <w:t>分</w:t>
      </w:r>
      <w:r>
        <w:rPr>
          <w:rFonts w:eastAsia="仿宋_GB2312"/>
          <w:color w:val="auto"/>
          <w:kern w:val="0"/>
          <w:sz w:val="32"/>
          <w:szCs w:val="32"/>
        </w:rPr>
        <w:t>作物、分层次开展粮食作物病虫害绿色防控示范，</w:t>
      </w:r>
      <w:r>
        <w:rPr>
          <w:rFonts w:eastAsia="仿宋_GB2312"/>
          <w:bCs/>
          <w:snapToGrid w:val="0"/>
          <w:color w:val="auto"/>
          <w:kern w:val="0"/>
          <w:sz w:val="32"/>
          <w:szCs w:val="32"/>
        </w:rPr>
        <w:t>创建省级粮食作物绿色防控示范区</w:t>
      </w:r>
      <w:r>
        <w:rPr>
          <w:rFonts w:hint="eastAsia" w:eastAsia="仿宋_GB2312"/>
          <w:bCs/>
          <w:snapToGrid w:val="0"/>
          <w:color w:val="auto"/>
          <w:kern w:val="0"/>
          <w:sz w:val="32"/>
          <w:szCs w:val="32"/>
        </w:rPr>
        <w:t>248</w:t>
      </w:r>
      <w:r>
        <w:rPr>
          <w:rFonts w:eastAsia="仿宋_GB2312"/>
          <w:bCs/>
          <w:snapToGrid w:val="0"/>
          <w:color w:val="auto"/>
          <w:kern w:val="0"/>
          <w:sz w:val="32"/>
          <w:szCs w:val="32"/>
        </w:rPr>
        <w:t>个，其中水稻病虫害绿色防控示范区</w:t>
      </w:r>
      <w:r>
        <w:rPr>
          <w:rFonts w:hint="eastAsia" w:eastAsia="仿宋_GB2312"/>
          <w:bCs/>
          <w:snapToGrid w:val="0"/>
          <w:color w:val="auto"/>
          <w:kern w:val="0"/>
          <w:sz w:val="32"/>
          <w:szCs w:val="32"/>
        </w:rPr>
        <w:t>146</w:t>
      </w:r>
      <w:r>
        <w:rPr>
          <w:rFonts w:eastAsia="仿宋_GB2312"/>
          <w:bCs/>
          <w:snapToGrid w:val="0"/>
          <w:color w:val="auto"/>
          <w:kern w:val="0"/>
          <w:sz w:val="32"/>
          <w:szCs w:val="32"/>
        </w:rPr>
        <w:t>个，</w:t>
      </w:r>
      <w:r>
        <w:rPr>
          <w:rFonts w:hint="eastAsia" w:eastAsia="仿宋_GB2312"/>
          <w:bCs/>
          <w:snapToGrid w:val="0"/>
          <w:color w:val="auto"/>
          <w:kern w:val="0"/>
          <w:sz w:val="32"/>
          <w:szCs w:val="32"/>
        </w:rPr>
        <w:t>玉米</w:t>
      </w:r>
      <w:r>
        <w:rPr>
          <w:rFonts w:eastAsia="仿宋_GB2312"/>
          <w:bCs/>
          <w:snapToGrid w:val="0"/>
          <w:color w:val="auto"/>
          <w:kern w:val="0"/>
          <w:sz w:val="32"/>
          <w:szCs w:val="32"/>
        </w:rPr>
        <w:t>综合防控示范区</w:t>
      </w:r>
      <w:r>
        <w:rPr>
          <w:rFonts w:hint="eastAsia" w:eastAsia="仿宋_GB2312"/>
          <w:bCs/>
          <w:snapToGrid w:val="0"/>
          <w:color w:val="auto"/>
          <w:kern w:val="0"/>
          <w:sz w:val="32"/>
          <w:szCs w:val="32"/>
        </w:rPr>
        <w:t>77</w:t>
      </w:r>
      <w:r>
        <w:rPr>
          <w:rFonts w:eastAsia="仿宋_GB2312"/>
          <w:bCs/>
          <w:snapToGrid w:val="0"/>
          <w:color w:val="auto"/>
          <w:kern w:val="0"/>
          <w:sz w:val="32"/>
          <w:szCs w:val="32"/>
        </w:rPr>
        <w:t>个，</w:t>
      </w:r>
      <w:r>
        <w:rPr>
          <w:rFonts w:hint="eastAsia" w:eastAsia="仿宋_GB2312"/>
          <w:bCs/>
          <w:snapToGrid w:val="0"/>
          <w:color w:val="auto"/>
          <w:kern w:val="0"/>
          <w:sz w:val="32"/>
          <w:szCs w:val="32"/>
        </w:rPr>
        <w:t>油菜</w:t>
      </w:r>
      <w:r>
        <w:rPr>
          <w:rFonts w:eastAsia="仿宋_GB2312"/>
          <w:bCs/>
          <w:snapToGrid w:val="0"/>
          <w:color w:val="auto"/>
          <w:kern w:val="0"/>
          <w:sz w:val="32"/>
          <w:szCs w:val="32"/>
        </w:rPr>
        <w:t>综合防控示范区</w:t>
      </w:r>
      <w:r>
        <w:rPr>
          <w:rFonts w:hint="eastAsia" w:eastAsia="仿宋_GB2312"/>
          <w:bCs/>
          <w:snapToGrid w:val="0"/>
          <w:color w:val="auto"/>
          <w:kern w:val="0"/>
          <w:sz w:val="32"/>
          <w:szCs w:val="32"/>
        </w:rPr>
        <w:t>25</w:t>
      </w:r>
      <w:r>
        <w:rPr>
          <w:rFonts w:eastAsia="仿宋_GB2312"/>
          <w:bCs/>
          <w:snapToGrid w:val="0"/>
          <w:color w:val="auto"/>
          <w:kern w:val="0"/>
          <w:sz w:val="32"/>
          <w:szCs w:val="32"/>
        </w:rPr>
        <w:t>个，示范区重点推广农业防治、理化诱控、生态调控、生物农药等绿色防控技术和产品，并组织开展示范、现场观摩和培训活动，带动全省农作物绿色防控技术应用面积</w:t>
      </w:r>
      <w:r>
        <w:rPr>
          <w:rFonts w:hint="eastAsia" w:eastAsia="仿宋_GB2312"/>
          <w:bCs/>
          <w:snapToGrid w:val="0"/>
          <w:color w:val="auto"/>
          <w:kern w:val="0"/>
          <w:sz w:val="32"/>
          <w:szCs w:val="32"/>
        </w:rPr>
        <w:t>、</w:t>
      </w:r>
      <w:r>
        <w:rPr>
          <w:rFonts w:eastAsia="仿宋_GB2312"/>
          <w:bCs/>
          <w:snapToGrid w:val="0"/>
          <w:color w:val="auto"/>
          <w:kern w:val="0"/>
          <w:sz w:val="32"/>
          <w:szCs w:val="32"/>
        </w:rPr>
        <w:t>绿色防控覆盖率</w:t>
      </w:r>
      <w:r>
        <w:rPr>
          <w:rFonts w:hint="eastAsia" w:eastAsia="仿宋_GB2312"/>
          <w:bCs/>
          <w:snapToGrid w:val="0"/>
          <w:color w:val="auto"/>
          <w:kern w:val="0"/>
          <w:sz w:val="32"/>
          <w:szCs w:val="32"/>
        </w:rPr>
        <w:t>较上年有所提升</w:t>
      </w:r>
      <w:r>
        <w:rPr>
          <w:rFonts w:eastAsia="仿宋_GB2312"/>
          <w:bCs/>
          <w:snapToGrid w:val="0"/>
          <w:color w:val="auto"/>
          <w:kern w:val="0"/>
          <w:sz w:val="32"/>
          <w:szCs w:val="32"/>
        </w:rPr>
        <w:t>。组织有</w:t>
      </w:r>
      <w:r>
        <w:rPr>
          <w:rFonts w:eastAsia="仿宋_GB2312"/>
          <w:b w:val="0"/>
          <w:bCs/>
          <w:snapToGrid w:val="0"/>
          <w:color w:val="auto"/>
          <w:kern w:val="0"/>
          <w:sz w:val="32"/>
          <w:szCs w:val="32"/>
        </w:rPr>
        <w:t>条件的县市区全国农作物病虫害绿色防控技术示范推广基地”与“农作物病虫害绿色防控技术模式”的遴选。</w:t>
      </w:r>
    </w:p>
    <w:p>
      <w:pPr>
        <w:spacing w:line="600" w:lineRule="exact"/>
        <w:ind w:firstLine="640" w:firstLineChars="200"/>
        <w:rPr>
          <w:rFonts w:eastAsia="仿宋_GB2312"/>
          <w:color w:val="auto"/>
          <w:kern w:val="0"/>
          <w:sz w:val="32"/>
          <w:szCs w:val="32"/>
        </w:rPr>
      </w:pPr>
      <w:r>
        <w:rPr>
          <w:rFonts w:hint="eastAsia" w:ascii="仿宋_GB2312" w:hAnsi="仿宋_GB2312" w:eastAsia="仿宋_GB2312" w:cs="仿宋_GB2312"/>
          <w:b w:val="0"/>
          <w:bCs/>
          <w:snapToGrid w:val="0"/>
          <w:color w:val="auto"/>
          <w:kern w:val="0"/>
          <w:sz w:val="32"/>
          <w:szCs w:val="32"/>
          <w:lang w:val="en-US" w:eastAsia="zh-CN"/>
        </w:rPr>
        <w:t>三是</w:t>
      </w:r>
      <w:r>
        <w:rPr>
          <w:rFonts w:hint="eastAsia" w:ascii="仿宋_GB2312" w:hAnsi="仿宋_GB2312" w:eastAsia="仿宋_GB2312" w:cs="仿宋_GB2312"/>
          <w:b w:val="0"/>
          <w:bCs/>
          <w:snapToGrid w:val="0"/>
          <w:color w:val="auto"/>
          <w:kern w:val="0"/>
          <w:sz w:val="32"/>
          <w:szCs w:val="32"/>
        </w:rPr>
        <w:t>纵深推进病虫害统防统治</w:t>
      </w:r>
      <w:r>
        <w:rPr>
          <w:rFonts w:hint="eastAsia" w:ascii="仿宋_GB2312" w:hAnsi="仿宋_GB2312" w:eastAsia="仿宋_GB2312" w:cs="仿宋_GB2312"/>
          <w:b w:val="0"/>
          <w:bCs/>
          <w:snapToGrid w:val="0"/>
          <w:color w:val="auto"/>
          <w:kern w:val="0"/>
          <w:sz w:val="32"/>
          <w:szCs w:val="32"/>
          <w:lang w:eastAsia="zh-CN"/>
        </w:rPr>
        <w:t>。</w:t>
      </w:r>
      <w:r>
        <w:rPr>
          <w:rFonts w:hint="eastAsia" w:ascii="仿宋_GB2312" w:hAnsi="仿宋_GB2312" w:eastAsia="仿宋_GB2312" w:cs="仿宋_GB2312"/>
          <w:b w:val="0"/>
          <w:bCs/>
          <w:snapToGrid w:val="0"/>
          <w:color w:val="auto"/>
          <w:kern w:val="0"/>
          <w:sz w:val="32"/>
          <w:szCs w:val="32"/>
        </w:rPr>
        <w:t>大力推进联</w:t>
      </w:r>
      <w:r>
        <w:rPr>
          <w:rFonts w:eastAsia="仿宋_GB2312"/>
          <w:b w:val="0"/>
          <w:bCs/>
          <w:snapToGrid w:val="0"/>
          <w:color w:val="auto"/>
          <w:kern w:val="0"/>
          <w:sz w:val="32"/>
          <w:szCs w:val="32"/>
        </w:rPr>
        <w:t>防联控和统防统治。在病虫发生关键时节和重发区，支持年服务面积万亩</w:t>
      </w:r>
      <w:r>
        <w:rPr>
          <w:rFonts w:hint="eastAsia" w:eastAsia="仿宋_GB2312"/>
          <w:b w:val="0"/>
          <w:bCs/>
          <w:snapToGrid w:val="0"/>
          <w:color w:val="auto"/>
          <w:kern w:val="0"/>
          <w:sz w:val="32"/>
          <w:szCs w:val="32"/>
        </w:rPr>
        <w:t>次</w:t>
      </w:r>
      <w:r>
        <w:rPr>
          <w:rFonts w:eastAsia="仿宋_GB2312"/>
          <w:b w:val="0"/>
          <w:bCs/>
          <w:snapToGrid w:val="0"/>
          <w:color w:val="auto"/>
          <w:kern w:val="0"/>
          <w:sz w:val="32"/>
          <w:szCs w:val="32"/>
        </w:rPr>
        <w:t>以上的专业化统防统治服务组</w:t>
      </w:r>
      <w:r>
        <w:rPr>
          <w:rFonts w:eastAsia="仿宋_GB2312"/>
          <w:bCs/>
          <w:snapToGrid w:val="0"/>
          <w:color w:val="auto"/>
          <w:kern w:val="0"/>
          <w:sz w:val="32"/>
          <w:szCs w:val="32"/>
        </w:rPr>
        <w:t>织开展病虫应急防控。</w:t>
      </w:r>
      <w:r>
        <w:rPr>
          <w:rStyle w:val="20"/>
          <w:rFonts w:eastAsia="仿宋_GB2312"/>
          <w:color w:val="auto"/>
          <w:kern w:val="0"/>
          <w:sz w:val="32"/>
          <w:szCs w:val="32"/>
        </w:rPr>
        <w:t>分区域组织召开病虫害专业化统防统治工作推进会，在益阳市桃江县召开湘北地区以粮食作物为主的统防统治工作推进会；在怀化市麻阳县召开了湘西南地区以柑橘为主的统防统治工作推进会，现场示范了植保无人机施药和开展柑橘病虫防控药剂技术交流，要求各地因地制宜推进统防统治工作。</w:t>
      </w:r>
      <w:r>
        <w:rPr>
          <w:rFonts w:eastAsia="仿宋_GB2312"/>
          <w:bCs/>
          <w:snapToGrid w:val="0"/>
          <w:color w:val="auto"/>
          <w:kern w:val="0"/>
          <w:sz w:val="32"/>
          <w:szCs w:val="32"/>
        </w:rPr>
        <w:t>截至2023年底，全省专业化统防统治服务组织达到2116家，经登记注册的1735家，植保无人机保有量达到10308台，累计建设病虫害专业化统防统治标准化区域服务站1306个，带动全省主要农作物专业化统防统治服务面积</w:t>
      </w:r>
      <w:r>
        <w:rPr>
          <w:rFonts w:hint="eastAsia" w:eastAsia="仿宋_GB2312"/>
          <w:bCs/>
          <w:snapToGrid w:val="0"/>
          <w:color w:val="auto"/>
          <w:kern w:val="0"/>
          <w:sz w:val="32"/>
          <w:szCs w:val="32"/>
        </w:rPr>
        <w:t>预计</w:t>
      </w:r>
      <w:r>
        <w:rPr>
          <w:rFonts w:eastAsia="仿宋_GB2312"/>
          <w:bCs/>
          <w:snapToGrid w:val="0"/>
          <w:color w:val="auto"/>
          <w:kern w:val="0"/>
          <w:sz w:val="32"/>
          <w:szCs w:val="32"/>
        </w:rPr>
        <w:t>达</w:t>
      </w:r>
      <w:r>
        <w:rPr>
          <w:rFonts w:hint="eastAsia" w:eastAsia="仿宋_GB2312"/>
          <w:bCs/>
          <w:snapToGrid w:val="0"/>
          <w:color w:val="auto"/>
          <w:kern w:val="0"/>
          <w:sz w:val="32"/>
          <w:szCs w:val="32"/>
        </w:rPr>
        <w:t>1.93亿</w:t>
      </w:r>
      <w:r>
        <w:rPr>
          <w:rFonts w:eastAsia="仿宋_GB2312"/>
          <w:bCs/>
          <w:snapToGrid w:val="0"/>
          <w:color w:val="auto"/>
          <w:kern w:val="0"/>
          <w:sz w:val="32"/>
          <w:szCs w:val="32"/>
        </w:rPr>
        <w:t>万亩</w:t>
      </w:r>
      <w:r>
        <w:rPr>
          <w:rFonts w:hint="eastAsia" w:eastAsia="仿宋_GB2312"/>
          <w:bCs/>
          <w:snapToGrid w:val="0"/>
          <w:color w:val="auto"/>
          <w:kern w:val="0"/>
          <w:sz w:val="32"/>
          <w:szCs w:val="32"/>
        </w:rPr>
        <w:t>次</w:t>
      </w:r>
      <w:r>
        <w:rPr>
          <w:rFonts w:eastAsia="仿宋_GB2312"/>
          <w:bCs/>
          <w:snapToGrid w:val="0"/>
          <w:color w:val="auto"/>
          <w:kern w:val="0"/>
          <w:sz w:val="32"/>
          <w:szCs w:val="32"/>
        </w:rPr>
        <w:t>，覆盖率达</w:t>
      </w:r>
      <w:r>
        <w:rPr>
          <w:rFonts w:hint="eastAsia" w:eastAsia="仿宋_GB2312"/>
          <w:bCs/>
          <w:snapToGrid w:val="0"/>
          <w:color w:val="auto"/>
          <w:kern w:val="0"/>
          <w:sz w:val="32"/>
          <w:szCs w:val="32"/>
        </w:rPr>
        <w:t>5</w:t>
      </w:r>
      <w:r>
        <w:rPr>
          <w:rFonts w:eastAsia="仿宋_GB2312"/>
          <w:bCs/>
          <w:snapToGrid w:val="0"/>
          <w:color w:val="auto"/>
          <w:kern w:val="0"/>
          <w:sz w:val="32"/>
          <w:szCs w:val="32"/>
        </w:rPr>
        <w:t>3.3%。</w:t>
      </w:r>
    </w:p>
    <w:p>
      <w:pPr>
        <w:spacing w:line="600" w:lineRule="exact"/>
        <w:ind w:firstLine="640" w:firstLineChars="200"/>
        <w:rPr>
          <w:rFonts w:ascii="仿宋_GB2312" w:eastAsia="仿宋_GB2312"/>
          <w:color w:val="auto"/>
          <w:sz w:val="32"/>
          <w:szCs w:val="32"/>
        </w:rPr>
      </w:pPr>
      <w:r>
        <w:rPr>
          <w:rFonts w:hint="eastAsia" w:ascii="仿宋_GB2312" w:hAnsi="仿宋_GB2312" w:eastAsia="仿宋_GB2312" w:cs="仿宋_GB2312"/>
          <w:b w:val="0"/>
          <w:bCs/>
          <w:snapToGrid w:val="0"/>
          <w:color w:val="auto"/>
          <w:kern w:val="0"/>
          <w:sz w:val="32"/>
          <w:szCs w:val="32"/>
          <w:lang w:val="en-US" w:eastAsia="zh-CN"/>
        </w:rPr>
        <w:t>四是</w:t>
      </w:r>
      <w:r>
        <w:rPr>
          <w:rFonts w:hint="eastAsia" w:ascii="仿宋_GB2312" w:hAnsi="仿宋_GB2312" w:eastAsia="仿宋_GB2312" w:cs="仿宋_GB2312"/>
          <w:b w:val="0"/>
          <w:bCs/>
          <w:snapToGrid w:val="0"/>
          <w:color w:val="auto"/>
          <w:kern w:val="0"/>
          <w:sz w:val="32"/>
          <w:szCs w:val="32"/>
        </w:rPr>
        <w:t>扎实开展经济作物保护工作</w:t>
      </w:r>
      <w:r>
        <w:rPr>
          <w:rFonts w:hint="eastAsia" w:ascii="仿宋_GB2312" w:hAnsi="仿宋_GB2312" w:eastAsia="仿宋_GB2312" w:cs="仿宋_GB2312"/>
          <w:b w:val="0"/>
          <w:bCs/>
          <w:snapToGrid w:val="0"/>
          <w:color w:val="auto"/>
          <w:kern w:val="0"/>
          <w:sz w:val="32"/>
          <w:szCs w:val="32"/>
          <w:lang w:eastAsia="zh-CN"/>
        </w:rPr>
        <w:t>。</w:t>
      </w:r>
      <w:r>
        <w:rPr>
          <w:rFonts w:hint="eastAsia" w:ascii="仿宋_GB2312" w:hAnsi="仿宋_GB2312" w:eastAsia="仿宋_GB2312" w:cs="仿宋_GB2312"/>
          <w:b w:val="0"/>
          <w:bCs/>
          <w:color w:val="auto"/>
          <w:sz w:val="32"/>
          <w:szCs w:val="32"/>
        </w:rPr>
        <w:t>全面部</w:t>
      </w:r>
      <w:r>
        <w:rPr>
          <w:rFonts w:hint="eastAsia" w:ascii="仿宋_GB2312" w:hAnsi="仿宋" w:eastAsia="仿宋_GB2312" w:cs="仿宋"/>
          <w:bCs/>
          <w:color w:val="auto"/>
          <w:sz w:val="32"/>
          <w:szCs w:val="32"/>
        </w:rPr>
        <w:t>署“三棵菜”治理行动。</w:t>
      </w:r>
      <w:r>
        <w:rPr>
          <w:rFonts w:hint="eastAsia" w:ascii="仿宋_GB2312" w:hAnsi="仿宋" w:eastAsia="仿宋_GB2312" w:cs="仿宋"/>
          <w:color w:val="auto"/>
          <w:sz w:val="32"/>
          <w:szCs w:val="32"/>
        </w:rPr>
        <w:t>将</w:t>
      </w:r>
      <w:r>
        <w:rPr>
          <w:rFonts w:hint="eastAsia" w:ascii="仿宋_GB2312" w:hAnsi="仿宋" w:eastAsia="仿宋_GB2312" w:cs="仿宋"/>
          <w:bCs/>
          <w:color w:val="auto"/>
          <w:sz w:val="32"/>
          <w:szCs w:val="32"/>
        </w:rPr>
        <w:t>“三棵菜”治理</w:t>
      </w:r>
      <w:r>
        <w:rPr>
          <w:rFonts w:hint="eastAsia" w:ascii="仿宋_GB2312" w:hAnsi="仿宋" w:eastAsia="仿宋_GB2312" w:cs="仿宋"/>
          <w:color w:val="auto"/>
          <w:sz w:val="32"/>
          <w:szCs w:val="32"/>
        </w:rPr>
        <w:t>工作纳入全省重点植保工作，印发《关于进一步加强豇豆、韭菜、芹菜科学安全用药培训指导和绿色防控工作的通知》《关于进一步加强豇豆病虫害绿色防控和科学安全用药的函》。市州、县市区植保部门也相应印发了有关文件，按要求开展</w:t>
      </w:r>
      <w:r>
        <w:rPr>
          <w:rFonts w:hint="eastAsia" w:ascii="仿宋_GB2312" w:hAnsi="仿宋" w:eastAsia="仿宋_GB2312" w:cs="仿宋"/>
          <w:bCs/>
          <w:color w:val="auto"/>
          <w:sz w:val="32"/>
          <w:szCs w:val="32"/>
        </w:rPr>
        <w:t>“三棵菜”治理</w:t>
      </w:r>
      <w:r>
        <w:rPr>
          <w:rFonts w:hint="eastAsia" w:ascii="仿宋_GB2312" w:hAnsi="仿宋" w:eastAsia="仿宋_GB2312" w:cs="仿宋"/>
          <w:color w:val="auto"/>
          <w:sz w:val="32"/>
          <w:szCs w:val="32"/>
        </w:rPr>
        <w:t>工作。</w:t>
      </w:r>
      <w:r>
        <w:rPr>
          <w:rFonts w:hint="eastAsia" w:ascii="仿宋_GB2312" w:hAnsi="仿宋" w:eastAsia="仿宋_GB2312" w:cs="仿宋"/>
          <w:color w:val="auto"/>
          <w:kern w:val="0"/>
          <w:sz w:val="32"/>
          <w:szCs w:val="32"/>
        </w:rPr>
        <w:t>同时，根据我省</w:t>
      </w:r>
      <w:r>
        <w:rPr>
          <w:rFonts w:hint="eastAsia" w:ascii="仿宋_GB2312" w:hAnsi="仿宋" w:eastAsia="仿宋_GB2312" w:cs="仿宋"/>
          <w:color w:val="auto"/>
          <w:sz w:val="32"/>
          <w:szCs w:val="32"/>
        </w:rPr>
        <w:t>治理实践，修订了豇豆、韭菜、芹菜主要病虫害绿色防控技术要点，进一步提高绿色防控水平。</w:t>
      </w:r>
      <w:r>
        <w:rPr>
          <w:rFonts w:hint="eastAsia" w:ascii="仿宋_GB2312" w:hAnsi="华文楷体" w:eastAsia="仿宋_GB2312" w:cs="华文楷体"/>
          <w:color w:val="auto"/>
          <w:sz w:val="32"/>
          <w:szCs w:val="32"/>
        </w:rPr>
        <w:t>抓好豇豆农残突出问题攻坚治理。</w:t>
      </w:r>
      <w:r>
        <w:rPr>
          <w:rFonts w:hint="eastAsia" w:ascii="仿宋_GB2312" w:eastAsia="仿宋_GB2312"/>
          <w:color w:val="auto"/>
          <w:sz w:val="32"/>
          <w:szCs w:val="32"/>
        </w:rPr>
        <w:t>印发《关于进一步加强豇豆、韭菜、芹菜科学安全用药培训指导和绿色防控工作的通知》，要求各级植保部门提高认识，毫不松懈抓好减药控残工作，加强豇豆农残突出问题治理，落实包联责任制，强化技术指导，科学安全用药，强化示范引领，大力推广绿色防控。先后在全省植保植检站长培训班、种植业工作会、全省秋粮重大病虫防控现场观摩培训会等相关会议上对</w:t>
      </w:r>
      <w:r>
        <w:rPr>
          <w:rFonts w:hint="eastAsia" w:ascii="仿宋_GB2312" w:hAnsi="仿宋" w:eastAsia="仿宋_GB2312" w:cs="仿宋"/>
          <w:color w:val="auto"/>
          <w:sz w:val="32"/>
          <w:szCs w:val="32"/>
        </w:rPr>
        <w:t>豇豆农残突出问题攻坚治理工作</w:t>
      </w:r>
      <w:r>
        <w:rPr>
          <w:rFonts w:hint="eastAsia" w:ascii="仿宋_GB2312" w:eastAsia="仿宋_GB2312"/>
          <w:color w:val="auto"/>
          <w:sz w:val="32"/>
          <w:szCs w:val="32"/>
        </w:rPr>
        <w:t>进行部署推动。市州、县市区植保部门也相应印发了有关文件，召开相关会议，按要求开展豇豆农残突出问题治理工作。</w:t>
      </w:r>
    </w:p>
    <w:p>
      <w:pPr>
        <w:pStyle w:val="14"/>
        <w:keepNext w:val="0"/>
        <w:keepLines w:val="0"/>
        <w:pageBreakBefore w:val="0"/>
        <w:widowControl w:val="0"/>
        <w:numPr>
          <w:ilvl w:val="0"/>
          <w:numId w:val="5"/>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社会效应</w:t>
      </w:r>
    </w:p>
    <w:p>
      <w:pPr>
        <w:spacing w:line="60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积极开展植保信息服务</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强化病虫情报上网发布，出台《关于切实加强病虫情报上网发布工作的通知》文件，规范全省病虫情报发布工作，对发布情况进行通报，督促各市县补齐缺漏的病虫情报。2023年在湖南植保植检信息网共审核发布病虫情报2017篇。利用自有网站、公众号、app等新媒体网上发布病虫情报，推进植保病虫信息进村入户。通过主动争取，全省病虫情报查询服务作为特色公共服务接入省政府“湘易办”超级移动端，完成了与“湘易办”的系统对接，植保信息由此登上“湘易办”超级平台传播得更远更广。利用视频会议系统举办《植保课堂》5期，在病虫防控的关键时间快速为全省植保工作人员和农户送上急需的知识和指导，组织全省病虫防控省级专家到浏阳、平江，进基地与农户，现场解决生产难题12个，指导农户推行病虫绿色防控技术。</w:t>
      </w:r>
    </w:p>
    <w:p>
      <w:pPr>
        <w:pStyle w:val="6"/>
        <w:spacing w:line="560" w:lineRule="atLeast"/>
        <w:ind w:firstLine="640"/>
        <w:rPr>
          <w:rFonts w:hint="eastAsia" w:ascii="华文细黑" w:hAnsi="华文细黑" w:eastAsia="华文细黑" w:cs="华文细黑"/>
          <w:color w:val="auto"/>
          <w:sz w:val="32"/>
          <w:szCs w:val="32"/>
        </w:rPr>
      </w:pPr>
      <w:r>
        <w:rPr>
          <w:rFonts w:hint="eastAsia" w:ascii="华文细黑" w:hAnsi="华文细黑" w:eastAsia="华文细黑" w:cs="华文细黑"/>
          <w:color w:val="auto"/>
          <w:sz w:val="32"/>
          <w:szCs w:val="32"/>
        </w:rPr>
        <w:t>四、存在的问题及原因分析</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我单位预算执行率有待提高，主要原因是藏粮于地藏粮于技</w:t>
      </w:r>
      <w:r>
        <w:rPr>
          <w:rFonts w:hint="eastAsia" w:ascii="仿宋_GB2312" w:hAnsi="仿宋_GB2312" w:eastAsia="仿宋_GB2312" w:cs="仿宋_GB2312"/>
          <w:color w:val="auto"/>
          <w:sz w:val="32"/>
          <w:szCs w:val="32"/>
          <w:lang w:val="en-US" w:eastAsia="zh-CN"/>
        </w:rPr>
        <w:t>中央基建投资项目资金于第一年全额下达，但是按照项目进度批复，该</w:t>
      </w:r>
      <w:r>
        <w:rPr>
          <w:rFonts w:hint="default" w:ascii="仿宋_GB2312" w:hAnsi="仿宋_GB2312" w:eastAsia="仿宋_GB2312" w:cs="仿宋_GB2312"/>
          <w:color w:val="auto"/>
          <w:sz w:val="32"/>
          <w:szCs w:val="32"/>
          <w:lang w:val="en-US" w:eastAsia="zh-CN"/>
        </w:rPr>
        <w:t>建设期为二年，第一年为项目筹备期，费用发生较少，项目建设费用支出主要发生在第二年</w:t>
      </w:r>
      <w:r>
        <w:rPr>
          <w:rFonts w:hint="eastAsia" w:ascii="仿宋_GB2312" w:hAnsi="仿宋_GB2312" w:eastAsia="仿宋_GB2312" w:cs="仿宋_GB2312"/>
          <w:color w:val="auto"/>
          <w:sz w:val="32"/>
          <w:szCs w:val="32"/>
          <w:lang w:val="en-US" w:eastAsia="zh-CN"/>
        </w:rPr>
        <w:t>，因此导致第一年预算执行率偏低的情况。</w:t>
      </w:r>
    </w:p>
    <w:p>
      <w:pPr>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下一步改进措施：</w:t>
      </w:r>
      <w:r>
        <w:rPr>
          <w:rFonts w:hint="default" w:ascii="仿宋_GB2312" w:hAnsi="仿宋_GB2312" w:eastAsia="仿宋_GB2312" w:cs="仿宋_GB2312"/>
          <w:color w:val="auto"/>
          <w:sz w:val="32"/>
          <w:szCs w:val="32"/>
          <w:lang w:val="en-US" w:eastAsia="zh-CN"/>
        </w:rPr>
        <w:t>制定了“行政推动加快项目实施进度，及时完成项目建设资金支付”的整改措施。</w:t>
      </w:r>
      <w:r>
        <w:rPr>
          <w:rFonts w:hint="eastAsia" w:ascii="仿宋_GB2312" w:hAnsi="仿宋_GB2312" w:eastAsia="仿宋_GB2312" w:cs="仿宋_GB2312"/>
          <w:color w:val="auto"/>
          <w:sz w:val="32"/>
          <w:szCs w:val="32"/>
          <w:lang w:val="en-US" w:eastAsia="zh-CN"/>
        </w:rPr>
        <w:t>一是</w:t>
      </w:r>
      <w:r>
        <w:rPr>
          <w:rFonts w:hint="eastAsia" w:ascii="仿宋" w:hAnsi="仿宋" w:eastAsia="仿宋"/>
          <w:color w:val="auto"/>
          <w:kern w:val="0"/>
          <w:sz w:val="32"/>
          <w:szCs w:val="32"/>
        </w:rPr>
        <w:t>定期对项目实施和预算执行情况进行跟踪，及时掌握项目进度、发现问题和解决问题，按计划推进项目实施</w:t>
      </w:r>
      <w:r>
        <w:rPr>
          <w:rFonts w:hint="eastAsia" w:ascii="仿宋" w:hAnsi="仿宋" w:eastAsia="仿宋" w:cs="仿宋"/>
          <w:color w:val="auto"/>
          <w:sz w:val="32"/>
          <w:szCs w:val="32"/>
          <w:lang w:val="en-US" w:eastAsia="zh-CN"/>
        </w:rPr>
        <w:t>；二是</w:t>
      </w:r>
      <w:r>
        <w:rPr>
          <w:rFonts w:hint="eastAsia" w:ascii="Times New Roman" w:hAnsi="Times New Roman" w:eastAsia="仿宋_GB2312"/>
          <w:color w:val="auto"/>
          <w:sz w:val="32"/>
          <w:szCs w:val="32"/>
          <w:lang w:val="en-US" w:eastAsia="zh-CN"/>
        </w:rPr>
        <w:t>项目实施后督促按计划推进，完工后及时按程序验收，及时支付项目款，进一步提高我单位的预算执行率。</w:t>
      </w:r>
    </w:p>
    <w:p>
      <w:pPr>
        <w:spacing w:after="120" w:afterLines="50" w:line="600" w:lineRule="exact"/>
        <w:jc w:val="center"/>
        <w:rPr>
          <w:rFonts w:hint="default" w:ascii="Times New Roman" w:hAnsi="Times New Roman" w:eastAsia="仿宋_GB2312" w:cs="Times New Roman"/>
          <w:color w:val="auto"/>
          <w:sz w:val="24"/>
        </w:rPr>
      </w:pPr>
      <w:r>
        <w:rPr>
          <w:rFonts w:hint="default" w:ascii="Times New Roman" w:hAnsi="Times New Roman" w:eastAsia="方正小标宋_GBK" w:cs="Times New Roman"/>
          <w:color w:val="auto"/>
          <w:sz w:val="36"/>
          <w:szCs w:val="36"/>
        </w:rPr>
        <w:t>202</w:t>
      </w:r>
      <w:r>
        <w:rPr>
          <w:rFonts w:hint="eastAsia" w:ascii="Times New Roman" w:hAnsi="Times New Roman" w:eastAsia="方正小标宋_GBK" w:cs="Times New Roman"/>
          <w:color w:val="auto"/>
          <w:sz w:val="36"/>
          <w:szCs w:val="36"/>
          <w:lang w:val="en-US" w:eastAsia="zh-CN"/>
        </w:rPr>
        <w:t>3</w:t>
      </w:r>
      <w:r>
        <w:rPr>
          <w:rFonts w:hint="default" w:ascii="Times New Roman" w:hAnsi="Times New Roman" w:eastAsia="方正小标宋_GBK" w:cs="Times New Roman"/>
          <w:color w:val="auto"/>
          <w:sz w:val="36"/>
          <w:szCs w:val="36"/>
        </w:rPr>
        <w:t>年</w:t>
      </w:r>
      <w:r>
        <w:rPr>
          <w:rFonts w:hint="eastAsia" w:ascii="Times New Roman" w:hAnsi="Times New Roman" w:eastAsia="方正小标宋_GBK" w:cs="Times New Roman"/>
          <w:color w:val="auto"/>
          <w:sz w:val="36"/>
          <w:szCs w:val="36"/>
          <w:lang w:eastAsia="zh-CN"/>
        </w:rPr>
        <w:t>度</w:t>
      </w:r>
      <w:r>
        <w:rPr>
          <w:rFonts w:hint="default" w:ascii="Times New Roman" w:hAnsi="Times New Roman" w:eastAsia="方正小标宋_GBK" w:cs="Times New Roman"/>
          <w:color w:val="auto"/>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572"/>
        <w:gridCol w:w="971"/>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57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财政供养人员情况（人）</w:t>
            </w:r>
          </w:p>
        </w:tc>
        <w:tc>
          <w:tcPr>
            <w:tcW w:w="182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lang w:val="en-US" w:eastAsia="zh-CN"/>
              </w:rPr>
              <w:t>3</w:t>
            </w:r>
            <w:r>
              <w:rPr>
                <w:rFonts w:hint="default" w:ascii="Times New Roman" w:hAnsi="Times New Roman" w:eastAsia="仿宋_GB2312" w:cs="Times New Roman"/>
                <w:b/>
                <w:bCs/>
                <w:color w:val="auto"/>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5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p>
        </w:tc>
        <w:tc>
          <w:tcPr>
            <w:tcW w:w="182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38</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35</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92.11%</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经费控制情况（万元）</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lang w:val="en-US" w:eastAsia="zh-CN"/>
              </w:rPr>
              <w:t>2</w:t>
            </w:r>
            <w:r>
              <w:rPr>
                <w:rFonts w:hint="default" w:ascii="Times New Roman" w:hAnsi="Times New Roman" w:eastAsia="仿宋_GB2312" w:cs="Times New Roman"/>
                <w:b/>
                <w:bCs/>
                <w:color w:val="auto"/>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lang w:val="en-US" w:eastAsia="zh-CN"/>
              </w:rPr>
              <w:t>3</w:t>
            </w:r>
            <w:r>
              <w:rPr>
                <w:rFonts w:hint="default" w:ascii="Times New Roman" w:hAnsi="Times New Roman" w:eastAsia="仿宋_GB2312" w:cs="Times New Roman"/>
                <w:b/>
                <w:bCs/>
                <w:color w:val="auto"/>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202</w:t>
            </w:r>
            <w:r>
              <w:rPr>
                <w:rFonts w:hint="eastAsia" w:ascii="Times New Roman" w:hAnsi="Times New Roman" w:eastAsia="仿宋_GB2312" w:cs="Times New Roman"/>
                <w:b/>
                <w:bCs/>
                <w:color w:val="auto"/>
                <w:sz w:val="20"/>
                <w:szCs w:val="20"/>
                <w:lang w:val="en-US" w:eastAsia="zh-CN"/>
              </w:rPr>
              <w:t>3</w:t>
            </w:r>
            <w:r>
              <w:rPr>
                <w:rFonts w:hint="default" w:ascii="Times New Roman" w:hAnsi="Times New Roman" w:eastAsia="仿宋_GB2312" w:cs="Times New Roman"/>
                <w:b/>
                <w:bCs/>
                <w:color w:val="auto"/>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三公经费</w:t>
            </w:r>
            <w:r>
              <w:rPr>
                <w:rFonts w:hint="eastAsia" w:ascii="Times New Roman" w:hAnsi="Times New Roman" w:eastAsia="仿宋_GB2312" w:cs="Times New Roman"/>
                <w:color w:val="auto"/>
                <w:sz w:val="20"/>
                <w:szCs w:val="20"/>
                <w:lang w:val="en-US" w:eastAsia="zh-CN"/>
              </w:rPr>
              <w:t>:</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6.41</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5.165227</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1、公务用车购置和维护经费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6</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4</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855727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其中：公车购置</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公车运行维护</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6</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4</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855727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2、出国经费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3、公务接待</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0.41</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2</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0.3095</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项目支出：</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1436</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621233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5159</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294367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1691</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98161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1、业务工作经费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2、运行维护经费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3、省级专项资金（</w:t>
            </w:r>
            <w:r>
              <w:rPr>
                <w:rFonts w:hint="eastAsia" w:ascii="Times New Roman" w:hAnsi="Times New Roman" w:eastAsia="仿宋_GB2312" w:cs="Times New Roman"/>
                <w:color w:val="auto"/>
                <w:sz w:val="20"/>
                <w:szCs w:val="20"/>
                <w:lang w:eastAsia="zh-CN"/>
              </w:rPr>
              <w:t>每</w:t>
            </w:r>
            <w:r>
              <w:rPr>
                <w:rFonts w:hint="default" w:ascii="Times New Roman" w:hAnsi="Times New Roman" w:eastAsia="仿宋_GB2312" w:cs="Times New Roman"/>
                <w:color w:val="auto"/>
                <w:sz w:val="20"/>
                <w:szCs w:val="20"/>
              </w:rPr>
              <w:t>个专项一行）</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1436</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621233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5159</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294367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1691</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98161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kern w:val="2"/>
                <w:sz w:val="22"/>
                <w:szCs w:val="22"/>
                <w:u w:val="none"/>
                <w:lang w:val="en-US" w:eastAsia="zh-CN" w:bidi="ar-SA"/>
              </w:rPr>
            </w:pPr>
            <w:r>
              <w:rPr>
                <w:rFonts w:hint="eastAsia" w:ascii="Times New Roman" w:hAnsi="Times New Roman" w:eastAsia="仿宋_GB2312" w:cs="Times New Roman"/>
                <w:color w:val="auto"/>
                <w:sz w:val="20"/>
                <w:szCs w:val="20"/>
                <w:lang w:val="en-US" w:eastAsia="zh-CN"/>
              </w:rPr>
              <w:t>现代农业发展-种植产业发展-春耕生产工作经费-1</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7</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84325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15</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6</w:t>
            </w:r>
          </w:p>
        </w:tc>
      </w:tr>
      <w:tr>
        <w:tblPrEx>
          <w:tblLayout w:type="fixed"/>
          <w:tblCellMar>
            <w:top w:w="0" w:type="dxa"/>
            <w:left w:w="108" w:type="dxa"/>
            <w:bottom w:w="0" w:type="dxa"/>
            <w:right w:w="108" w:type="dxa"/>
          </w:tblCellMar>
        </w:tblPrEx>
        <w:trPr>
          <w:trHeight w:val="345"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现代农业发展-植保创新活动经费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9721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0.42</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现代农业发展-植保设备购置经费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6</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234833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4.662333</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现代农业发展-植保重点工作推进经费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41</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21045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43.96135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现代农业发展-植保信息化建设</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8</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0300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6.0676</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现代农业发展-种植产业发展-农药减量工作经费-1-1</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47</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8977</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26.129</w:t>
            </w:r>
          </w:p>
        </w:tc>
      </w:tr>
      <w:tr>
        <w:tblPrEx>
          <w:tblLayout w:type="fixed"/>
          <w:tblCellMar>
            <w:top w:w="0" w:type="dxa"/>
            <w:left w:w="108" w:type="dxa"/>
            <w:bottom w:w="0" w:type="dxa"/>
            <w:right w:w="108" w:type="dxa"/>
          </w:tblCellMar>
        </w:tblPrEx>
        <w:trPr>
          <w:trHeight w:val="9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现代农业发展-植保专技培训经费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15.1155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32</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现代农业发展-植保专技培训经费（2022结转）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14.8845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14.8845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现代农业发展-检疫执法着装费（2022结转）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2.81096</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现代农业发展-种植产业发展-春耕生产工作经费（2022结转）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3.15675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1.98235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现代农业发展-植保创新活动经费（2022结转）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3.0279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1.45055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现代农业发展-植保重点工作推进经费（2022结转）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8.78955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8.28955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国内植物检疫业务委托费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0.045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4</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现代农业发展-植保信息化建设（2022结转）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17.4657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17.4657</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现代农业发展-种植产业发展-农药减量工作经费（2022结转）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2.1023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0.89605</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现代农业发展-植保设备购置经费（2022结转）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0.667667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0.667667</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2023年藏粮于地藏粮于技专项（现代种业提升工程和动植物保护能力提升工程方向）</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1750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19.8</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2022年藏粮于地藏粮于技专项（动植物保护能力提升工程项目）中央基建投资预算（2022结转）</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18</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8000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3171.2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1500.494</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湖南省2021年全国农作物病虫疫情监测分中心田间监测点建设项目</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1287</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4724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公用经费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121</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563903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119</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256881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106</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433861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其中：办公经费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5</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820353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4</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水费、电费、差旅费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19.13</w:t>
            </w: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11</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          会议费、培训费</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0514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2</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政府采购金额</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1611</w:t>
            </w:r>
            <w:r>
              <w:rPr>
                <w:rFonts w:hint="default" w:ascii="Times New Roman" w:hAnsi="Times New Roman" w:eastAsia="仿宋_GB2312" w:cs="Times New Roman"/>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1475</w:t>
            </w:r>
            <w:r>
              <w:rPr>
                <w:rFonts w:hint="eastAsia" w:ascii="Times New Roman" w:hAnsi="Times New Roman" w:eastAsia="仿宋_GB2312" w:cs="Times New Roman"/>
                <w:color w:val="auto"/>
                <w:sz w:val="20"/>
                <w:szCs w:val="20"/>
                <w:lang w:val="en-US" w:eastAsia="zh-CN"/>
              </w:rPr>
              <w:t>.</w:t>
            </w:r>
            <w:r>
              <w:rPr>
                <w:rFonts w:hint="default" w:ascii="Times New Roman" w:hAnsi="Times New Roman" w:eastAsia="仿宋_GB2312" w:cs="Times New Roman"/>
                <w:color w:val="auto"/>
                <w:sz w:val="20"/>
                <w:szCs w:val="20"/>
              </w:rPr>
              <w:t>4940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xml:space="preserve">部门基本支出预算调整 </w:t>
            </w:r>
          </w:p>
        </w:tc>
        <w:tc>
          <w:tcPr>
            <w:tcW w:w="182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rPr>
            </w:pPr>
            <w:r>
              <w:rPr>
                <w:rFonts w:hint="eastAsia" w:ascii="Times New Roman" w:hAnsi="Times New Roman" w:eastAsia="仿宋_GB2312" w:cs="Times New Roman"/>
                <w:color w:val="auto"/>
                <w:sz w:val="20"/>
                <w:szCs w:val="20"/>
                <w:lang w:val="en-US" w:eastAsia="zh-CN"/>
              </w:rPr>
              <w:t>1020.72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1075.82</w:t>
            </w:r>
          </w:p>
        </w:tc>
      </w:tr>
      <w:tr>
        <w:tblPrEx>
          <w:tblLayout w:type="fixed"/>
          <w:tblCellMar>
            <w:top w:w="0" w:type="dxa"/>
            <w:left w:w="108" w:type="dxa"/>
            <w:bottom w:w="0" w:type="dxa"/>
            <w:right w:w="108" w:type="dxa"/>
          </w:tblCellMar>
        </w:tblPrEx>
        <w:trPr>
          <w:trHeight w:val="0" w:hRule="atLeast"/>
          <w:jc w:val="center"/>
        </w:trPr>
        <w:tc>
          <w:tcPr>
            <w:tcW w:w="3572"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楼堂馆所控制情况</w:t>
            </w:r>
            <w:r>
              <w:rPr>
                <w:rFonts w:hint="default" w:ascii="Times New Roman" w:hAnsi="Times New Roman" w:eastAsia="仿宋_GB2312" w:cs="Times New Roman"/>
                <w:color w:val="auto"/>
                <w:sz w:val="20"/>
                <w:szCs w:val="20"/>
              </w:rPr>
              <w:br w:type="textWrapping"/>
            </w:r>
            <w:r>
              <w:rPr>
                <w:rFonts w:hint="default" w:ascii="Times New Roman" w:hAnsi="Times New Roman" w:eastAsia="仿宋_GB2312" w:cs="Times New Roman"/>
                <w:color w:val="auto"/>
                <w:sz w:val="20"/>
                <w:szCs w:val="20"/>
              </w:rPr>
              <w:t>（202</w:t>
            </w:r>
            <w:r>
              <w:rPr>
                <w:rFonts w:hint="eastAsia" w:ascii="Times New Roman" w:hAnsi="Times New Roman" w:eastAsia="仿宋_GB2312" w:cs="Times New Roman"/>
                <w:color w:val="auto"/>
                <w:sz w:val="20"/>
                <w:szCs w:val="20"/>
                <w:lang w:val="en-US" w:eastAsia="zh-CN"/>
              </w:rPr>
              <w:t>3</w:t>
            </w:r>
            <w:r>
              <w:rPr>
                <w:rFonts w:hint="default" w:ascii="Times New Roman" w:hAnsi="Times New Roman" w:eastAsia="仿宋_GB2312" w:cs="Times New Roman"/>
                <w:color w:val="auto"/>
                <w:sz w:val="20"/>
                <w:szCs w:val="20"/>
              </w:rPr>
              <w:t>年完工项目）</w:t>
            </w:r>
          </w:p>
        </w:tc>
        <w:tc>
          <w:tcPr>
            <w:tcW w:w="97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批复规模</w:t>
            </w:r>
            <w:r>
              <w:rPr>
                <w:rFonts w:hint="default" w:ascii="Times New Roman" w:hAnsi="Times New Roman" w:eastAsia="仿宋_GB2312" w:cs="Times New Roman"/>
                <w:bCs/>
                <w:color w:val="auto"/>
                <w:sz w:val="20"/>
                <w:szCs w:val="20"/>
              </w:rPr>
              <w:br w:type="textWrapping"/>
            </w:r>
            <w:r>
              <w:rPr>
                <w:rFonts w:hint="default" w:ascii="Times New Roman" w:hAnsi="Times New Roman" w:eastAsia="仿宋_GB2312" w:cs="Times New Roman"/>
                <w:bCs/>
                <w:color w:val="auto"/>
                <w:sz w:val="20"/>
                <w:szCs w:val="20"/>
              </w:rPr>
              <w:t>（</w:t>
            </w:r>
            <w:r>
              <w:rPr>
                <w:rFonts w:hint="default" w:ascii="Times New Roman" w:hAnsi="Times New Roman" w:cs="Times New Roman"/>
                <w:bCs/>
                <w:color w:val="auto"/>
                <w:sz w:val="20"/>
                <w:szCs w:val="20"/>
              </w:rPr>
              <w:t>㎡</w:t>
            </w:r>
            <w:r>
              <w:rPr>
                <w:rFonts w:hint="default" w:ascii="Times New Roman" w:hAnsi="Times New Roman" w:eastAsia="仿宋_GB2312" w:cs="Times New Roman"/>
                <w:bCs/>
                <w:color w:val="auto"/>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实际规模（</w:t>
            </w:r>
            <w:r>
              <w:rPr>
                <w:rFonts w:hint="default" w:ascii="Times New Roman" w:hAnsi="Times New Roman" w:cs="Times New Roman"/>
                <w:bCs/>
                <w:color w:val="auto"/>
                <w:sz w:val="20"/>
                <w:szCs w:val="20"/>
              </w:rPr>
              <w:t>㎡</w:t>
            </w:r>
            <w:r>
              <w:rPr>
                <w:rFonts w:hint="default" w:ascii="Times New Roman" w:hAnsi="Times New Roman" w:eastAsia="仿宋_GB2312" w:cs="Times New Roman"/>
                <w:bCs/>
                <w:color w:val="auto"/>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rPr>
            </w:pPr>
            <w:r>
              <w:rPr>
                <w:rFonts w:hint="default" w:ascii="Times New Roman" w:hAnsi="Times New Roman" w:eastAsia="仿宋_GB2312" w:cs="Times New Roman"/>
                <w:bCs/>
                <w:color w:val="auto"/>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572"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p>
        </w:tc>
        <w:tc>
          <w:tcPr>
            <w:tcW w:w="97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572"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厉行节约保障措施</w:t>
            </w:r>
          </w:p>
        </w:tc>
        <w:tc>
          <w:tcPr>
            <w:tcW w:w="6101"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严格控制三公经费等公用经费开支，当年支出总额不得超过上一年。</w:t>
            </w:r>
          </w:p>
        </w:tc>
      </w:tr>
    </w:tbl>
    <w:p>
      <w:pPr>
        <w:widowControl/>
        <w:spacing w:afterLines="0" w:line="400" w:lineRule="exact"/>
        <w:jc w:val="left"/>
        <w:rPr>
          <w:rFonts w:hint="default" w:ascii="Times New Roman" w:hAnsi="Times New Roman" w:eastAsia="仿宋_GB2312" w:cs="Times New Roman"/>
          <w:color w:val="auto"/>
          <w:sz w:val="22"/>
        </w:rPr>
      </w:pPr>
      <w:r>
        <w:rPr>
          <w:rFonts w:hint="default" w:ascii="Times New Roman" w:hAnsi="Times New Roman" w:eastAsia="仿宋_GB2312" w:cs="Times New Roman"/>
          <w:color w:val="auto"/>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color w:val="auto"/>
          <w:sz w:val="22"/>
        </w:rPr>
      </w:pPr>
    </w:p>
    <w:p>
      <w:pPr>
        <w:widowControl/>
        <w:spacing w:after="0" w:afterLines="0" w:line="400" w:lineRule="exact"/>
        <w:jc w:val="left"/>
        <w:rPr>
          <w:rFonts w:hint="default" w:ascii="Times New Roman" w:hAnsi="Times New Roman" w:eastAsia="黑体" w:cs="Times New Roman"/>
          <w:color w:val="auto"/>
          <w:sz w:val="32"/>
          <w:szCs w:val="32"/>
        </w:rPr>
      </w:pPr>
      <w:bookmarkStart w:id="9" w:name="_GoBack"/>
      <w:bookmarkEnd w:id="9"/>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0" w:afterLines="0" w:line="400" w:lineRule="exact"/>
        <w:jc w:val="left"/>
        <w:rPr>
          <w:rFonts w:hint="default" w:ascii="Times New Roman" w:hAnsi="Times New Roman" w:eastAsia="黑体" w:cs="Times New Roman"/>
          <w:color w:val="auto"/>
          <w:sz w:val="32"/>
          <w:szCs w:val="32"/>
        </w:rPr>
      </w:pPr>
    </w:p>
    <w:p>
      <w:pPr>
        <w:widowControl/>
        <w:spacing w:after="120" w:afterLines="50"/>
        <w:jc w:val="center"/>
        <w:rPr>
          <w:rFonts w:hint="default" w:ascii="Times New Roman" w:hAnsi="Times New Roman" w:eastAsia="方正小标宋_GBK" w:cs="Times New Roman"/>
          <w:color w:val="auto"/>
          <w:sz w:val="36"/>
          <w:szCs w:val="36"/>
        </w:rPr>
      </w:pPr>
    </w:p>
    <w:p>
      <w:pPr>
        <w:widowControl/>
        <w:spacing w:after="120" w:afterLines="50"/>
        <w:jc w:val="center"/>
        <w:rPr>
          <w:rFonts w:hint="default" w:ascii="Times New Roman" w:hAnsi="Times New Roman" w:eastAsia="方正小标宋_GBK" w:cs="Times New Roman"/>
          <w:color w:val="auto"/>
          <w:sz w:val="36"/>
          <w:szCs w:val="36"/>
        </w:rPr>
      </w:pPr>
      <w:r>
        <w:rPr>
          <w:rFonts w:hint="default" w:ascii="Times New Roman" w:hAnsi="Times New Roman" w:eastAsia="方正小标宋_GBK" w:cs="Times New Roman"/>
          <w:color w:val="auto"/>
          <w:sz w:val="36"/>
          <w:szCs w:val="36"/>
        </w:rPr>
        <w:t>202</w:t>
      </w:r>
      <w:r>
        <w:rPr>
          <w:rFonts w:hint="eastAsia" w:ascii="Times New Roman" w:hAnsi="Times New Roman" w:eastAsia="方正小标宋_GBK" w:cs="Times New Roman"/>
          <w:color w:val="auto"/>
          <w:sz w:val="36"/>
          <w:szCs w:val="36"/>
          <w:lang w:val="en-US" w:eastAsia="zh-CN"/>
        </w:rPr>
        <w:t>3</w:t>
      </w:r>
      <w:r>
        <w:rPr>
          <w:rFonts w:hint="default" w:ascii="Times New Roman" w:hAnsi="Times New Roman" w:eastAsia="方正小标宋_GBK" w:cs="Times New Roman"/>
          <w:color w:val="auto"/>
          <w:sz w:val="36"/>
          <w:szCs w:val="36"/>
        </w:rPr>
        <w:t>年</w:t>
      </w:r>
      <w:r>
        <w:rPr>
          <w:rFonts w:hint="eastAsia" w:ascii="Times New Roman" w:hAnsi="Times New Roman" w:eastAsia="方正小标宋_GBK" w:cs="Times New Roman"/>
          <w:color w:val="auto"/>
          <w:sz w:val="36"/>
          <w:szCs w:val="36"/>
          <w:lang w:eastAsia="zh-CN"/>
        </w:rPr>
        <w:t>度</w:t>
      </w:r>
      <w:r>
        <w:rPr>
          <w:rFonts w:hint="default" w:ascii="Times New Roman" w:hAnsi="Times New Roman" w:eastAsia="方正小标宋_GBK" w:cs="Times New Roman"/>
          <w:color w:val="auto"/>
          <w:sz w:val="36"/>
          <w:szCs w:val="36"/>
        </w:rPr>
        <w:t>部门整体支出绩效自评表</w:t>
      </w:r>
    </w:p>
    <w:tbl>
      <w:tblPr>
        <w:tblStyle w:val="10"/>
        <w:tblW w:w="10079" w:type="dxa"/>
        <w:jc w:val="center"/>
        <w:tblInd w:w="-567"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省级预算部门</w:t>
            </w:r>
            <w:r>
              <w:rPr>
                <w:rFonts w:hint="eastAsia" w:ascii="Times New Roman" w:hAnsi="Times New Roman" w:eastAsia="仿宋_GB2312" w:cs="Times New Roman"/>
                <w:color w:val="auto"/>
                <w:sz w:val="20"/>
                <w:szCs w:val="20"/>
                <w:lang w:eastAsia="zh-CN"/>
              </w:rPr>
              <w:t>、单位</w:t>
            </w:r>
            <w:r>
              <w:rPr>
                <w:rFonts w:hint="default" w:ascii="Times New Roman" w:hAnsi="Times New Roman" w:eastAsia="仿宋_GB2312" w:cs="Times New Roman"/>
                <w:color w:val="auto"/>
                <w:sz w:val="20"/>
                <w:szCs w:val="20"/>
              </w:rPr>
              <w:t>名称</w:t>
            </w:r>
          </w:p>
        </w:tc>
        <w:tc>
          <w:tcPr>
            <w:tcW w:w="688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湖南省植保植检站</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年度预</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算申请</w:t>
            </w:r>
            <w:r>
              <w:rPr>
                <w:rFonts w:hint="default" w:ascii="Times New Roman" w:hAnsi="Times New Roman" w:eastAsia="仿宋_GB2312" w:cs="Times New Roman"/>
                <w:color w:val="auto"/>
                <w:sz w:val="20"/>
                <w:szCs w:val="20"/>
              </w:rPr>
              <w:br w:type="textWrapping"/>
            </w:r>
            <w:r>
              <w:rPr>
                <w:rFonts w:hint="default" w:ascii="Times New Roman" w:hAnsi="Times New Roman" w:eastAsia="仿宋_GB2312" w:cs="Times New Roman"/>
                <w:color w:val="auto"/>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自评</w:t>
            </w:r>
            <w:r>
              <w:rPr>
                <w:rFonts w:hint="default" w:ascii="Times New Roman" w:hAnsi="Times New Roman" w:eastAsia="仿宋_GB2312" w:cs="Times New Roman"/>
                <w:color w:val="auto"/>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4430</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014367</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6239</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151248</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2674</w:t>
            </w:r>
            <w:r>
              <w:rPr>
                <w:rFonts w:hint="eastAsia" w:ascii="Times New Roman" w:hAnsi="Times New Roman" w:eastAsia="仿宋_GB2312" w:cs="Times New Roman"/>
                <w:color w:val="auto"/>
                <w:sz w:val="20"/>
                <w:szCs w:val="20"/>
                <w:highlight w:val="none"/>
                <w:lang w:val="en-US" w:eastAsia="zh-CN"/>
              </w:rPr>
              <w:t>.</w:t>
            </w:r>
            <w:r>
              <w:rPr>
                <w:rFonts w:hint="default" w:ascii="Times New Roman" w:hAnsi="Times New Roman" w:eastAsia="仿宋_GB2312" w:cs="Times New Roman"/>
                <w:color w:val="auto"/>
                <w:sz w:val="20"/>
                <w:szCs w:val="20"/>
                <w:highlight w:val="none"/>
              </w:rPr>
              <w:t>016983</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b/>
                <w:bCs/>
                <w:color w:val="auto"/>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42.86%</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4.826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xml:space="preserve">  其中：  一般公共预算：</w:t>
            </w:r>
            <w:r>
              <w:rPr>
                <w:rFonts w:hint="eastAsia" w:ascii="Times New Roman" w:hAnsi="Times New Roman" w:eastAsia="仿宋_GB2312" w:cs="Times New Roman"/>
                <w:color w:val="auto"/>
                <w:sz w:val="20"/>
                <w:szCs w:val="20"/>
                <w:highlight w:val="none"/>
                <w:lang w:val="en-US" w:eastAsia="zh-CN"/>
              </w:rPr>
              <w:t>6235.114367</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其中：基本支出：</w:t>
            </w:r>
            <w:r>
              <w:rPr>
                <w:rFonts w:hint="eastAsia" w:ascii="Times New Roman" w:hAnsi="Times New Roman" w:eastAsia="仿宋_GB2312" w:cs="Times New Roman"/>
                <w:color w:val="auto"/>
                <w:sz w:val="20"/>
                <w:szCs w:val="20"/>
                <w:highlight w:val="none"/>
                <w:lang w:val="en-US" w:eastAsia="zh-CN"/>
              </w:rPr>
              <w:t>1075.856881</w:t>
            </w:r>
          </w:p>
        </w:tc>
      </w:tr>
      <w:tr>
        <w:tblPrEx>
          <w:tblLayout w:type="fixed"/>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政府性基金拨款：</w:t>
            </w:r>
            <w:r>
              <w:rPr>
                <w:rFonts w:hint="eastAsia" w:ascii="Times New Roman" w:hAnsi="Times New Roman" w:eastAsia="仿宋_GB2312" w:cs="Times New Roman"/>
                <w:color w:val="auto"/>
                <w:sz w:val="20"/>
                <w:szCs w:val="20"/>
                <w:highlight w:val="none"/>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项目支出：</w:t>
            </w:r>
            <w:r>
              <w:rPr>
                <w:rFonts w:hint="eastAsia" w:ascii="Times New Roman" w:hAnsi="Times New Roman" w:eastAsia="仿宋_GB2312" w:cs="Times New Roman"/>
                <w:color w:val="auto"/>
                <w:sz w:val="20"/>
                <w:szCs w:val="20"/>
                <w:highlight w:val="none"/>
                <w:lang w:val="en-US" w:eastAsia="zh-CN"/>
              </w:rPr>
              <w:t>5163.294367</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纳入专户管理的非税收入拨款：</w:t>
            </w:r>
            <w:r>
              <w:rPr>
                <w:rFonts w:hint="eastAsia" w:ascii="Times New Roman" w:hAnsi="Times New Roman" w:eastAsia="仿宋_GB2312" w:cs="Times New Roman"/>
                <w:color w:val="auto"/>
                <w:sz w:val="20"/>
                <w:szCs w:val="20"/>
                <w:highlight w:val="none"/>
                <w:lang w:val="en-US" w:eastAsia="zh-CN"/>
              </w:rPr>
              <w:t>4</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highlight w:val="none"/>
              </w:rPr>
            </w:pPr>
          </w:p>
        </w:tc>
      </w:tr>
      <w:tr>
        <w:tblPrEx>
          <w:tblLayout w:type="fixed"/>
          <w:tblCellMar>
            <w:top w:w="0" w:type="dxa"/>
            <w:left w:w="108" w:type="dxa"/>
            <w:bottom w:w="0" w:type="dxa"/>
            <w:right w:w="108" w:type="dxa"/>
          </w:tblCellMar>
        </w:tblPrEx>
        <w:trPr>
          <w:trHeight w:val="90" w:hRule="atLeast"/>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其他资金：</w:t>
            </w:r>
            <w:r>
              <w:rPr>
                <w:rFonts w:hint="eastAsia" w:ascii="Times New Roman" w:hAnsi="Times New Roman" w:eastAsia="仿宋_GB2312" w:cs="Times New Roman"/>
                <w:color w:val="auto"/>
                <w:sz w:val="20"/>
                <w:szCs w:val="20"/>
                <w:highlight w:val="none"/>
                <w:lang w:val="en-US" w:eastAsia="zh-CN"/>
              </w:rPr>
              <w:t>0.036881</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eastAsia"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牢牢守住农作物重大病虫害不大面积暴发成灾、重大植物疫情不恶性传播蔓延两条底线,进一步推进农药科学安全使用，力争农药使用量</w:t>
            </w:r>
            <w:r>
              <w:rPr>
                <w:rFonts w:hint="eastAsia" w:ascii="Times New Roman" w:hAnsi="Times New Roman" w:eastAsia="仿宋_GB2312" w:cs="Times New Roman"/>
                <w:color w:val="auto"/>
                <w:sz w:val="20"/>
                <w:szCs w:val="20"/>
                <w:lang w:val="en-US" w:eastAsia="zh-CN"/>
              </w:rPr>
              <w:t>比上年减少1%</w:t>
            </w:r>
            <w:r>
              <w:rPr>
                <w:rFonts w:hint="default" w:ascii="Times New Roman" w:hAnsi="Times New Roman" w:eastAsia="仿宋_GB2312" w:cs="Times New Roman"/>
                <w:color w:val="auto"/>
                <w:sz w:val="20"/>
                <w:szCs w:val="20"/>
              </w:rPr>
              <w:t>。全省主要农作物病虫害专业化统防统治覆盖率43%以上绿色防控覆盖率5</w:t>
            </w:r>
            <w:r>
              <w:rPr>
                <w:rFonts w:hint="eastAsia" w:ascii="Times New Roman" w:hAnsi="Times New Roman" w:eastAsia="仿宋_GB2312" w:cs="Times New Roman"/>
                <w:color w:val="auto"/>
                <w:sz w:val="20"/>
                <w:szCs w:val="20"/>
                <w:lang w:val="en-US" w:eastAsia="zh-CN"/>
              </w:rPr>
              <w:t>2</w:t>
            </w:r>
            <w:r>
              <w:rPr>
                <w:rFonts w:hint="default" w:ascii="Times New Roman" w:hAnsi="Times New Roman" w:eastAsia="仿宋_GB2312" w:cs="Times New Roman"/>
                <w:color w:val="auto"/>
                <w:sz w:val="20"/>
                <w:szCs w:val="20"/>
              </w:rPr>
              <w:t>%以上</w:t>
            </w:r>
            <w:r>
              <w:rPr>
                <w:rFonts w:hint="eastAsia" w:ascii="Times New Roman" w:hAnsi="Times New Roman" w:eastAsia="仿宋_GB2312" w:cs="Times New Roman"/>
                <w:color w:val="auto"/>
                <w:sz w:val="20"/>
                <w:szCs w:val="20"/>
                <w:lang w:eastAsia="zh-CN"/>
              </w:rPr>
              <w:t>。</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农作物重大病虫害</w:t>
            </w:r>
            <w:r>
              <w:rPr>
                <w:rFonts w:hint="eastAsia" w:ascii="Times New Roman" w:hAnsi="Times New Roman" w:eastAsia="仿宋_GB2312" w:cs="Times New Roman"/>
                <w:color w:val="auto"/>
                <w:sz w:val="20"/>
                <w:szCs w:val="20"/>
                <w:lang w:val="en-US" w:eastAsia="zh-CN"/>
              </w:rPr>
              <w:t>未发生</w:t>
            </w:r>
            <w:r>
              <w:rPr>
                <w:rFonts w:hint="default" w:ascii="Times New Roman" w:hAnsi="Times New Roman" w:eastAsia="仿宋_GB2312" w:cs="Times New Roman"/>
                <w:color w:val="auto"/>
                <w:sz w:val="20"/>
                <w:szCs w:val="20"/>
              </w:rPr>
              <w:t>大面积暴发成灾、重大植物疫情</w:t>
            </w:r>
            <w:r>
              <w:rPr>
                <w:rFonts w:hint="eastAsia" w:ascii="Times New Roman" w:hAnsi="Times New Roman" w:eastAsia="仿宋_GB2312" w:cs="Times New Roman"/>
                <w:color w:val="auto"/>
                <w:sz w:val="20"/>
                <w:szCs w:val="20"/>
                <w:lang w:val="en-US" w:eastAsia="zh-CN"/>
              </w:rPr>
              <w:t>未发生</w:t>
            </w:r>
            <w:r>
              <w:rPr>
                <w:rFonts w:hint="default" w:ascii="Times New Roman" w:hAnsi="Times New Roman" w:eastAsia="仿宋_GB2312" w:cs="Times New Roman"/>
                <w:color w:val="auto"/>
                <w:sz w:val="20"/>
                <w:szCs w:val="20"/>
              </w:rPr>
              <w:t>恶性传播蔓延</w:t>
            </w:r>
            <w:r>
              <w:rPr>
                <w:rFonts w:hint="eastAsia" w:ascii="Times New Roman" w:hAnsi="Times New Roman" w:eastAsia="仿宋_GB2312" w:cs="Times New Roman"/>
                <w:color w:val="auto"/>
                <w:sz w:val="20"/>
                <w:szCs w:val="20"/>
                <w:lang w:eastAsia="zh-CN"/>
              </w:rPr>
              <w:t>，</w:t>
            </w:r>
            <w:r>
              <w:rPr>
                <w:rFonts w:hint="default" w:ascii="Times New Roman" w:hAnsi="Times New Roman" w:eastAsia="仿宋_GB2312" w:cs="Times New Roman"/>
                <w:color w:val="auto"/>
                <w:sz w:val="20"/>
                <w:szCs w:val="20"/>
              </w:rPr>
              <w:t>进一步推进</w:t>
            </w:r>
            <w:r>
              <w:rPr>
                <w:rFonts w:hint="eastAsia" w:ascii="Times New Roman" w:hAnsi="Times New Roman" w:eastAsia="仿宋_GB2312" w:cs="Times New Roman"/>
                <w:color w:val="auto"/>
                <w:sz w:val="20"/>
                <w:szCs w:val="20"/>
                <w:lang w:val="en-US" w:eastAsia="zh-CN"/>
              </w:rPr>
              <w:t>了</w:t>
            </w:r>
            <w:r>
              <w:rPr>
                <w:rFonts w:hint="default" w:ascii="Times New Roman" w:hAnsi="Times New Roman" w:eastAsia="仿宋_GB2312" w:cs="Times New Roman"/>
                <w:color w:val="auto"/>
                <w:sz w:val="20"/>
                <w:szCs w:val="20"/>
              </w:rPr>
              <w:t>农药科学安全使用，力争农药使用量比</w:t>
            </w:r>
            <w:r>
              <w:rPr>
                <w:rFonts w:hint="eastAsia" w:ascii="Times New Roman" w:hAnsi="Times New Roman" w:eastAsia="仿宋_GB2312" w:cs="Times New Roman"/>
                <w:color w:val="auto"/>
                <w:sz w:val="20"/>
                <w:szCs w:val="20"/>
                <w:lang w:val="en-US" w:eastAsia="zh-CN"/>
              </w:rPr>
              <w:t>2022年</w:t>
            </w:r>
            <w:r>
              <w:rPr>
                <w:rFonts w:hint="default" w:ascii="Times New Roman" w:hAnsi="Times New Roman" w:eastAsia="仿宋_GB2312" w:cs="Times New Roman"/>
                <w:color w:val="auto"/>
                <w:sz w:val="20"/>
                <w:szCs w:val="20"/>
              </w:rPr>
              <w:t>减少1%</w:t>
            </w:r>
            <w:r>
              <w:rPr>
                <w:rFonts w:hint="eastAsia" w:ascii="Times New Roman" w:hAnsi="Times New Roman" w:eastAsia="仿宋_GB2312" w:cs="Times New Roman"/>
                <w:color w:val="auto"/>
                <w:sz w:val="20"/>
                <w:szCs w:val="20"/>
                <w:lang w:val="en-US" w:eastAsia="zh-CN"/>
              </w:rPr>
              <w:t>以上，</w:t>
            </w:r>
            <w:r>
              <w:rPr>
                <w:rFonts w:hint="default" w:ascii="Times New Roman" w:hAnsi="Times New Roman" w:eastAsia="仿宋_GB2312" w:cs="Times New Roman"/>
                <w:color w:val="auto"/>
                <w:sz w:val="20"/>
                <w:szCs w:val="20"/>
              </w:rPr>
              <w:t>全省主要农作物病虫害专业化统防统治覆盖率</w:t>
            </w:r>
            <w:r>
              <w:rPr>
                <w:rFonts w:hint="eastAsia" w:ascii="Times New Roman" w:hAnsi="Times New Roman" w:eastAsia="仿宋_GB2312" w:cs="Times New Roman"/>
                <w:color w:val="auto"/>
                <w:sz w:val="20"/>
                <w:szCs w:val="20"/>
                <w:lang w:val="en-US" w:eastAsia="zh-CN"/>
              </w:rPr>
              <w:t>达到</w:t>
            </w:r>
            <w:r>
              <w:rPr>
                <w:rFonts w:hint="default" w:ascii="Times New Roman" w:hAnsi="Times New Roman" w:eastAsia="仿宋_GB2312" w:cs="Times New Roman"/>
                <w:color w:val="auto"/>
                <w:sz w:val="20"/>
                <w:szCs w:val="20"/>
              </w:rPr>
              <w:t>43%以上</w:t>
            </w:r>
            <w:r>
              <w:rPr>
                <w:rFonts w:hint="eastAsia" w:ascii="Times New Roman" w:hAnsi="Times New Roman" w:eastAsia="仿宋_GB2312" w:cs="Times New Roman"/>
                <w:color w:val="auto"/>
                <w:sz w:val="20"/>
                <w:szCs w:val="20"/>
                <w:lang w:eastAsia="zh-CN"/>
              </w:rPr>
              <w:t>、</w:t>
            </w:r>
            <w:r>
              <w:rPr>
                <w:rFonts w:hint="default" w:ascii="Times New Roman" w:hAnsi="Times New Roman" w:eastAsia="仿宋_GB2312" w:cs="Times New Roman"/>
                <w:color w:val="auto"/>
                <w:sz w:val="20"/>
                <w:szCs w:val="20"/>
              </w:rPr>
              <w:t>绿色防控覆盖率</w:t>
            </w:r>
            <w:r>
              <w:rPr>
                <w:rFonts w:hint="eastAsia" w:ascii="Times New Roman" w:hAnsi="Times New Roman" w:eastAsia="仿宋_GB2312" w:cs="Times New Roman"/>
                <w:color w:val="auto"/>
                <w:sz w:val="20"/>
                <w:szCs w:val="20"/>
                <w:lang w:val="en-US" w:eastAsia="zh-CN"/>
              </w:rPr>
              <w:t>达到</w:t>
            </w:r>
            <w:r>
              <w:rPr>
                <w:rFonts w:hint="default" w:ascii="Times New Roman" w:hAnsi="Times New Roman" w:eastAsia="仿宋_GB2312" w:cs="Times New Roman"/>
                <w:color w:val="auto"/>
                <w:sz w:val="20"/>
                <w:szCs w:val="20"/>
              </w:rPr>
              <w:t>52%以上</w:t>
            </w:r>
            <w:r>
              <w:rPr>
                <w:rFonts w:hint="eastAsia" w:ascii="Times New Roman" w:hAnsi="Times New Roman" w:eastAsia="仿宋_GB2312" w:cs="Times New Roman"/>
                <w:color w:val="auto"/>
                <w:sz w:val="20"/>
                <w:szCs w:val="20"/>
                <w:lang w:eastAsia="zh-CN"/>
              </w:rPr>
              <w:t>。</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绩</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效</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指</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标</w:t>
            </w:r>
          </w:p>
          <w:p>
            <w:pPr>
              <w:widowControl/>
              <w:spacing w:line="240" w:lineRule="exact"/>
              <w:jc w:val="center"/>
              <w:rPr>
                <w:rFonts w:hint="default" w:ascii="Times New Roman" w:hAnsi="Times New Roman" w:eastAsia="仿宋_GB2312" w:cs="Times New Roman"/>
                <w:color w:val="auto"/>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16"/>
                <w:szCs w:val="16"/>
                <w:lang w:eastAsia="zh-CN"/>
              </w:rPr>
              <w:t>自评</w:t>
            </w:r>
            <w:r>
              <w:rPr>
                <w:rFonts w:hint="default" w:ascii="Times New Roman" w:hAnsi="Times New Roman" w:eastAsia="仿宋_GB2312" w:cs="Times New Roman"/>
                <w:color w:val="auto"/>
                <w:sz w:val="16"/>
                <w:szCs w:val="16"/>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产出指标</w:t>
            </w:r>
          </w:p>
          <w:p>
            <w:pPr>
              <w:widowControl/>
              <w:spacing w:line="240" w:lineRule="exact"/>
              <w:jc w:val="center"/>
              <w:rPr>
                <w:rFonts w:hint="default" w:ascii="Times New Roman" w:hAnsi="Times New Roman" w:eastAsia="仿宋_GB2312" w:cs="Times New Roman"/>
                <w:color w:val="auto"/>
                <w:sz w:val="20"/>
                <w:szCs w:val="20"/>
              </w:rPr>
            </w:pP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组织植保专业技术人员培训</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≥4场次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6场次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指导全省建立病虫害监测点</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≥40个</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40个</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植保专项下沉调研督导</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≥2批次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4批次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主要农作物绿色防控覆盖率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≥52%</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52.16%</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全省病虫信息与植保技术进村入户率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≥90%</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时效指标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专项工作完成时限</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2023 年12月31日以前</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均在</w:t>
            </w:r>
            <w:r>
              <w:rPr>
                <w:rFonts w:hint="default" w:ascii="Times New Roman" w:hAnsi="Times New Roman" w:eastAsia="仿宋_GB2312" w:cs="Times New Roman"/>
                <w:color w:val="auto"/>
                <w:sz w:val="20"/>
                <w:szCs w:val="20"/>
              </w:rPr>
              <w:t>2023 年12月31日</w:t>
            </w:r>
            <w:r>
              <w:rPr>
                <w:rFonts w:hint="eastAsia" w:ascii="Times New Roman" w:hAnsi="Times New Roman" w:eastAsia="仿宋_GB2312" w:cs="Times New Roman"/>
                <w:color w:val="auto"/>
                <w:sz w:val="20"/>
                <w:szCs w:val="20"/>
                <w:lang w:val="en-US" w:eastAsia="zh-CN"/>
              </w:rPr>
              <w:t>之前完成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专项工作成本严格控制在预算范围内</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超规模、超标准、超预算比例为0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专项工作均未</w:t>
            </w:r>
            <w:r>
              <w:rPr>
                <w:rFonts w:hint="default" w:ascii="Times New Roman" w:hAnsi="Times New Roman" w:eastAsia="仿宋_GB2312" w:cs="Times New Roman"/>
                <w:color w:val="auto"/>
                <w:sz w:val="20"/>
                <w:szCs w:val="20"/>
              </w:rPr>
              <w:t>超规模、超标准、超预算</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效益指标</w:t>
            </w:r>
          </w:p>
          <w:p>
            <w:pPr>
              <w:widowControl/>
              <w:spacing w:line="240" w:lineRule="exact"/>
              <w:jc w:val="left"/>
              <w:rPr>
                <w:rFonts w:hint="default" w:ascii="Times New Roman" w:hAnsi="Times New Roman" w:eastAsia="仿宋_GB2312" w:cs="Times New Roman"/>
                <w:color w:val="auto"/>
                <w:sz w:val="20"/>
                <w:szCs w:val="20"/>
              </w:rPr>
            </w:pPr>
          </w:p>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（30分）</w:t>
            </w:r>
          </w:p>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经济效</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单个病虫危害损失率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≤3%</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≤3%</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病虫危害总体损失率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社会效</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主要粮食作物重大病虫害防治处置率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生态效</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农药使用量</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负增长</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负增长</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生物多样化指数</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保持平衡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保持平衡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27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p>
        </w:tc>
        <w:tc>
          <w:tcPr>
            <w:tcW w:w="131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满意度</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指标</w:t>
            </w:r>
          </w:p>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核心示范区农户满意度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93%</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接受培训对象满意度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96%</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　</w:t>
            </w:r>
            <w:r>
              <w:rPr>
                <w:rFonts w:hint="eastAsia" w:ascii="Times New Roman" w:hAnsi="Times New Roman" w:eastAsia="仿宋_GB2312" w:cs="Times New Roman"/>
                <w:color w:val="auto"/>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r>
    </w:tbl>
    <w:p>
      <w:pPr>
        <w:widowControl/>
        <w:adjustRightInd/>
        <w:snapToGrid/>
        <w:spacing w:line="240" w:lineRule="auto"/>
        <w:ind w:firstLine="0" w:firstLineChars="0"/>
        <w:jc w:val="left"/>
        <w:rPr>
          <w:color w:val="auto"/>
          <w:kern w:val="0"/>
          <w:sz w:val="22"/>
          <w:szCs w:val="22"/>
        </w:rPr>
      </w:pPr>
      <w:r>
        <w:rPr>
          <w:color w:val="auto"/>
          <w:kern w:val="0"/>
          <w:sz w:val="22"/>
          <w:szCs w:val="22"/>
        </w:rPr>
        <w:t>说明：本表由农业农村厅部门本级和直属单位填写，市、县农业农村局不需填写。</w:t>
      </w:r>
    </w:p>
    <w:p>
      <w:pPr>
        <w:pStyle w:val="14"/>
        <w:keepNext w:val="0"/>
        <w:keepLines w:val="0"/>
        <w:pageBreakBefore w:val="0"/>
        <w:widowControl w:val="0"/>
        <w:kinsoku/>
        <w:wordWrap/>
        <w:overflowPunct/>
        <w:topLinePunct w:val="0"/>
        <w:bidi w:val="0"/>
        <w:snapToGrid/>
        <w:spacing w:line="600" w:lineRule="exact"/>
        <w:ind w:firstLine="440" w:firstLineChars="200"/>
        <w:jc w:val="left"/>
        <w:textAlignment w:val="auto"/>
        <w:rPr>
          <w:rFonts w:hint="eastAsia" w:ascii="Times New Roman" w:hAnsi="Times New Roman" w:eastAsia="仿宋_GB2312"/>
          <w:color w:val="auto"/>
          <w:sz w:val="32"/>
          <w:szCs w:val="32"/>
          <w:lang w:val="en-US" w:eastAsia="zh-CN"/>
        </w:rPr>
      </w:pPr>
      <w:r>
        <w:rPr>
          <w:rFonts w:hint="default" w:ascii="Times New Roman" w:hAnsi="Times New Roman" w:eastAsia="仿宋_GB2312" w:cs="Times New Roman"/>
          <w:color w:val="auto"/>
          <w:sz w:val="22"/>
          <w:szCs w:val="22"/>
        </w:rPr>
        <w:t>填表人：</w:t>
      </w:r>
      <w:r>
        <w:rPr>
          <w:rFonts w:hint="eastAsia" w:ascii="Times New Roman" w:hAnsi="Times New Roman" w:eastAsia="仿宋_GB2312" w:cs="Times New Roman"/>
          <w:color w:val="auto"/>
          <w:sz w:val="22"/>
          <w:szCs w:val="22"/>
          <w:lang w:val="en-US" w:eastAsia="zh-CN"/>
        </w:rPr>
        <w:t>李洁</w:t>
      </w:r>
      <w:r>
        <w:rPr>
          <w:rFonts w:hint="default" w:ascii="Times New Roman" w:hAnsi="Times New Roman" w:eastAsia="仿宋_GB2312" w:cs="Times New Roman"/>
          <w:color w:val="auto"/>
          <w:sz w:val="22"/>
          <w:szCs w:val="22"/>
        </w:rPr>
        <w:t xml:space="preserve">      填报日期：</w:t>
      </w:r>
      <w:r>
        <w:rPr>
          <w:rFonts w:hint="eastAsia" w:ascii="Times New Roman" w:hAnsi="Times New Roman" w:eastAsia="仿宋_GB2312" w:cs="Times New Roman"/>
          <w:color w:val="auto"/>
          <w:sz w:val="22"/>
          <w:szCs w:val="22"/>
          <w:lang w:val="en-US" w:eastAsia="zh-CN"/>
        </w:rPr>
        <w:t>2024-4-19</w:t>
      </w:r>
      <w:r>
        <w:rPr>
          <w:rFonts w:hint="default" w:ascii="Times New Roman" w:hAnsi="Times New Roman" w:eastAsia="仿宋_GB2312" w:cs="Times New Roman"/>
          <w:color w:val="auto"/>
          <w:sz w:val="22"/>
          <w:szCs w:val="22"/>
        </w:rPr>
        <w:t xml:space="preserve">         联系电话：</w:t>
      </w:r>
      <w:r>
        <w:rPr>
          <w:rFonts w:hint="eastAsia" w:ascii="Times New Roman" w:hAnsi="Times New Roman" w:eastAsia="仿宋_GB2312" w:cs="Times New Roman"/>
          <w:color w:val="auto"/>
          <w:sz w:val="22"/>
          <w:szCs w:val="22"/>
          <w:lang w:val="en-US" w:eastAsia="zh-CN"/>
        </w:rPr>
        <w:t>19573158386</w:t>
      </w:r>
      <w:r>
        <w:rPr>
          <w:rFonts w:hint="default" w:ascii="Times New Roman" w:hAnsi="Times New Roman" w:eastAsia="仿宋_GB2312" w:cs="Times New Roman"/>
          <w:color w:val="auto"/>
          <w:sz w:val="22"/>
          <w:szCs w:val="22"/>
        </w:rPr>
        <w:t xml:space="preserve">     </w:t>
      </w:r>
      <w:r>
        <w:rPr>
          <w:rFonts w:hint="eastAsia" w:ascii="Times New Roman" w:hAnsi="Times New Roman" w:eastAsia="仿宋_GB2312" w:cs="Times New Roman"/>
          <w:color w:val="auto"/>
          <w:sz w:val="22"/>
          <w:szCs w:val="22"/>
          <w:lang w:val="en-US" w:eastAsia="zh-CN"/>
        </w:rPr>
        <w:t xml:space="preserve">           </w:t>
      </w:r>
      <w:r>
        <w:rPr>
          <w:rFonts w:hint="default" w:ascii="Times New Roman" w:hAnsi="Times New Roman" w:eastAsia="仿宋_GB2312" w:cs="Times New Roman"/>
          <w:color w:val="auto"/>
          <w:sz w:val="22"/>
          <w:szCs w:val="22"/>
        </w:rPr>
        <w:t>单位负责人签字：</w:t>
      </w:r>
    </w:p>
    <w:p>
      <w:pPr>
        <w:pStyle w:val="14"/>
        <w:jc w:val="center"/>
        <w:rPr>
          <w:color w:val="auto"/>
          <w:sz w:val="72"/>
          <w:szCs w:val="72"/>
        </w:rPr>
      </w:pPr>
    </w:p>
    <w:p>
      <w:pPr>
        <w:pStyle w:val="14"/>
        <w:jc w:val="center"/>
        <w:rPr>
          <w:color w:val="auto"/>
          <w:sz w:val="72"/>
          <w:szCs w:val="72"/>
        </w:rPr>
      </w:pPr>
    </w:p>
    <w:p>
      <w:pPr>
        <w:jc w:val="left"/>
        <w:rPr>
          <w:rFonts w:cs="黑体" w:asciiTheme="minorEastAsia" w:hAnsiTheme="minorEastAsia"/>
          <w:color w:val="auto"/>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7102E"/>
    <w:multiLevelType w:val="singleLevel"/>
    <w:tmpl w:val="8457102E"/>
    <w:lvl w:ilvl="0" w:tentative="0">
      <w:start w:val="3"/>
      <w:numFmt w:val="decimal"/>
      <w:suff w:val="nothing"/>
      <w:lvlText w:val="%1、"/>
      <w:lvlJc w:val="left"/>
    </w:lvl>
  </w:abstractNum>
  <w:abstractNum w:abstractNumId="1">
    <w:nsid w:val="B59ACD70"/>
    <w:multiLevelType w:val="singleLevel"/>
    <w:tmpl w:val="B59ACD70"/>
    <w:lvl w:ilvl="0" w:tentative="0">
      <w:start w:val="7"/>
      <w:numFmt w:val="chineseCounting"/>
      <w:suff w:val="nothing"/>
      <w:lvlText w:val="%1、"/>
      <w:lvlJc w:val="left"/>
      <w:rPr>
        <w:rFonts w:hint="eastAsia"/>
      </w:rPr>
    </w:lvl>
  </w:abstractNum>
  <w:abstractNum w:abstractNumId="2">
    <w:nsid w:val="C7D8A583"/>
    <w:multiLevelType w:val="singleLevel"/>
    <w:tmpl w:val="C7D8A583"/>
    <w:lvl w:ilvl="0" w:tentative="0">
      <w:start w:val="1"/>
      <w:numFmt w:val="decimal"/>
      <w:suff w:val="nothing"/>
      <w:lvlText w:val="%1、"/>
      <w:lvlJc w:val="left"/>
    </w:lvl>
  </w:abstractNum>
  <w:abstractNum w:abstractNumId="3">
    <w:nsid w:val="FA5F577B"/>
    <w:multiLevelType w:val="singleLevel"/>
    <w:tmpl w:val="FA5F577B"/>
    <w:lvl w:ilvl="0" w:tentative="0">
      <w:start w:val="1"/>
      <w:numFmt w:val="decimal"/>
      <w:suff w:val="nothing"/>
      <w:lvlText w:val="%1、"/>
      <w:lvlJc w:val="left"/>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B401A5B"/>
    <w:rsid w:val="10602005"/>
    <w:rsid w:val="134E72F6"/>
    <w:rsid w:val="157062DB"/>
    <w:rsid w:val="17B41F52"/>
    <w:rsid w:val="1A66071D"/>
    <w:rsid w:val="1D97DEFF"/>
    <w:rsid w:val="1DFF72E5"/>
    <w:rsid w:val="1EFC6F07"/>
    <w:rsid w:val="21921329"/>
    <w:rsid w:val="22826BBB"/>
    <w:rsid w:val="24320700"/>
    <w:rsid w:val="2D0D0CF4"/>
    <w:rsid w:val="2FC61AF2"/>
    <w:rsid w:val="2FDF85B8"/>
    <w:rsid w:val="2FFFEE04"/>
    <w:rsid w:val="30C6339E"/>
    <w:rsid w:val="31990EA4"/>
    <w:rsid w:val="34391630"/>
    <w:rsid w:val="34DF85B0"/>
    <w:rsid w:val="359F04CC"/>
    <w:rsid w:val="37451EB8"/>
    <w:rsid w:val="37B12ACD"/>
    <w:rsid w:val="3B8F36BC"/>
    <w:rsid w:val="40F81813"/>
    <w:rsid w:val="458F208F"/>
    <w:rsid w:val="491FF225"/>
    <w:rsid w:val="4FFD214C"/>
    <w:rsid w:val="5777D4F5"/>
    <w:rsid w:val="59DD8326"/>
    <w:rsid w:val="5B0367FF"/>
    <w:rsid w:val="5DEF592A"/>
    <w:rsid w:val="5FC6BB1E"/>
    <w:rsid w:val="5FF720F1"/>
    <w:rsid w:val="63C03EE0"/>
    <w:rsid w:val="67FF5C0B"/>
    <w:rsid w:val="6CBF5D06"/>
    <w:rsid w:val="6CF71F61"/>
    <w:rsid w:val="6EFC0924"/>
    <w:rsid w:val="6FB74722"/>
    <w:rsid w:val="6FEF8B7E"/>
    <w:rsid w:val="702C2E0C"/>
    <w:rsid w:val="70FC267C"/>
    <w:rsid w:val="71A6591B"/>
    <w:rsid w:val="737D59BA"/>
    <w:rsid w:val="742111C2"/>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6">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6"/>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7"/>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character" w:customStyle="1" w:styleId="20">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17</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2024-09-06T07:24:43Z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