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湖南省畜牧兽医研究所部门决算</w:t>
      </w:r>
    </w:p>
    <w:p>
      <w:pPr>
        <w:pStyle w:val="13"/>
        <w:jc w:val="center"/>
        <w:rPr>
          <w:rFonts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spacing w:line="500" w:lineRule="exact"/>
        <w:jc w:val="both"/>
        <w:rPr>
          <w:rFonts w:hint="eastAsia"/>
          <w:sz w:val="32"/>
          <w:szCs w:val="32"/>
        </w:rPr>
      </w:pPr>
    </w:p>
    <w:p>
      <w:pPr>
        <w:pStyle w:val="13"/>
        <w:spacing w:line="500" w:lineRule="exact"/>
        <w:jc w:val="both"/>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hAnsi="黑体"/>
          <w:bCs/>
          <w:sz w:val="28"/>
          <w:szCs w:val="28"/>
        </w:rPr>
      </w:pPr>
      <w:r>
        <w:rPr>
          <w:rFonts w:hint="eastAsia" w:hAnsi="黑体"/>
          <w:bCs/>
          <w:sz w:val="28"/>
          <w:szCs w:val="28"/>
        </w:rPr>
        <w:t>第一部分 湖南省畜牧兽医研究所概况</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Ansi="黑体"/>
          <w:bCs/>
          <w:sz w:val="28"/>
          <w:szCs w:val="28"/>
        </w:rPr>
      </w:pPr>
      <w:r>
        <w:rPr>
          <w:rFonts w:hint="eastAsia" w:hAnsi="黑体"/>
          <w:bCs/>
          <w:sz w:val="28"/>
          <w:szCs w:val="28"/>
        </w:rPr>
        <w:t>第二部分 部门决算表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Ansi="黑体"/>
          <w:bCs/>
          <w:sz w:val="28"/>
          <w:szCs w:val="28"/>
        </w:rPr>
      </w:pPr>
      <w:r>
        <w:rPr>
          <w:rFonts w:hint="eastAsia" w:hAnsi="黑体"/>
          <w:bCs/>
          <w:sz w:val="28"/>
          <w:szCs w:val="28"/>
        </w:rPr>
        <w:t>第三部分 部门决算情况说明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3"/>
        <w:spacing w:line="500" w:lineRule="exact"/>
        <w:rPr>
          <w:rFonts w:hAnsi="黑体"/>
          <w:bCs/>
          <w:sz w:val="28"/>
          <w:szCs w:val="28"/>
        </w:rPr>
      </w:pPr>
      <w:r>
        <w:rPr>
          <w:rFonts w:hint="eastAsia" w:hAnsi="黑体"/>
          <w:bCs/>
          <w:sz w:val="28"/>
          <w:szCs w:val="28"/>
        </w:rPr>
        <w:t>第四部分 名词解释</w:t>
      </w:r>
    </w:p>
    <w:p>
      <w:pPr>
        <w:pStyle w:val="13"/>
        <w:spacing w:line="500" w:lineRule="exact"/>
        <w:rPr>
          <w:rFonts w:hAnsi="黑体"/>
          <w:bCs/>
          <w:sz w:val="28"/>
          <w:szCs w:val="28"/>
        </w:rPr>
      </w:pPr>
      <w:r>
        <w:rPr>
          <w:rFonts w:hint="eastAsia" w:hAnsi="黑体"/>
          <w:bCs/>
          <w:sz w:val="28"/>
          <w:szCs w:val="28"/>
        </w:rPr>
        <w:t>第五部分 附件</w:t>
      </w:r>
    </w:p>
    <w:p>
      <w:pPr>
        <w:pStyle w:val="13"/>
        <w:spacing w:line="500" w:lineRule="exact"/>
        <w:rPr>
          <w:rFonts w:hAnsi="黑体"/>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湖南省畜牧兽医研究所概况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rFonts w:hint="eastAsia"/>
          <w:sz w:val="72"/>
          <w:szCs w:val="72"/>
        </w:rPr>
      </w:pPr>
    </w:p>
    <w:p>
      <w:pPr>
        <w:pStyle w:val="2"/>
        <w:rPr>
          <w:rFonts w:hint="eastAsia"/>
          <w:sz w:val="72"/>
          <w:szCs w:val="72"/>
        </w:rPr>
      </w:pPr>
    </w:p>
    <w:p>
      <w:pPr>
        <w:pStyle w:val="3"/>
        <w:rPr>
          <w:rFonts w:hint="eastAsia"/>
        </w:rPr>
      </w:pPr>
    </w:p>
    <w:p>
      <w:pPr>
        <w:pStyle w:val="2"/>
        <w:rPr>
          <w:rFonts w:hint="eastAsia"/>
        </w:rPr>
      </w:pPr>
    </w:p>
    <w:p>
      <w:pPr>
        <w:pStyle w:val="3"/>
        <w:ind w:firstLine="480"/>
        <w:rPr>
          <w:rFonts w:hint="eastAsia"/>
        </w:rPr>
      </w:pPr>
    </w:p>
    <w:p/>
    <w:p>
      <w:pPr>
        <w:pStyle w:val="14"/>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湖南省畜牧兽医研究所位于长沙市芙蓉区远大二路，系湖南省农业农村厅下属一类公益事业单位，主要承担全省畜禽遗传育种、动物营养、兽医兽药、畜禽新品种、养殖新技术、畜禽产品加工等方面的工作。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jc w:val="lef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 xml:space="preserve">    （一）内设机构设置。湖南省畜牧兽医研究所内设机构包括：办公室、人事科、计财科、后勤中心、养猪研究室、动物营养研究室、兽医兽药研究室、资源化利用研究室、草业与草食动物研究室、信息资料研究室、良种牛繁育中心、奶牛原种场、科技开发服务中心等13个科室、部门。</w:t>
      </w:r>
    </w:p>
    <w:p>
      <w:pPr>
        <w:jc w:val="left"/>
        <w:rPr>
          <w:rFonts w:ascii="黑体" w:hAnsi="黑体" w:eastAsia="黑体"/>
          <w:sz w:val="28"/>
          <w:szCs w:val="28"/>
        </w:rPr>
      </w:pPr>
      <w:r>
        <w:rPr>
          <w:rFonts w:hint="eastAsia" w:ascii="Times New Roman" w:hAnsi="Times New Roman" w:eastAsia="仿宋_GB2312" w:cs="仿宋_GB2312"/>
          <w:bCs/>
          <w:kern w:val="0"/>
          <w:sz w:val="32"/>
          <w:szCs w:val="32"/>
        </w:rPr>
        <w:t xml:space="preserve">    （二）决算单位构成。湖南省畜牧兽医研究所2023年部门决算汇总公开单位构成包括：湖南省畜牧兽医研究所本级。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9"/>
        <w:tblW w:w="146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728"/>
        <w:gridCol w:w="460"/>
        <w:gridCol w:w="2215"/>
        <w:gridCol w:w="4113"/>
        <w:gridCol w:w="460"/>
        <w:gridCol w:w="2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607"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72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1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3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11516"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部门：湖南省畜牧兽医研究所</w:t>
            </w: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3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4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20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3,151.34</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319.41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757.56</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4,228.31</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3,645.94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1,155.54</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5,383.84</w:t>
            </w:r>
          </w:p>
        </w:tc>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6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5,383.84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60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60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9"/>
        <w:tblW w:w="156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38"/>
        <w:gridCol w:w="2546"/>
        <w:gridCol w:w="1911"/>
        <w:gridCol w:w="1911"/>
        <w:gridCol w:w="1579"/>
        <w:gridCol w:w="1745"/>
        <w:gridCol w:w="1579"/>
        <w:gridCol w:w="1579"/>
        <w:gridCol w:w="1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626"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3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4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1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1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712"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部门：湖南省畜牧兽医研究所</w:t>
            </w:r>
          </w:p>
        </w:tc>
        <w:tc>
          <w:tcPr>
            <w:tcW w:w="191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1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7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1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7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54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4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4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1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7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1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4,228.31</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3,151.34</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319.41</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757.56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220" w:leftChars="0" w:hanging="220" w:hangingChars="10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市场监督管理事务</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2013810</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质量基础</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科技重大项目</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2060902</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重点研发计划</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4,141.31</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3,064.34</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319.41</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4,141.31</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3,064.34</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319.41</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2,403.46</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1,645.90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439.41</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319.41</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2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194.00</w:t>
            </w:r>
          </w:p>
        </w:tc>
        <w:tc>
          <w:tcPr>
            <w:tcW w:w="1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194.00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626"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2"/>
        <w:sectPr>
          <w:pgSz w:w="16838" w:h="11906" w:orient="landscape"/>
          <w:pgMar w:top="720" w:right="720" w:bottom="720" w:left="720" w:header="851" w:footer="992" w:gutter="0"/>
          <w:cols w:space="425" w:num="1"/>
          <w:docGrid w:type="lines" w:linePitch="312" w:charSpace="0"/>
        </w:sectPr>
      </w:pPr>
    </w:p>
    <w:p>
      <w:pPr>
        <w:pStyle w:val="3"/>
      </w:pPr>
    </w:p>
    <w:tbl>
      <w:tblPr>
        <w:tblStyle w:val="9"/>
        <w:tblW w:w="15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550"/>
        <w:gridCol w:w="3772"/>
        <w:gridCol w:w="1809"/>
        <w:gridCol w:w="1809"/>
        <w:gridCol w:w="1809"/>
        <w:gridCol w:w="1495"/>
        <w:gridCol w:w="1495"/>
        <w:gridCol w:w="1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174"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7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0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8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1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838"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部门：湖南省畜牧兽医研究所</w:t>
            </w:r>
          </w:p>
        </w:tc>
        <w:tc>
          <w:tcPr>
            <w:tcW w:w="18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0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8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1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77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3,645.94</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2,504.45</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1,141.48</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市场监督管理事务</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2013810</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质量基础</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科技重大项目</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2060902</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重点研发计划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3,541.10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2,504.45</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1,036.65</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3,541.10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2,504.45</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1,036.65</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1,900.01</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1,900.01</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240.03</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240.03</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149.21</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149.21</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7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147.41</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147.41</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174"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r>
        <w:drawing>
          <wp:inline distT="0" distB="0" distL="0" distR="0">
            <wp:extent cx="8768080" cy="660590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8775150" cy="6611356"/>
                    </a:xfrm>
                    <a:prstGeom prst="rect">
                      <a:avLst/>
                    </a:prstGeom>
                    <a:noFill/>
                    <a:ln>
                      <a:noFill/>
                    </a:ln>
                  </pic:spPr>
                </pic:pic>
              </a:graphicData>
            </a:graphic>
          </wp:inline>
        </w:drawing>
      </w:r>
    </w:p>
    <w:bookmarkEnd w:id="1"/>
    <w:tbl>
      <w:tblPr>
        <w:tblStyle w:val="9"/>
        <w:tblW w:w="12162" w:type="dxa"/>
        <w:tblInd w:w="8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1053"/>
        <w:gridCol w:w="3714"/>
        <w:gridCol w:w="2260"/>
        <w:gridCol w:w="2260"/>
        <w:gridCol w:w="23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560" w:hRule="atLeast"/>
        </w:trPr>
        <w:tc>
          <w:tcPr>
            <w:tcW w:w="12162"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0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1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34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5295"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部门：湖南省畜牧兽医研究所</w:t>
            </w:r>
          </w:p>
        </w:tc>
        <w:tc>
          <w:tcPr>
            <w:tcW w:w="22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34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86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71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3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5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1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1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3,254.16</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2,250.34</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1,003.82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市场监督管理事务</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2013810</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质量基础</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科技重大项目</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2060902</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重点研发计划</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3,149.32</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2,250.34</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3,149.32</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2,250.34</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604.44</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1,645.90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1,645.90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102.37</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149.21</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8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7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147.41</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3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62"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614" w:type="dxa"/>
        <w:tblInd w:w="0" w:type="dxa"/>
        <w:tblLayout w:type="fixed"/>
        <w:tblCellMar>
          <w:top w:w="0" w:type="dxa"/>
          <w:left w:w="108" w:type="dxa"/>
          <w:bottom w:w="0" w:type="dxa"/>
          <w:right w:w="108" w:type="dxa"/>
        </w:tblCellMar>
      </w:tblPr>
      <w:tblGrid>
        <w:gridCol w:w="1461"/>
        <w:gridCol w:w="337"/>
        <w:gridCol w:w="1352"/>
        <w:gridCol w:w="1875"/>
        <w:gridCol w:w="1875"/>
        <w:gridCol w:w="1876"/>
        <w:gridCol w:w="1876"/>
        <w:gridCol w:w="1876"/>
        <w:gridCol w:w="3086"/>
      </w:tblGrid>
      <w:tr>
        <w:tblPrEx>
          <w:tblLayout w:type="fixed"/>
          <w:tblCellMar>
            <w:top w:w="0" w:type="dxa"/>
            <w:left w:w="108" w:type="dxa"/>
            <w:bottom w:w="0" w:type="dxa"/>
            <w:right w:w="108" w:type="dxa"/>
          </w:tblCellMar>
        </w:tblPrEx>
        <w:trPr>
          <w:trHeight w:val="690" w:hRule="atLeast"/>
        </w:trPr>
        <w:tc>
          <w:tcPr>
            <w:tcW w:w="15614" w:type="dxa"/>
            <w:gridSpan w:val="9"/>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lang w:bidi="ar"/>
              </w:rPr>
            </w:pPr>
            <w:r>
              <w:rPr>
                <w:rFonts w:ascii="华文中宋" w:hAnsi="华文中宋" w:eastAsia="华文中宋" w:cs="华文中宋"/>
                <w:color w:val="000000"/>
                <w:kern w:val="0"/>
                <w:sz w:val="32"/>
                <w:szCs w:val="32"/>
              </w:rPr>
              <w:drawing>
                <wp:inline distT="0" distB="0" distL="0" distR="0">
                  <wp:extent cx="9765030" cy="580009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9765030" cy="5800090"/>
                          </a:xfrm>
                          <a:prstGeom prst="rect">
                            <a:avLst/>
                          </a:prstGeom>
                          <a:noFill/>
                          <a:ln>
                            <a:noFill/>
                          </a:ln>
                        </pic:spPr>
                      </pic:pic>
                    </a:graphicData>
                  </a:graphic>
                </wp:inline>
              </w:drawing>
            </w:r>
          </w:p>
          <w:p>
            <w:pPr>
              <w:widowControl/>
              <w:jc w:val="center"/>
              <w:textAlignment w:val="center"/>
              <w:rPr>
                <w:rFonts w:ascii="华文中宋" w:hAnsi="华文中宋" w:eastAsia="华文中宋" w:cs="华文中宋"/>
                <w:color w:val="000000"/>
                <w:kern w:val="0"/>
                <w:sz w:val="32"/>
                <w:szCs w:val="32"/>
                <w:lang w:bidi="ar"/>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46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7"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5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87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086"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公开07表</w:t>
            </w:r>
          </w:p>
        </w:tc>
      </w:tr>
      <w:tr>
        <w:tblPrEx>
          <w:tblLayout w:type="fixed"/>
          <w:tblCellMar>
            <w:top w:w="0" w:type="dxa"/>
            <w:left w:w="108" w:type="dxa"/>
            <w:bottom w:w="0" w:type="dxa"/>
            <w:right w:w="108" w:type="dxa"/>
          </w:tblCellMar>
        </w:tblPrEx>
        <w:trPr>
          <w:trHeight w:val="690" w:hRule="atLeast"/>
        </w:trPr>
        <w:tc>
          <w:tcPr>
            <w:tcW w:w="5025" w:type="dxa"/>
            <w:gridSpan w:val="4"/>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color w:val="000000"/>
                <w:kern w:val="0"/>
                <w:sz w:val="22"/>
                <w:szCs w:val="22"/>
                <w:highlight w:val="none"/>
                <w:u w:val="none"/>
                <w:lang w:val="en-US" w:eastAsia="zh-CN" w:bidi="ar"/>
              </w:rPr>
              <w:t>湖南省畜牧兽医研</w:t>
            </w:r>
            <w:r>
              <w:rPr>
                <w:rFonts w:hint="eastAsia" w:ascii="宋体" w:hAnsi="宋体" w:eastAsia="宋体" w:cs="宋体"/>
                <w:i w:val="0"/>
                <w:color w:val="000000"/>
                <w:kern w:val="0"/>
                <w:sz w:val="22"/>
                <w:szCs w:val="22"/>
                <w:u w:val="none"/>
                <w:lang w:val="en-US" w:eastAsia="zh-CN" w:bidi="ar"/>
              </w:rPr>
              <w:t>究所</w:t>
            </w:r>
          </w:p>
        </w:tc>
        <w:tc>
          <w:tcPr>
            <w:tcW w:w="187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87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086"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单位：万元</w:t>
            </w:r>
          </w:p>
        </w:tc>
      </w:tr>
      <w:tr>
        <w:tblPrEx>
          <w:tblLayout w:type="fixed"/>
          <w:tblCellMar>
            <w:top w:w="0" w:type="dxa"/>
            <w:left w:w="108" w:type="dxa"/>
            <w:bottom w:w="0" w:type="dxa"/>
            <w:right w:w="108" w:type="dxa"/>
          </w:tblCellMar>
        </w:tblPrEx>
        <w:trPr>
          <w:trHeight w:val="459" w:hRule="atLeast"/>
        </w:trPr>
        <w:tc>
          <w:tcPr>
            <w:tcW w:w="3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项 </w:t>
            </w:r>
            <w:r>
              <w:rPr>
                <w:rStyle w:val="16"/>
                <w:rFonts w:hint="default"/>
                <w:lang w:bidi="ar"/>
              </w:rPr>
              <w:t xml:space="preserve">   </w:t>
            </w:r>
            <w:r>
              <w:rPr>
                <w:rStyle w:val="17"/>
                <w:rFonts w:hint="default"/>
                <w:lang w:bidi="ar"/>
              </w:rPr>
              <w:t>目</w:t>
            </w:r>
          </w:p>
        </w:tc>
        <w:tc>
          <w:tcPr>
            <w:tcW w:w="1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年初结转和结余</w:t>
            </w:r>
          </w:p>
        </w:tc>
        <w:tc>
          <w:tcPr>
            <w:tcW w:w="1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本年收入</w:t>
            </w:r>
          </w:p>
        </w:tc>
        <w:tc>
          <w:tcPr>
            <w:tcW w:w="56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本年支出</w:t>
            </w:r>
          </w:p>
        </w:tc>
        <w:tc>
          <w:tcPr>
            <w:tcW w:w="3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609" w:hRule="atLeast"/>
        </w:trPr>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科目代码</w:t>
            </w: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科目名称</w:t>
            </w: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小计</w:t>
            </w: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基本支出  </w:t>
            </w: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项目支出</w:t>
            </w:r>
          </w:p>
        </w:tc>
        <w:tc>
          <w:tcPr>
            <w:tcW w:w="3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409" w:hRule="atLeast"/>
        </w:trPr>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3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trPr>
        <w:tc>
          <w:tcPr>
            <w:tcW w:w="3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725" w:hRule="atLeast"/>
        </w:trPr>
        <w:tc>
          <w:tcPr>
            <w:tcW w:w="15614"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lang w:bidi="ar"/>
              </w:rPr>
            </w:pPr>
          </w:p>
          <w:p>
            <w:pPr>
              <w:widowControl/>
              <w:jc w:val="left"/>
              <w:textAlignment w:val="center"/>
              <w:rPr>
                <w:rFonts w:ascii="宋体" w:hAnsi="宋体" w:eastAsia="宋体" w:cs="宋体"/>
                <w:color w:val="000000"/>
                <w:kern w:val="0"/>
                <w:sz w:val="24"/>
                <w:szCs w:val="24"/>
                <w:lang w:bidi="ar"/>
              </w:rPr>
            </w:pPr>
            <w:r>
              <w:rPr>
                <w:rFonts w:hint="eastAsia" w:ascii="楷体" w:hAnsi="楷体" w:eastAsia="楷体" w:cs="楷体"/>
                <w:b/>
                <w:bCs/>
                <w:kern w:val="0"/>
                <w:sz w:val="24"/>
                <w:szCs w:val="24"/>
                <w:lang w:bidi="ar"/>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9"/>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color w:val="000000"/>
                <w:kern w:val="0"/>
                <w:sz w:val="22"/>
                <w:szCs w:val="22"/>
                <w:highlight w:val="none"/>
                <w:u w:val="none"/>
                <w:lang w:val="en-US" w:eastAsia="zh-CN" w:bidi="ar"/>
              </w:rPr>
              <w:t>湖南省畜牧兽医研</w:t>
            </w:r>
            <w:r>
              <w:rPr>
                <w:rFonts w:hint="eastAsia" w:ascii="宋体" w:hAnsi="宋体" w:eastAsia="宋体" w:cs="宋体"/>
                <w:i w:val="0"/>
                <w:color w:val="000000"/>
                <w:kern w:val="0"/>
                <w:sz w:val="22"/>
                <w:szCs w:val="22"/>
                <w:u w:val="none"/>
                <w:lang w:val="en-US" w:eastAsia="zh-CN" w:bidi="ar"/>
              </w:rPr>
              <w:t>究所</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项 </w:t>
            </w:r>
            <w:r>
              <w:rPr>
                <w:rFonts w:hint="eastAsia" w:ascii="宋体" w:hAnsi="宋体" w:eastAsia="宋体" w:cs="宋体"/>
                <w:color w:val="000000"/>
                <w:kern w:val="0"/>
                <w:sz w:val="22"/>
                <w:lang w:bidi="ar"/>
              </w:rPr>
              <w:t xml:space="preserve">   </w:t>
            </w:r>
            <w:r>
              <w:rPr>
                <w:rStyle w:val="18"/>
                <w:rFonts w:hint="default"/>
                <w:lang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注：本表反映部门本年度国有资本经营预算财政拨款支出情况。</w:t>
            </w:r>
          </w:p>
          <w:p>
            <w:pPr>
              <w:widowControl/>
              <w:jc w:val="left"/>
              <w:textAlignment w:val="center"/>
              <w:rPr>
                <w:rFonts w:ascii="宋体" w:hAnsi="宋体" w:eastAsia="宋体" w:cs="宋体"/>
                <w:color w:val="000000"/>
                <w:kern w:val="0"/>
                <w:sz w:val="24"/>
                <w:szCs w:val="24"/>
                <w:lang w:bidi="ar"/>
              </w:rPr>
            </w:pPr>
          </w:p>
          <w:p>
            <w:pPr>
              <w:widowControl/>
              <w:jc w:val="left"/>
              <w:textAlignment w:val="center"/>
              <w:rPr>
                <w:rFonts w:ascii="宋体" w:hAnsi="宋体" w:eastAsia="宋体" w:cs="宋体"/>
                <w:color w:val="000000"/>
                <w:kern w:val="0"/>
                <w:sz w:val="24"/>
                <w:szCs w:val="24"/>
                <w:lang w:bidi="ar"/>
              </w:rPr>
            </w:pPr>
            <w:r>
              <w:rPr>
                <w:rFonts w:hint="eastAsia" w:ascii="楷体" w:hAnsi="楷体" w:eastAsia="楷体" w:cs="楷体"/>
                <w:b/>
                <w:bCs/>
                <w:kern w:val="0"/>
                <w:sz w:val="24"/>
                <w:szCs w:val="24"/>
                <w:lang w:bidi="ar"/>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9"/>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lang w:bidi="ar"/>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color w:val="000000"/>
                <w:kern w:val="0"/>
                <w:sz w:val="22"/>
                <w:szCs w:val="22"/>
                <w:highlight w:val="none"/>
                <w:u w:val="none"/>
                <w:lang w:val="en-US" w:eastAsia="zh-CN" w:bidi="ar"/>
              </w:rPr>
              <w:t>湖南省畜牧兽医研究所</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highlight w:val="none"/>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w:t>
            </w:r>
            <w:r>
              <w:rPr>
                <w:rFonts w:hint="eastAsia" w:ascii="宋体" w:hAnsi="宋体" w:eastAsia="宋体" w:cs="宋体"/>
                <w:color w:val="000000"/>
                <w:kern w:val="0"/>
                <w:sz w:val="22"/>
                <w:highlight w:val="none"/>
                <w:lang w:bidi="ar"/>
              </w:rPr>
              <w:br w:type="textWrapping"/>
            </w:r>
            <w:r>
              <w:rPr>
                <w:rFonts w:hint="eastAsia" w:ascii="宋体" w:hAnsi="宋体" w:eastAsia="宋体" w:cs="宋体"/>
                <w:color w:val="000000"/>
                <w:kern w:val="0"/>
                <w:sz w:val="22"/>
                <w:highlight w:val="none"/>
                <w:lang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w:t>
            </w:r>
            <w:r>
              <w:rPr>
                <w:rFonts w:hint="eastAsia" w:ascii="宋体" w:hAnsi="宋体" w:eastAsia="宋体" w:cs="宋体"/>
                <w:color w:val="000000"/>
                <w:kern w:val="0"/>
                <w:sz w:val="22"/>
                <w:highlight w:val="none"/>
                <w:lang w:bidi="ar"/>
              </w:rPr>
              <w:br w:type="textWrapping"/>
            </w:r>
            <w:r>
              <w:rPr>
                <w:rFonts w:hint="eastAsia" w:ascii="宋体" w:hAnsi="宋体" w:eastAsia="宋体" w:cs="宋体"/>
                <w:color w:val="000000"/>
                <w:kern w:val="0"/>
                <w:sz w:val="22"/>
                <w:highlight w:val="none"/>
                <w:lang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w:t>
            </w:r>
            <w:r>
              <w:rPr>
                <w:rFonts w:hint="eastAsia" w:ascii="宋体" w:hAnsi="宋体" w:eastAsia="宋体" w:cs="宋体"/>
                <w:color w:val="000000"/>
                <w:kern w:val="0"/>
                <w:sz w:val="22"/>
                <w:highlight w:val="none"/>
                <w:lang w:bidi="ar"/>
              </w:rPr>
              <w:br w:type="textWrapping"/>
            </w:r>
            <w:r>
              <w:rPr>
                <w:rFonts w:hint="eastAsia" w:ascii="宋体" w:hAnsi="宋体" w:eastAsia="宋体" w:cs="宋体"/>
                <w:color w:val="000000"/>
                <w:kern w:val="0"/>
                <w:sz w:val="22"/>
                <w:highlight w:val="none"/>
                <w:lang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公务用车</w:t>
            </w:r>
            <w:r>
              <w:rPr>
                <w:rFonts w:hint="eastAsia" w:ascii="宋体" w:hAnsi="宋体" w:eastAsia="宋体" w:cs="宋体"/>
                <w:color w:val="000000"/>
                <w:kern w:val="0"/>
                <w:sz w:val="22"/>
                <w:highlight w:val="none"/>
                <w:lang w:bidi="ar"/>
              </w:rPr>
              <w:br w:type="textWrapping"/>
            </w:r>
            <w:r>
              <w:rPr>
                <w:rFonts w:hint="eastAsia" w:ascii="宋体" w:hAnsi="宋体" w:eastAsia="宋体" w:cs="宋体"/>
                <w:color w:val="000000"/>
                <w:kern w:val="0"/>
                <w:sz w:val="22"/>
                <w:highlight w:val="none"/>
                <w:lang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highlight w:val="none"/>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highlight w:val="none"/>
              </w:rPr>
            </w:pPr>
            <w:r>
              <w:rPr>
                <w:rFonts w:hint="eastAsia" w:ascii="宋体" w:hAnsi="宋体" w:eastAsia="宋体" w:cs="宋体"/>
                <w:color w:val="000000"/>
                <w:kern w:val="0"/>
                <w:sz w:val="22"/>
                <w:highlight w:val="none"/>
                <w:lang w:bidi="ar"/>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highlight w:val="none"/>
              </w:rPr>
            </w:pP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hint="eastAsia"/>
              </w:rPr>
            </w:pPr>
            <w:r>
              <w:rPr>
                <w:rFonts w:hint="eastAsia"/>
              </w:rPr>
              <w:t>注：本表反映部门本年度财政拨款“三公”经费支出预决算情况。其中，预算数为“三公”经费全年预算数，反映按规定程序调整后的预算数；决算数是包括当年财政拨款和以前年度结转资金安排的实际支出。</w:t>
            </w:r>
          </w:p>
          <w:p>
            <w:pPr>
              <w:pStyle w:val="2"/>
            </w:pPr>
            <w:r>
              <w:rPr>
                <w:rFonts w:hint="eastAsia" w:ascii="楷体" w:hAnsi="楷体" w:eastAsia="楷体" w:cs="楷体"/>
                <w:b/>
                <w:bCs/>
                <w:kern w:val="0"/>
                <w:sz w:val="24"/>
                <w:szCs w:val="24"/>
                <w:lang w:bidi="ar"/>
              </w:rPr>
              <w:t>说明：我单位没有财政拨款“三公”经费支出，故本表无数据。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ascii="方正小标宋_GBK" w:hAnsi="方正小标宋_GBK" w:eastAsia="方正小标宋_GBK" w:cs="方正小标宋_GBK"/>
          <w:sz w:val="70"/>
          <w:szCs w:val="70"/>
        </w:rPr>
      </w:pPr>
    </w:p>
    <w:p>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widowControl/>
        <w:jc w:val="left"/>
        <w:rPr>
          <w:rFonts w:asciiTheme="minorEastAsia" w:hAnsiTheme="minorEastAsia"/>
          <w:sz w:val="32"/>
          <w:szCs w:val="32"/>
        </w:rPr>
      </w:pPr>
      <w:r>
        <w:rPr>
          <w:rFonts w:hint="eastAsia" w:ascii="方正小标宋_GBK" w:hAnsi="方正小标宋_GBK" w:eastAsia="方正小标宋_GBK" w:cs="方正小标宋_GBK"/>
          <w:sz w:val="70"/>
          <w:szCs w:val="70"/>
        </w:rPr>
        <w:br w:type="page"/>
      </w:r>
    </w:p>
    <w:p>
      <w:pPr>
        <w:pStyle w:val="13"/>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3"/>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rPr>
        <w:t>2023年度收、支总计5383.84万元。与上年相比，增加422.19万元，增长7.84%，主要是因为</w:t>
      </w:r>
      <w:r>
        <w:rPr>
          <w:rFonts w:hint="eastAsia" w:ascii="Times New Roman" w:hAnsi="Times New Roman" w:eastAsia="仿宋_GB2312"/>
          <w:sz w:val="32"/>
          <w:szCs w:val="32"/>
          <w:highlight w:val="none"/>
          <w:lang w:val="en-US" w:eastAsia="zh-CN"/>
        </w:rPr>
        <w:t>年中追加人员经费及</w:t>
      </w:r>
      <w:r>
        <w:rPr>
          <w:rFonts w:hint="eastAsia" w:ascii="Times New Roman" w:hAnsi="Times New Roman" w:eastAsia="仿宋_GB2312"/>
          <w:color w:val="auto"/>
          <w:sz w:val="32"/>
          <w:szCs w:val="32"/>
          <w:highlight w:val="none"/>
        </w:rPr>
        <w:t>其它收入增加等。</w:t>
      </w:r>
    </w:p>
    <w:p>
      <w:pPr>
        <w:pStyle w:val="13"/>
        <w:spacing w:line="600" w:lineRule="exact"/>
        <w:ind w:firstLine="640" w:firstLineChars="200"/>
        <w:rPr>
          <w:rFonts w:hAnsi="黑体"/>
          <w:bCs/>
          <w:sz w:val="32"/>
          <w:szCs w:val="32"/>
        </w:rPr>
      </w:pPr>
      <w:r>
        <w:rPr>
          <w:rFonts w:hint="eastAsia" w:hAnsi="黑体"/>
          <w:bCs/>
          <w:sz w:val="32"/>
          <w:szCs w:val="32"/>
        </w:rPr>
        <w:t>二、收入决算情况说明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2023年度收入合计4228.31万元，其中：财政拨款收入3151.34万元，占74.53%；上级补助收入0万元，占0%；事业收入319.41万元，占7.55%；经营收入0万元，占0%；附属单位上缴收入0万元，占0%；其他收入757.56万元，占17.92%。</w:t>
      </w:r>
    </w:p>
    <w:p>
      <w:pPr>
        <w:pStyle w:val="13"/>
        <w:spacing w:line="600" w:lineRule="exact"/>
        <w:ind w:firstLine="640" w:firstLineChars="200"/>
        <w:rPr>
          <w:rFonts w:hAnsi="黑体"/>
          <w:bCs/>
          <w:sz w:val="32"/>
          <w:szCs w:val="32"/>
        </w:rPr>
      </w:pPr>
      <w:r>
        <w:rPr>
          <w:rFonts w:hint="eastAsia" w:hAnsi="黑体"/>
          <w:bCs/>
          <w:sz w:val="32"/>
          <w:szCs w:val="32"/>
        </w:rPr>
        <w:t>三、支出决算情况说明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2023年度支出合计3645.94万元，其中：基本支出2504.45万元，占68.69%；项目支出1141.48万元，占31.31%；上缴上级支出0万元，占0%；经营支出0万元，占0%；对附属单位补助支出0万元，占0%。</w:t>
      </w:r>
    </w:p>
    <w:p>
      <w:pPr>
        <w:pStyle w:val="13"/>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3"/>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rPr>
        <w:t xml:space="preserve">    2023年度财政拨款收、支总计3432.78万元，与上年相比，增加41.92万元,增长1.29%，主要是因为</w:t>
      </w:r>
      <w:r>
        <w:rPr>
          <w:rFonts w:hint="eastAsia" w:ascii="Times New Roman" w:hAnsi="Times New Roman" w:eastAsia="仿宋_GB2312"/>
          <w:sz w:val="32"/>
          <w:szCs w:val="32"/>
          <w:highlight w:val="none"/>
          <w:lang w:val="en-US" w:eastAsia="zh-CN"/>
        </w:rPr>
        <w:t>年中追加人员经费及</w:t>
      </w:r>
      <w:r>
        <w:rPr>
          <w:rFonts w:hint="eastAsia" w:ascii="Times New Roman" w:hAnsi="Times New Roman" w:eastAsia="仿宋_GB2312"/>
          <w:color w:val="auto"/>
          <w:sz w:val="32"/>
          <w:szCs w:val="32"/>
          <w:highlight w:val="none"/>
        </w:rPr>
        <w:t>其它收入增加等。</w:t>
      </w:r>
    </w:p>
    <w:p>
      <w:pPr>
        <w:pStyle w:val="13"/>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3"/>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（一）一般公共预算财政拨款支出决算总体情况</w:t>
      </w:r>
    </w:p>
    <w:p>
      <w:pPr>
        <w:pStyle w:val="13"/>
        <w:spacing w:line="600" w:lineRule="exact"/>
        <w:ind w:firstLine="800" w:firstLineChars="250"/>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rPr>
        <w:t>2023年度财政拨款支出3254.16万元，占本年支出合计的89.25%，与上年相比，财政拨款支出增加177.54万元，增长5.46%，主要是因为</w:t>
      </w:r>
      <w:r>
        <w:rPr>
          <w:rFonts w:hint="eastAsia" w:ascii="Times New Roman" w:hAnsi="Times New Roman" w:eastAsia="仿宋_GB2312"/>
          <w:sz w:val="32"/>
          <w:szCs w:val="32"/>
          <w:highlight w:val="none"/>
        </w:rPr>
        <w:t>追加事业单位绩效工资</w:t>
      </w:r>
      <w:r>
        <w:rPr>
          <w:rFonts w:hint="eastAsia" w:ascii="Times New Roman" w:hAnsi="Times New Roman" w:eastAsia="仿宋_GB2312"/>
          <w:sz w:val="32"/>
          <w:szCs w:val="32"/>
          <w:highlight w:val="none"/>
          <w:lang w:eastAsia="zh-CN"/>
        </w:rPr>
        <w:t>。</w:t>
      </w:r>
    </w:p>
    <w:p>
      <w:pPr>
        <w:pStyle w:val="13"/>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（二）一般公共预算财政拨款支出决算结构情况</w:t>
      </w:r>
    </w:p>
    <w:p>
      <w:pPr>
        <w:pStyle w:val="13"/>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2023年度财政拨款支出3254.16万元，主要用于以下方面：一般公共服务（类）支出2.83万元，占0.09%；科学技术（类）支出102万元，占3.13%;农林水（类）支出3149.32万元，占96.78%。</w:t>
      </w:r>
    </w:p>
    <w:p>
      <w:pPr>
        <w:pStyle w:val="13"/>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（三）一般公共预算财政拨款支出决算具体情况</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2023年度财政拨款支出年初预算数为2460.14万元，支出决算数为3254.16万元，完成年初预算的100%，其中：</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1、一般公共服务（类）市场监督管理事务（款）质量基础（项）。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年初预算为0万元，支出决算为2.83万元，决算数大于年初预算数的主要原因是：年中追加标准化资金专项。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2、科学技术支出（类）科学重大项目（款）重点研发计划（项）。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年初预算为50万元，支出决算为102万元，完成年初预算的100%，决算数大于年初预算数的主要原因是：年中追加创新型省份建设专项。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3、农林水支出（类）农业农村（款）行政运行（项）。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年初预算为0万元，支出决算为604.44万元，决算数大于年初预算数的主要原因是：追加事业单位绩效工资补助。</w:t>
      </w:r>
      <w:r>
        <w:rPr>
          <w:rFonts w:ascii="Times New Roman" w:hAnsi="Times New Roman" w:eastAsia="仿宋_GB2312"/>
          <w:sz w:val="32"/>
          <w:szCs w:val="32"/>
        </w:rPr>
        <w:t xml:space="preserve"> </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4、农林水支出（类）农业农村（款）事业运行（项）。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年初预算为1645.9万元，支出决算为1645.9万元，完成年初预算的100%.</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5、农林水支出（类）农业农村（款）科技转化与服务（项）。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年初预算为0万元，支出决算为102.37万元，决算数大于年初预算数的主要原因是：追加重要农产品稳产保供专项。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6、农林水支出（类）农业农村（款）农业生产发展（项）。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年初预算为500万元，支出决算为500万元，完成年初预算的100%。</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7、农林水支出（类）农业农村（款）农业资源保护修复与利用（项）。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年初预算为116.83万元，支出决算为149.21万元，完成年初预算的100%，决算数大于年初预算数的主要原因是：追加国家现代农业产业园及农业产业强镇及农业种质资源保护与利用资金专项。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8、农林水支出（类）农业农村（款）其它农业农村支出（项）。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年初预算为147.41万元，支出决算为147.41万元，完成年初预算的100%。</w:t>
      </w:r>
    </w:p>
    <w:p>
      <w:pPr>
        <w:pStyle w:val="13"/>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2023年度财政拨款基本支出2250.34万元，其中：</w:t>
      </w:r>
    </w:p>
    <w:p>
      <w:pPr>
        <w:pStyle w:val="13"/>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2197.61万元，占基本支出的97.66%,主要包括基本工资、津贴补贴、奖金、伙食补助费、绩效工资、机关事业单位基本养老保险缴费、职工基本医疗保险缴费、其它社会保障缴费、住房公积金、离休费、退休费、抚恤金、生活补助、医疗费补助、奖励金、其它对个人和家庭的补助</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52.73万元，占基本支出的2.34%，主要包括工会经费、福利费</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w:t>
      </w:r>
    </w:p>
    <w:p>
      <w:pPr>
        <w:pStyle w:val="13"/>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“三公”经费财政拨款支出预算为0万元，支出决算为0万元，完成预算的100%，与上年相比减少0.39万元，减少100%,减少的主要原因是无三公经费财政拨款预算安排。其中：</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因公出国（境）费支出预算为0万元，支出决算0万元，与上年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公务接待费支出预算为0万元，支出决算为0万元，与上年相比减少0.39万元，减少100%,减少的主要原因是无公务接待费财政拨款预算安排。</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公务用车购置费支出预算为0万元，支出决算为0万元，与上年</w:t>
      </w:r>
      <w:r>
        <w:rPr>
          <w:rFonts w:hint="eastAsia" w:ascii="Times New Roman" w:hAnsi="Times New Roman" w:eastAsia="仿宋_GB2312"/>
          <w:sz w:val="36"/>
          <w:szCs w:val="36"/>
          <w:lang w:val="en-US" w:eastAsia="zh-CN"/>
        </w:rPr>
        <w:t>持平</w:t>
      </w:r>
      <w:r>
        <w:rPr>
          <w:rFonts w:hint="eastAsia" w:ascii="Times New Roman" w:hAnsi="Times New Roman" w:eastAsia="仿宋_GB2312"/>
          <w:sz w:val="32"/>
          <w:szCs w:val="32"/>
        </w:rPr>
        <w:t>。</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公务用车运行维护费支出预算为0万元，支出决算为0万</w:t>
      </w:r>
      <w:r>
        <w:rPr>
          <w:rFonts w:hint="eastAsia" w:ascii="Times New Roman" w:hAnsi="Times New Roman" w:eastAsia="仿宋_GB2312"/>
          <w:sz w:val="32"/>
          <w:szCs w:val="32"/>
          <w:highlight w:val="none"/>
        </w:rPr>
        <w:t>元，与上年</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rPr>
        <w:t>。</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2023年度“三公”经费财政拨款支出决算中，公务接待费支出决算0万元因公出国（境）费支出决算0万元，公务用车购置费及运行维护费支出决算0万元。其中：</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sz w:val="32"/>
          <w:szCs w:val="32"/>
        </w:rPr>
        <w:t>1、因公出国（境）费支出决算为0万元，全年安排因公出国（境）团组0个，累计0人次</w:t>
      </w:r>
      <w:r>
        <w:rPr>
          <w:rFonts w:hint="eastAsia" w:ascii="楷体" w:hAnsi="楷体" w:eastAsia="楷体" w:cs="楷体"/>
          <w:b/>
          <w:bCs/>
          <w:i/>
          <w:color w:val="auto"/>
          <w:sz w:val="32"/>
          <w:szCs w:val="32"/>
        </w:rPr>
        <w:t>,</w:t>
      </w:r>
      <w:r>
        <w:rPr>
          <w:rFonts w:hint="eastAsia" w:ascii="Times New Roman" w:hAnsi="Times New Roman" w:eastAsia="仿宋_GB2312"/>
          <w:sz w:val="32"/>
          <w:szCs w:val="32"/>
        </w:rPr>
        <w:t>开支内容包括：</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3、公务用车购置费及运行维护费支出决算为0万元，其中：公务用车购置费0万元，更新公务用车0辆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公务用车运行维护费0万元，我单位开支财政拨款的公务用车保有量为2辆。</w:t>
      </w:r>
    </w:p>
    <w:p>
      <w:pPr>
        <w:pStyle w:val="13"/>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3"/>
        <w:spacing w:line="600" w:lineRule="exact"/>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本单位无政府性基金收支</w:t>
      </w:r>
      <w:r>
        <w:rPr>
          <w:rFonts w:hint="eastAsia" w:ascii="Times New Roman" w:hAnsi="Times New Roman" w:eastAsia="仿宋_GB2312"/>
          <w:sz w:val="32"/>
          <w:szCs w:val="32"/>
          <w:lang w:eastAsia="zh-CN"/>
        </w:rPr>
        <w:t>。</w:t>
      </w:r>
    </w:p>
    <w:p>
      <w:pPr>
        <w:pStyle w:val="13"/>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w:t>
      </w:r>
      <w:r>
        <w:rPr>
          <w:rFonts w:hint="eastAsia" w:ascii="Times New Roman" w:hAnsi="Times New Roman" w:eastAsia="仿宋_GB2312"/>
          <w:sz w:val="32"/>
          <w:szCs w:val="32"/>
          <w:lang w:val="en-US" w:eastAsia="zh-CN"/>
        </w:rPr>
        <w:t>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3"/>
        <w:spacing w:line="600" w:lineRule="exact"/>
        <w:ind w:firstLine="640" w:firstLineChars="200"/>
        <w:rPr>
          <w:rFonts w:hAnsi="黑体"/>
          <w:bCs/>
          <w:sz w:val="32"/>
          <w:szCs w:val="32"/>
        </w:rPr>
      </w:pPr>
      <w:r>
        <w:rPr>
          <w:rFonts w:hint="eastAsia" w:hAnsi="黑体"/>
          <w:bCs/>
          <w:sz w:val="32"/>
          <w:szCs w:val="32"/>
        </w:rPr>
        <w:t>十、一般性支出情况说明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2023年本</w:t>
      </w:r>
      <w:r>
        <w:rPr>
          <w:rFonts w:hint="eastAsia" w:ascii="Times New Roman" w:hAnsi="Times New Roman" w:eastAsia="仿宋_GB2312"/>
          <w:sz w:val="32"/>
          <w:szCs w:val="32"/>
          <w:lang w:val="en-US" w:eastAsia="zh-CN"/>
        </w:rPr>
        <w:t>单位</w:t>
      </w:r>
      <w:r>
        <w:rPr>
          <w:rFonts w:hint="eastAsia" w:ascii="Times New Roman" w:hAnsi="Times New Roman" w:eastAsia="仿宋_GB2312"/>
          <w:sz w:val="32"/>
          <w:szCs w:val="32"/>
        </w:rPr>
        <w:t>开支会议费2.29万元，用于召开畜牧兽医研究相关会议，人数131人，主要会议内容如下：</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1、湘南黄牛新遗传资源鉴定申报材料评审会议，1.55万元，人数80人；</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2、基于入库的家禽细管精液冷冻关键技术攻关与培训会，0.2万元，15人；</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3、湖南地方猪种质资源保护技术集成与产业化开发科技成果评价会0.38，18人；</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4、优质湘猪产业集群建设项目验收会，1.7万元，18人。</w:t>
      </w:r>
    </w:p>
    <w:p>
      <w:pPr>
        <w:pStyle w:val="13"/>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开支培训费2.5万元，用于开展2022年度事业单位工作人员培训，人数85人，内容为事业单位工作人员年度培训</w:t>
      </w:r>
      <w:r>
        <w:rPr>
          <w:rFonts w:hint="eastAsia" w:ascii="Times New Roman" w:hAnsi="Times New Roman" w:eastAsia="仿宋_GB2312"/>
          <w:sz w:val="32"/>
          <w:szCs w:val="32"/>
          <w:lang w:eastAsia="zh-CN"/>
        </w:rPr>
        <w:t>。</w:t>
      </w:r>
    </w:p>
    <w:p>
      <w:pPr>
        <w:pStyle w:val="13"/>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3"/>
        <w:spacing w:line="580" w:lineRule="exact"/>
        <w:ind w:firstLine="640" w:firstLineChars="200"/>
        <w:rPr>
          <w:rFonts w:ascii="楷体" w:hAnsi="楷体" w:eastAsia="楷体" w:cs="楷体"/>
          <w:b/>
          <w:bCs/>
          <w:i/>
          <w:color w:val="auto"/>
          <w:sz w:val="32"/>
          <w:szCs w:val="32"/>
          <w:highlight w:val="red"/>
        </w:rPr>
      </w:pPr>
      <w:r>
        <w:rPr>
          <w:rFonts w:hint="eastAsia" w:ascii="Times New Roman" w:hAnsi="Times New Roman" w:eastAsia="仿宋_GB2312"/>
          <w:sz w:val="32"/>
          <w:szCs w:val="32"/>
        </w:rPr>
        <w:t>本</w:t>
      </w:r>
      <w:r>
        <w:rPr>
          <w:rFonts w:hint="eastAsia" w:ascii="Times New Roman" w:hAnsi="Times New Roman" w:eastAsia="仿宋_GB2312"/>
          <w:sz w:val="32"/>
          <w:szCs w:val="32"/>
          <w:lang w:val="en-US" w:eastAsia="zh-CN"/>
        </w:rPr>
        <w:t>单位</w:t>
      </w:r>
      <w:r>
        <w:rPr>
          <w:rFonts w:hint="eastAsia" w:ascii="Times New Roman" w:hAnsi="Times New Roman" w:eastAsia="仿宋_GB2312"/>
          <w:sz w:val="32"/>
          <w:szCs w:val="32"/>
        </w:rPr>
        <w:t>2023年度政府采购支出总额68.31万元，其中：政府采购货物支出0 万元、政府采购工程支出68.31万元、政府采购服务支出0万元。授予中小企业合同金额68.31万元，占政府采购支出总额的100%，其中：授予小微企业合同金额0万元，</w:t>
      </w:r>
      <w:r>
        <w:rPr>
          <w:rFonts w:hint="eastAsia" w:ascii="Times New Roman" w:hAnsi="Times New Roman" w:eastAsia="仿宋_GB2312"/>
          <w:color w:val="auto"/>
          <w:sz w:val="32"/>
          <w:szCs w:val="32"/>
        </w:rPr>
        <w:t>占授予中小企业合同金额的0%。工程采购授予中小企业合同金额占工程支出金额的100%</w:t>
      </w:r>
      <w:r>
        <w:rPr>
          <w:rFonts w:hint="eastAsia" w:ascii="Times New Roman" w:hAnsi="Times New Roman" w:eastAsia="仿宋_GB2312"/>
          <w:color w:val="auto"/>
          <w:sz w:val="32"/>
          <w:szCs w:val="32"/>
          <w:highlight w:val="none"/>
        </w:rPr>
        <w:t>。</w:t>
      </w:r>
    </w:p>
    <w:p>
      <w:pPr>
        <w:pStyle w:val="13"/>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3"/>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单位共有车辆2辆，其中，副部（省）级及以上领导用车0辆、主要负责人用车0辆、机要通信用车0辆、应急保障用车0辆、执法执勤用车0辆、特种专业技术用车0辆、离退休干部服务用车0辆、其他用车0辆，其他用车主要是业务用车；单位价值100万元以上设备（不含车辆）1台（套）。</w:t>
      </w:r>
    </w:p>
    <w:p>
      <w:pPr>
        <w:pStyle w:val="13"/>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3"/>
        <w:numPr>
          <w:ilvl w:val="0"/>
          <w:numId w:val="2"/>
        </w:numPr>
        <w:spacing w:line="580" w:lineRule="exact"/>
        <w:rPr>
          <w:rFonts w:ascii="楷体" w:hAnsi="楷体" w:eastAsia="楷体" w:cs="楷体"/>
          <w:b/>
          <w:bCs/>
          <w:sz w:val="32"/>
          <w:szCs w:val="32"/>
        </w:rPr>
      </w:pPr>
      <w:r>
        <w:rPr>
          <w:rFonts w:hint="eastAsia" w:ascii="楷体" w:hAnsi="楷体" w:eastAsia="楷体" w:cs="楷体"/>
          <w:b/>
          <w:bCs/>
          <w:sz w:val="32"/>
          <w:szCs w:val="32"/>
        </w:rPr>
        <w:t>绩效管理工作开展情况</w:t>
      </w:r>
    </w:p>
    <w:p>
      <w:pPr>
        <w:spacing w:line="600" w:lineRule="exact"/>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我所于20</w:t>
      </w:r>
      <w:r>
        <w:rPr>
          <w:rFonts w:ascii="Times New Roman" w:hAnsi="Times New Roman" w:eastAsia="仿宋_GB2312" w:cs="黑体"/>
          <w:color w:val="000000"/>
          <w:kern w:val="0"/>
          <w:sz w:val="32"/>
          <w:szCs w:val="32"/>
        </w:rPr>
        <w:t>2</w:t>
      </w:r>
      <w:r>
        <w:rPr>
          <w:rFonts w:hint="eastAsia" w:ascii="Times New Roman" w:hAnsi="Times New Roman" w:eastAsia="仿宋_GB2312" w:cs="黑体"/>
          <w:color w:val="000000"/>
          <w:kern w:val="0"/>
          <w:sz w:val="32"/>
          <w:szCs w:val="32"/>
        </w:rPr>
        <w:t>4年成立了20</w:t>
      </w:r>
      <w:r>
        <w:rPr>
          <w:rFonts w:ascii="Times New Roman" w:hAnsi="Times New Roman" w:eastAsia="仿宋_GB2312" w:cs="黑体"/>
          <w:color w:val="000000"/>
          <w:kern w:val="0"/>
          <w:sz w:val="32"/>
          <w:szCs w:val="32"/>
        </w:rPr>
        <w:t>2</w:t>
      </w:r>
      <w:r>
        <w:rPr>
          <w:rFonts w:hint="eastAsia" w:ascii="Times New Roman" w:hAnsi="Times New Roman" w:eastAsia="仿宋_GB2312" w:cs="黑体"/>
          <w:color w:val="000000"/>
          <w:kern w:val="0"/>
          <w:sz w:val="32"/>
          <w:szCs w:val="32"/>
        </w:rPr>
        <w:t>3年度省级财政资金绩效自评工作领导小组，由宋武任组长，周望平、江为民任副组长，各科室（单位）负责人为成员、小组办公室设所计财科，由计财科负责人兼任办公室主任。通过领导小组组织协调、各相关人员的积极配合，顺利完成了自评工作。</w:t>
      </w:r>
    </w:p>
    <w:p>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（二）单位整体支出绩效情况</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在省农业农村厅党组的正确领导下，我所坚持以习近平新时代中国特色社会主义思想为指引，以党建工作为统领，以推动畜牧科技创新为己任，以服务全省畜牧业高质量发展为宗旨，立足科学研究、强化技术推广、改善民生福祉，较好地完成了各项工作任务。</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1、运行成本</w:t>
      </w:r>
    </w:p>
    <w:p>
      <w:pPr>
        <w:pStyle w:val="13"/>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全年财政拨款支出预算数3432.78万元，决算数3254.16万元，执行率94.8%，我单位全年财政拨款整体支出控制在预算范围内。</w:t>
      </w:r>
    </w:p>
    <w:p>
      <w:pPr>
        <w:pStyle w:val="13"/>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人员经费预算数2197.61万元，决算数2197.61万元，公用经费数52.73万元，决算数52.73万元，均控制在预算范围内。</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2、管理效率</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立项经费创新高，成果产出夺丰收。全年共申报国家级、省级科研项目47项，获立项支持19项，到位科研经费964万元。获中国商业联合会科技进步一等奖1项，教育部科技进步二等奖1项，国家级教学成果二等奖1项。申报神农中华农业科技奖1项，省科技进步二等奖1项。申请专利20项，获授权专利12项，其中发明专利2项，实用新型专利10项，授权计算机软件著作权3项。编制农业行业标准1项，省地方标准12项。发表学术论文51篇，其中SCI 13篇，CSCD收录1篇，出版专著2部。</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科学研究全面深入，工作成效亮点突出。养猪研究在地方猪品种选育、基因库建设方面取得突破。湘村黑猪壹号新品系、乡草花猪新品种选育到了第四世代。湘岭猪新品种完成了第三世代的屠宰测定，石门汉唐黑香猪杂交组合完成了屠宰测定试验。广益黑猪新品种即将提交国家畜禽遗传资源委员会审定。开发的地方猪液相芯片已进入最后验证阶段，相关研究水平持续领跑全省。动物营养与家禽研究在家禽饲料配方研发和冷冻精液保存方面保持领先。共开展了16项试验研究，研发饲料配制技术方案5套。研发了高效制作泡沫细管承载框的装置，完成了熏蒸法序冷冻仪软件撰写，建立熟化了基于一步液氮熏蒸法的高性价比鸡冷冻精液制作方案。构建了鸭、鹅精液DMF冷冻技术体系，获国内同行高度认可。兽医兽药研究为全省重大动物疫病防控提供技术支撑。围绕畜禽疫病开展科研和技术服务工作，开展了种鸡场禽白血病净化技术研究与示范，开展了非洲猪瘟检测监测及以奶牛乳房炎源病菌单体药物筛选和效果评估等研究，顺利通过试验室非洲猪瘟检测能力比对试验，持续支撑全省非洲猪瘟等重大动物疫病防控。草业与草食动物研究创造性开展肉牛育种与性控技术研发。完成了我省草食家畜遗传图谱，为申报新资源品种提供有力支撑。积极推进“湘中黑牛”新品种选育工作。持续开展我省地方牛羊资源保护和特异基因挖掘，优化新型家畜性别控制技术，肉牛性控精液有效分离率达到90%，提高了近20%，接近技术中试推广的指标要求。开展新型高产牧草培育、非常规秸秆高效利用和新型添加剂应用研究，丰富了饲草饲料来源。资源化利用研究强化对畜禽废弃物资源化利用的技术保障。开展高效复合微生物菌剂研制、堆肥辅助材料筛选及粪污资源化利用技术的集成研究，筛出蛋白降解和纤维素降解菌株10株，获相关技术参数4个，制定完善堆肥方案2个。对160多家养殖场从源头减量、过程控制、末端利用、粪污处理设施设备等方面开展技术指导，总结集成粪污资源化利用配套技术2套，已在部分养殖场推广应用。</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科技服务不断深入，产学研结合亮点突出。年内先后与10家企业签订产学研合作协议。与全省90%以上的大中型畜禽养殖企业均有紧密联系，先后组织专家团队赴全省开展现场技术指导200多次。利用省养猪协会、省牛羊产业协会、省奶业协会、省家禽协会等平台，不断丰富服务形式和服务内容，提升服务成效。</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抓好资源普查工作，加快畜禽种质资源库建设。负责普查的所有畜禽品种均已完成面上普查任务，正在撰写品种志书。主持的3个新发现畜禽遗传资源均已通过省级评审，其中“湘南黄牛”和“武雪山羊”申报材料已报送至农业农村部。指导炎陵县开展酃县白鹅抢救性保护工作，群体规模恢复到2000羽。向农业部提交资源调查报告8份，畜禽品种资源调查表15个，志书5份。组织省级畜禽核心育种场申报、评审以及验收会议4次，指导通过国家级畜禽核心育种场1家，省级畜禽核心育种场4家。</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提高种源数量和质量，深化科技服务能力。推广优质肉牛品改冻精60余万剂，供应品改液氮10万升。组织肉牛品改技术培训班5期，全省家畜繁殖员领军人才培训班3期，培训500余人次，参与全省畜禽养殖技术培训班30多期，培训5000多人次。DHI测定奶牛49806头次，上报中国奶牛数据中心64629条数据，其中有效数据49806条，有效数据率达77.1%。《湖南畜牧兽医》杂志印刷出版6000册，刊发科普文章200多篇。</w:t>
      </w:r>
    </w:p>
    <w:p>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我单位财政拨款项目支出预算执行率为84.89%，项目支出预算执行率较有待提高，一是项目资金拨付时间较晚，二是标准化资金、重要农产品稳产保供等专项未到结题时间。</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改进措施：一是提高预算编制水平，合理地、精准地、科学的编制预算；二是通过定期对项目资金的执行情况进行分析，及时发现项目执行过程中的问题，督促项目早规划、早启动、早实施，项目完成后及时进行结算，以提高单位项目资金的执行效率。</w:t>
      </w:r>
    </w:p>
    <w:p>
      <w:pPr>
        <w:pStyle w:val="2"/>
      </w:pPr>
    </w:p>
    <w:p>
      <w:pPr>
        <w:pStyle w:val="13"/>
        <w:jc w:val="both"/>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both"/>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hint="eastAsia" w:ascii="仿宋" w:hAnsi="仿宋" w:eastAsia="仿宋" w:cs="黑体"/>
          <w:bCs/>
          <w:color w:val="000000"/>
          <w:kern w:val="0"/>
          <w:sz w:val="32"/>
          <w:szCs w:val="32"/>
          <w:lang w:val="en-US" w:eastAsia="zh-CN" w:bidi="ar-SA"/>
        </w:rPr>
      </w:pPr>
      <w:r>
        <w:rPr>
          <w:rFonts w:hint="eastAsia" w:ascii="方正小标宋_GBK" w:hAnsi="方正小标宋_GBK" w:eastAsia="方正小标宋_GBK" w:cs="方正小标宋_GBK"/>
          <w:color w:val="000000"/>
          <w:kern w:val="0"/>
          <w:sz w:val="70"/>
          <w:szCs w:val="70"/>
        </w:rPr>
        <w:br w:type="page"/>
      </w:r>
      <w:r>
        <w:rPr>
          <w:rFonts w:hint="eastAsia" w:ascii="方正小标宋_GBK" w:hAnsi="方正小标宋_GBK" w:eastAsia="方正小标宋_GBK" w:cs="方正小标宋_GBK"/>
          <w:color w:val="000000"/>
          <w:kern w:val="0"/>
          <w:sz w:val="70"/>
          <w:szCs w:val="70"/>
          <w:lang w:val="en-US" w:eastAsia="zh-CN"/>
        </w:rPr>
        <w:t xml:space="preserve">  </w:t>
      </w: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3"/>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jc w:val="left"/>
        <w:rPr>
          <w:rFonts w:cs="黑体" w:asciiTheme="minorEastAsia" w:hAnsiTheme="minorEastAsia"/>
          <w:color w:val="000000"/>
          <w:kern w:val="0"/>
          <w:sz w:val="32"/>
          <w:szCs w:val="3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第五部分</w:t>
      </w:r>
    </w:p>
    <w:p>
      <w:pPr>
        <w:pStyle w:val="13"/>
        <w:jc w:val="center"/>
        <w:rPr>
          <w:sz w:val="72"/>
          <w:szCs w:val="72"/>
        </w:rPr>
      </w:pPr>
    </w:p>
    <w:p>
      <w:pPr>
        <w:pStyle w:val="13"/>
        <w:jc w:val="center"/>
        <w:rPr>
          <w:sz w:val="72"/>
          <w:szCs w:val="72"/>
        </w:rPr>
      </w:pPr>
      <w:r>
        <w:rPr>
          <w:rFonts w:hint="eastAsia"/>
          <w:sz w:val="72"/>
          <w:szCs w:val="72"/>
        </w:rPr>
        <w:t>附 件</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spacing w:line="600" w:lineRule="exact"/>
        <w:ind w:firstLine="640" w:firstLineChars="200"/>
        <w:rPr>
          <w:rFonts w:ascii="楷体" w:hAnsi="楷体" w:eastAsia="楷体" w:cs="楷体"/>
          <w:b/>
          <w:bCs/>
          <w:color w:val="auto"/>
          <w:sz w:val="32"/>
          <w:szCs w:val="32"/>
        </w:rPr>
      </w:pPr>
      <w:bookmarkStart w:id="4" w:name="_GoBack"/>
      <w:bookmarkEnd w:id="4"/>
    </w:p>
    <w:p>
      <w:pPr>
        <w:pStyle w:val="13"/>
        <w:spacing w:line="600" w:lineRule="exact"/>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一、2023年度单位整体支出绩效自评报告。</w:t>
      </w:r>
    </w:p>
    <w:p>
      <w:pPr>
        <w:pStyle w:val="13"/>
        <w:spacing w:line="600" w:lineRule="exact"/>
        <w:ind w:firstLine="640" w:firstLineChars="200"/>
        <w:rPr>
          <w:rFonts w:ascii="楷体" w:hAnsi="楷体" w:eastAsia="楷体" w:cs="楷体"/>
          <w:bCs/>
          <w:color w:val="auto"/>
          <w:sz w:val="32"/>
          <w:szCs w:val="32"/>
        </w:rPr>
      </w:pPr>
    </w:p>
    <w:p>
      <w:pPr>
        <w:adjustRightInd w:val="0"/>
        <w:snapToGrid w:val="0"/>
        <w:spacing w:line="760" w:lineRule="exact"/>
        <w:jc w:val="center"/>
        <w:textAlignment w:val="center"/>
        <w:outlineLvl w:val="0"/>
        <w:rPr>
          <w:rFonts w:ascii="Times New Roman" w:hAnsi="Times New Roman" w:eastAsia="方正小标宋简体" w:cs="Times New Roman"/>
          <w:bCs/>
          <w:kern w:val="28"/>
          <w:sz w:val="44"/>
          <w:szCs w:val="32"/>
        </w:rPr>
      </w:pPr>
      <w:r>
        <w:rPr>
          <w:rFonts w:hint="eastAsia" w:ascii="Times New Roman" w:hAnsi="Times New Roman" w:eastAsia="方正小标宋简体" w:cs="Times New Roman"/>
          <w:bCs/>
          <w:kern w:val="28"/>
          <w:sz w:val="44"/>
          <w:szCs w:val="32"/>
        </w:rPr>
        <w:t>湖南省畜牧兽医研究所</w:t>
      </w:r>
    </w:p>
    <w:p>
      <w:pPr>
        <w:adjustRightInd w:val="0"/>
        <w:snapToGrid w:val="0"/>
        <w:spacing w:line="760" w:lineRule="exact"/>
        <w:jc w:val="center"/>
        <w:textAlignment w:val="center"/>
        <w:outlineLvl w:val="0"/>
        <w:rPr>
          <w:rFonts w:ascii="Times New Roman" w:hAnsi="Times New Roman" w:eastAsia="方正小标宋简体" w:cs="Times New Roman"/>
          <w:kern w:val="28"/>
          <w:sz w:val="44"/>
          <w:szCs w:val="32"/>
        </w:rPr>
      </w:pPr>
      <w:r>
        <w:rPr>
          <w:rFonts w:hint="eastAsia" w:ascii="Times New Roman" w:hAnsi="Times New Roman" w:eastAsia="方正小标宋简体" w:cs="Times New Roman"/>
          <w:kern w:val="28"/>
          <w:sz w:val="44"/>
          <w:szCs w:val="32"/>
        </w:rPr>
        <w:t>2023</w:t>
      </w:r>
      <w:r>
        <w:rPr>
          <w:rFonts w:ascii="Times New Roman" w:hAnsi="Times New Roman" w:eastAsia="方正小标宋简体" w:cs="Times New Roman"/>
          <w:kern w:val="28"/>
          <w:sz w:val="44"/>
          <w:szCs w:val="32"/>
        </w:rPr>
        <w:t>年</w:t>
      </w:r>
      <w:r>
        <w:rPr>
          <w:rFonts w:hint="eastAsia" w:ascii="Times New Roman" w:hAnsi="Times New Roman" w:eastAsia="方正小标宋简体" w:cs="Times New Roman"/>
          <w:kern w:val="28"/>
          <w:sz w:val="44"/>
          <w:szCs w:val="32"/>
        </w:rPr>
        <w:t>度</w:t>
      </w:r>
      <w:r>
        <w:rPr>
          <w:rFonts w:ascii="Times New Roman" w:hAnsi="Times New Roman" w:eastAsia="方正小标宋简体" w:cs="Times New Roman"/>
          <w:kern w:val="28"/>
          <w:sz w:val="44"/>
          <w:szCs w:val="32"/>
        </w:rPr>
        <w:t>部门整体支出绩效自评报告</w:t>
      </w:r>
    </w:p>
    <w:p>
      <w:pPr>
        <w:adjustRightInd w:val="0"/>
        <w:snapToGrid w:val="0"/>
        <w:spacing w:line="596" w:lineRule="atLeast"/>
        <w:textAlignment w:val="center"/>
        <w:rPr>
          <w:rFonts w:eastAsia="仿宋_GB2312"/>
          <w:kern w:val="0"/>
          <w:szCs w:val="32"/>
        </w:rPr>
      </w:pPr>
    </w:p>
    <w:p>
      <w:pPr>
        <w:autoSpaceDE w:val="0"/>
        <w:autoSpaceDN w:val="0"/>
        <w:adjustRightInd w:val="0"/>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为加强财政支出管理，提高财政资金使用效益，根据《中共中央 国务院关于全面实施预算绩效管理的意见》（中发〔2018〕34号）、财政部《财政支出绩效评价管理暂行办法》（财预〔2020〕10号）、《湖南省人民政府关于深化预算管理制度改革的实施意见》（湘政发〔2015〕8号）、《中共湖南省委办公厅 湖南省人民政府办公厅关于全面实施预算绩效管理的实施意见》（湘办发〔2019〕10号）和《湖南省财政厅关于开展2023年度省级预算部门绩效自评和部门评价的通知》（湘财绩〔2024〕1号）等文件，湖南省畜牧兽医研究所于2024年4月至5月对2023年部门整体支出进行了绩效自评，现将自评情况报告如下：</w:t>
      </w:r>
    </w:p>
    <w:p>
      <w:pPr>
        <w:keepNext/>
        <w:spacing w:line="580" w:lineRule="exact"/>
        <w:ind w:firstLine="640"/>
        <w:outlineLvl w:val="0"/>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t>一、部门基本情况</w:t>
      </w:r>
    </w:p>
    <w:p>
      <w:pPr>
        <w:pStyle w:val="13"/>
        <w:spacing w:line="600" w:lineRule="exact"/>
        <w:ind w:firstLine="470" w:firstLineChars="147"/>
        <w:rPr>
          <w:rFonts w:ascii="楷体" w:hAnsi="楷体" w:eastAsia="楷体" w:cs="楷体"/>
          <w:b/>
          <w:bCs/>
          <w:sz w:val="32"/>
          <w:szCs w:val="32"/>
        </w:rPr>
      </w:pPr>
      <w:r>
        <w:rPr>
          <w:rFonts w:hint="eastAsia" w:ascii="楷体" w:hAnsi="楷体" w:eastAsia="楷体" w:cs="楷体"/>
          <w:b/>
          <w:bCs/>
          <w:sz w:val="32"/>
          <w:szCs w:val="32"/>
        </w:rPr>
        <w:t>（一）职责情况</w:t>
      </w:r>
    </w:p>
    <w:p>
      <w:pPr>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湖南省畜牧兽医研究所位于长沙市芙蓉区远大二路，系湖南省农业农村厅下属一类公益事业单位，主要承担全省畜禽遗传育种、动物营养、兽医兽药、畜禽新品种、养殖新技术、畜禽产品加工等方面的工作。</w:t>
      </w:r>
    </w:p>
    <w:p>
      <w:pPr>
        <w:pStyle w:val="13"/>
        <w:spacing w:line="600" w:lineRule="exact"/>
        <w:ind w:firstLine="470" w:firstLineChars="147"/>
        <w:rPr>
          <w:rFonts w:ascii="楷体" w:hAnsi="楷体" w:eastAsia="楷体" w:cs="楷体"/>
          <w:b/>
          <w:bCs/>
          <w:sz w:val="32"/>
          <w:szCs w:val="32"/>
        </w:rPr>
      </w:pPr>
      <w:r>
        <w:rPr>
          <w:rFonts w:hint="eastAsia" w:ascii="楷体" w:hAnsi="楷体" w:eastAsia="楷体" w:cs="楷体"/>
          <w:b/>
          <w:bCs/>
          <w:sz w:val="32"/>
          <w:szCs w:val="32"/>
        </w:rPr>
        <w:t>（二）机构情况</w:t>
      </w:r>
    </w:p>
    <w:p>
      <w:pPr>
        <w:ind w:firstLine="640" w:firstLineChars="200"/>
        <w:jc w:val="lef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所内设机构包括：办公室、人事科、计财科、后勤中心、养猪研究室、动物营养研究室、兽医兽药研究室、资源化利用研究室、草业与草食动物研究室、信息资料研究室、良种牛繁育中心、奶牛原种场、科技开发服务中心等13个科室、部门。</w:t>
      </w:r>
    </w:p>
    <w:p>
      <w:pPr>
        <w:spacing w:line="560" w:lineRule="exact"/>
        <w:ind w:firstLine="470" w:firstLineChars="147"/>
        <w:outlineLvl w:val="1"/>
        <w:rPr>
          <w:rFonts w:eastAsia="楷体_GB2312"/>
          <w:b/>
          <w:sz w:val="32"/>
          <w:szCs w:val="32"/>
        </w:rPr>
      </w:pPr>
      <w:r>
        <w:rPr>
          <w:rFonts w:hint="eastAsia" w:eastAsia="楷体_GB2312"/>
          <w:b/>
          <w:sz w:val="32"/>
          <w:szCs w:val="32"/>
        </w:rPr>
        <w:t>（三）</w:t>
      </w:r>
      <w:r>
        <w:rPr>
          <w:rFonts w:eastAsia="楷体_GB2312"/>
          <w:b/>
          <w:sz w:val="32"/>
          <w:szCs w:val="32"/>
        </w:rPr>
        <w:t>人员情况</w:t>
      </w:r>
    </w:p>
    <w:p>
      <w:pPr>
        <w:adjustRightInd w:val="0"/>
        <w:snapToGrid w:val="0"/>
        <w:spacing w:line="560" w:lineRule="exact"/>
        <w:ind w:firstLine="640" w:firstLineChars="200"/>
        <w:textAlignment w:val="center"/>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eastAsia="仿宋_GB2312" w:cs="Times New Roman"/>
          <w:sz w:val="32"/>
          <w:szCs w:val="32"/>
        </w:rPr>
        <w:t>3</w:t>
      </w:r>
      <w:r>
        <w:rPr>
          <w:rFonts w:ascii="Times New Roman" w:hAnsi="Times New Roman" w:eastAsia="仿宋_GB2312" w:cs="Times New Roman"/>
          <w:sz w:val="32"/>
          <w:szCs w:val="32"/>
        </w:rPr>
        <w:t>年末</w:t>
      </w:r>
      <w:r>
        <w:rPr>
          <w:rFonts w:hint="eastAsia" w:ascii="Times New Roman" w:hAnsi="Times New Roman" w:eastAsia="仿宋_GB2312" w:cs="Times New Roman"/>
          <w:sz w:val="32"/>
          <w:szCs w:val="32"/>
        </w:rPr>
        <w:t>湖南省畜牧兽医研究所</w:t>
      </w:r>
      <w:r>
        <w:rPr>
          <w:rFonts w:ascii="Times New Roman" w:hAnsi="Times New Roman" w:eastAsia="仿宋_GB2312" w:cs="Times New Roman"/>
          <w:sz w:val="32"/>
          <w:szCs w:val="32"/>
        </w:rPr>
        <w:t>实有编制人</w:t>
      </w:r>
      <w:r>
        <w:rPr>
          <w:rFonts w:hint="eastAsia" w:ascii="Times New Roman" w:hAnsi="Times New Roman" w:eastAsia="仿宋_GB2312" w:cs="Times New Roman"/>
          <w:sz w:val="32"/>
          <w:szCs w:val="32"/>
        </w:rPr>
        <w:t>105人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其中在职86人，离休1人，退休95人。</w:t>
      </w:r>
      <w:bookmarkStart w:id="2" w:name="_Toc4719"/>
      <w:bookmarkStart w:id="3" w:name="_Toc32665"/>
    </w:p>
    <w:p>
      <w:pPr>
        <w:adjustRightInd w:val="0"/>
        <w:snapToGrid w:val="0"/>
        <w:spacing w:line="560" w:lineRule="exact"/>
        <w:ind w:firstLine="640" w:firstLineChars="200"/>
        <w:textAlignment w:val="center"/>
        <w:rPr>
          <w:rFonts w:ascii="Times New Roman" w:hAnsi="Times New Roman" w:eastAsia="黑体" w:cs="Times New Roman"/>
          <w:bCs/>
          <w:kern w:val="44"/>
          <w:sz w:val="32"/>
          <w:szCs w:val="32"/>
        </w:rPr>
      </w:pPr>
      <w:r>
        <w:rPr>
          <w:rFonts w:ascii="Times New Roman" w:hAnsi="Times New Roman" w:eastAsia="黑体" w:cs="Times New Roman"/>
          <w:bCs/>
          <w:kern w:val="44"/>
          <w:sz w:val="32"/>
          <w:szCs w:val="32"/>
        </w:rPr>
        <w:t>二、绩效自评工作开展情况</w:t>
      </w:r>
      <w:bookmarkEnd w:id="2"/>
      <w:bookmarkEnd w:id="3"/>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我所于成立了20</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3年度省级财政资金绩效自评工作领导小组，由宋武任组长，周望平、江为民任副组长，各科室（单位）负责人为成员、小组办公室设所计财科，由计财科负责人兼任办公室主任。通过领导小组组织协调、各相关人员的积极配合，顺利完成了自评工作。</w:t>
      </w:r>
    </w:p>
    <w:p>
      <w:pPr>
        <w:pStyle w:val="2"/>
      </w:pPr>
    </w:p>
    <w:p>
      <w:pPr>
        <w:adjustRightInd w:val="0"/>
        <w:snapToGrid w:val="0"/>
        <w:spacing w:line="560" w:lineRule="exact"/>
        <w:ind w:firstLine="640" w:firstLineChars="200"/>
        <w:textAlignment w:val="center"/>
        <w:rPr>
          <w:rFonts w:ascii="Times New Roman" w:hAnsi="Times New Roman" w:eastAsia="黑体" w:cs="Times New Roman"/>
          <w:bCs/>
          <w:kern w:val="44"/>
          <w:sz w:val="32"/>
          <w:szCs w:val="32"/>
        </w:rPr>
      </w:pPr>
      <w:r>
        <w:rPr>
          <w:rFonts w:hint="eastAsia" w:ascii="Times New Roman" w:hAnsi="Times New Roman" w:eastAsia="黑体" w:cs="Times New Roman"/>
          <w:bCs/>
          <w:kern w:val="44"/>
          <w:sz w:val="32"/>
          <w:szCs w:val="32"/>
        </w:rPr>
        <w:t>三、一般公共预算支出情况</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3年部门预算批复收入为2725.57万元，其中本年预算财政拨款2145.9万元，课题及其他等收入579.67万元，加上年初结转和结余314.24万元。全年支出预算为3039.81万元，其中基本支出1945.57万元，项目支出1094.24万元。</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3年度决算收入4228.31万元，其中财政拨款3151.34万元，其他收入1076.97万元（其中事业类收入319.41万元，其他收入757.56万元），决算总支出为3645.94万元，其中基本支出2504.45万元，项目支出1141.48万元。按经济分类支出，工资福利支出1975.08万元，商品和服务支出1285.87万元，对个人和家庭补助支出367.01万元，资本性支出17.98万元。</w:t>
      </w:r>
    </w:p>
    <w:p>
      <w:pPr>
        <w:spacing w:line="560" w:lineRule="exact"/>
        <w:ind w:firstLine="640"/>
        <w:outlineLvl w:val="0"/>
        <w:rPr>
          <w:rFonts w:ascii="Times New Roman" w:hAnsi="Times New Roman" w:eastAsia="黑体" w:cs="宋体"/>
          <w:kern w:val="0"/>
          <w:sz w:val="32"/>
        </w:rPr>
      </w:pPr>
      <w:r>
        <w:rPr>
          <w:rFonts w:hint="eastAsia" w:ascii="Times New Roman" w:hAnsi="Times New Roman" w:eastAsia="黑体" w:cs="宋体"/>
          <w:kern w:val="0"/>
          <w:sz w:val="32"/>
        </w:rPr>
        <w:t>三、</w:t>
      </w:r>
      <w:r>
        <w:rPr>
          <w:rFonts w:ascii="Times New Roman" w:hAnsi="Times New Roman" w:eastAsia="黑体" w:cs="宋体"/>
          <w:kern w:val="0"/>
          <w:sz w:val="32"/>
        </w:rPr>
        <w:t>部门整体支出绩效情况</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在省农业农村厅党组的正确领导下，我所坚持以习近平新时代中国特色社会主义思想为指引，以党建工作为统领，以推动畜牧科技创新为己任，以服务全省畜牧业高质量发展为宗旨，立足科学研究、强化技术推广、改善民生福祉，较好地完成了各项工作任务。</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立项经费创新高，成果产出夺丰收。全年共申报国家级、省级科研项目47项，获立项支持19项，到位科研经费964万元。获中国商业联合会科技进步一等奖1项，教育部科技进步二等奖1项，国家级教学成果二等奖1项。申报神农中华农业科技奖1项，省科技进步二等奖1项。申请专利20项，获授权专利12项，其中发明专利2项，实用新型专利10项，授权计算机软件著作权3项。编制农业行业标准1项，省地方标准12项。发表学术论文51篇，其中SCI 13篇，CSCD收录1篇，出版专著2部。</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科学研究全面深入，工作成效亮点突出。养猪研究在地方猪品种选育、基因库建设方面取得突破。湘村黑猪壹号新品系、乡草花猪新品种选育到了第四世代。湘岭猪新品种完成了第三世代的屠宰测定，石门汉唐黑香猪杂交组合完成了屠宰测定试验。广益黑猪新品种即将提交国家畜禽遗传资源委员会审定。开发的地方猪液相芯片已进入最后验证阶段，相关研究水平持续领跑全省。动物营养与家禽研究在家禽饲料配方研发和冷冻精液保存方面保持领先。共开展了16项试验研究，研发饲料配制技术方案5套。研发了高效制作泡沫细管承载框的装置，完成了熏蒸法序冷冻仪软件撰写，建立熟化了基于一步液氮熏蒸法的高性价比鸡冷冻精液制作方案。构建了鸭、鹅精液DMF冷冻技术体系，获国内同行高度认可。兽医兽药研究为全省重大动物疫病防控提供技术支撑。围绕畜禽疫病开展科研和技术服务工作，开展了种鸡场禽白血病净化技术研究与示范，开展了非洲猪瘟检测监测及以奶牛乳房炎源病菌单体药物筛选和效果评估等研究，顺利通过试验室非洲猪瘟检测能力比对试验，持续支撑全省非洲猪瘟等重大动物疫病防控。草业与草食动物研究创造性开展肉牛育种与性控技术研发。完成了我省草食家畜遗传图谱，为申报新资源品种提供有力支撑。积极推进“湘中黑牛”新品种选育工作。持续开展我省地方牛羊资源保护和特异基因挖掘，优化新型家畜性别控制技术，肉牛性控精液有效分离率达到90%，提高了近20%，接近技术中试推广的指标要求。开展新型高产牧草培育、非常规秸秆高效利用和新型添加剂应用研究，丰富了饲草饲料来源。资源化利用研究强化对畜禽废弃物资源化利用的技术保障。开展高效复合微生物菌剂研制、堆肥辅助材料筛选及粪污资源化利用技术的集成研究，筛出蛋白降解和纤维素降解菌株10株，获相关技术参数4个，制定完善堆肥方案2个。对160多家养殖场从源头减量、过程控制、末端利用、粪污处理设施设备等方面开展技术指导，总结集成粪污资源化利用配套技术2套，已在部分养殖场推广应用。</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科技服务不断深入，产学研结合亮点突出。年内先后与10家企业签订产学研合作协议。与全省90%以上的大中型畜禽养殖企业均有紧密联系，先后组织专家团队赴全省开展现场技术指导200多次。利用省养猪协会、省牛羊产业协会、省奶业协会、省家禽协会等平台，不断丰富服务形式和服务内容，提升服务成效。</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抓好资源普查工作，加快畜禽种质资源库建设。负责普查的所有畜禽品种均已完成面上普查任务，正在撰写品种志书。主持的3个新发现畜禽遗传资源均已通过省级评审，其中“湘南黄牛”和“武雪山羊”申报材料已报送至农业农村部。指导炎陵县开展酃县白鹅抢救性保护工作，群体规模恢复到2000羽。向农业部提交资源调查报告8份，畜禽品种资源调查表15个，志书5份。组织省级畜禽核心育种场申报、评审以及验收会议4次，指导通过国家级畜禽核心育种场1家，省级畜禽核心育种场4家。</w:t>
      </w:r>
    </w:p>
    <w:p>
      <w:pPr>
        <w:pStyle w:val="13"/>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提高种源数量和质量，深化科技服务能力。推广优质肉牛品改冻精60余万剂，供应品改液氮10万升。组织肉牛品改技术培训班5期，全省家畜繁殖员领军人才培训班3期，培训500余人次，参与全省畜禽养殖技术培训班30多期，培训5000多人次。DHI测定奶牛49806头次，上报中国奶牛数据中心64629条数据，其中有效数据49806条，有效数据率达77.1%。《湖南畜牧兽医》杂志印刷出版6000册，刊发科普文章200多篇。</w:t>
      </w:r>
    </w:p>
    <w:p>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我单位财政拨款项目支出预算执行率为84.89%，项目支出预算执行率较有待提高，一是项目资金拨付时间较晚，二是标准化资金、重要农产品稳产保供等专项未到结题时间。</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改进措施：一是提高预算编制水平，合理地、精准地、科学的编制预算；二是通过定期对项目资金的执行情况进行分析，及时发现项目执行过程中的问题，督促项目早规划、早启动、早实施，项目完成后及时进行结算，以提高单位项目资金的执行效率。</w:t>
      </w:r>
    </w:p>
    <w:p>
      <w:pPr>
        <w:pStyle w:val="2"/>
      </w:pPr>
    </w:p>
    <w:p>
      <w:pPr>
        <w:pStyle w:val="2"/>
      </w:pPr>
    </w:p>
    <w:p>
      <w:pPr>
        <w:pStyle w:val="2"/>
      </w:pPr>
    </w:p>
    <w:p>
      <w:pPr>
        <w:jc w:val="left"/>
        <w:rPr>
          <w:rFonts w:cs="黑体" w:asciiTheme="minorEastAsia" w:hAnsiTheme="minorEastAsia"/>
          <w:color w:val="000000"/>
          <w:kern w:val="0"/>
          <w:sz w:val="32"/>
          <w:szCs w:val="32"/>
        </w:rPr>
        <w:sectPr>
          <w:pgSz w:w="11906" w:h="16838"/>
          <w:pgMar w:top="720" w:right="720" w:bottom="720" w:left="720" w:header="851" w:footer="992" w:gutter="0"/>
          <w:cols w:space="425" w:num="1"/>
          <w:docGrid w:type="linesAndChars" w:linePitch="312" w:charSpace="0"/>
        </w:sectPr>
      </w:pPr>
    </w:p>
    <w:p>
      <w:pPr>
        <w:spacing w:before="156" w:beforeLines="50" w:after="156" w:afterLines="50" w:line="560" w:lineRule="exact"/>
        <w:jc w:val="center"/>
        <w:rPr>
          <w:rFonts w:hint="eastAsia" w:ascii="Calibri" w:hAnsi="Calibri" w:eastAsia="仿宋_GB2312"/>
          <w:kern w:val="0"/>
          <w:sz w:val="24"/>
          <w:szCs w:val="24"/>
        </w:rPr>
      </w:pPr>
      <w:r>
        <w:rPr>
          <w:rFonts w:ascii="方正小标宋_GBK" w:hAnsi="方正小标宋_GBK"/>
          <w:kern w:val="0"/>
          <w:sz w:val="36"/>
          <w:szCs w:val="36"/>
        </w:rPr>
        <w:t>20</w:t>
      </w:r>
      <w:r>
        <w:rPr>
          <w:rFonts w:hint="eastAsia" w:ascii="方正小标宋_GBK" w:hAnsi="方正小标宋_GBK"/>
          <w:kern w:val="0"/>
          <w:sz w:val="36"/>
          <w:szCs w:val="36"/>
        </w:rPr>
        <w:t>23</w:t>
      </w:r>
      <w:r>
        <w:rPr>
          <w:rFonts w:ascii="方正小标宋_GBK" w:hAnsi="方正小标宋_GBK"/>
          <w:kern w:val="0"/>
          <w:sz w:val="36"/>
          <w:szCs w:val="36"/>
        </w:rPr>
        <w:t>年度</w:t>
      </w:r>
      <w:r>
        <w:rPr>
          <w:rFonts w:hint="eastAsia" w:ascii="宋体" w:hAnsi="宋体" w:cs="宋体"/>
          <w:kern w:val="0"/>
          <w:sz w:val="36"/>
          <w:szCs w:val="36"/>
        </w:rPr>
        <w:t>部门整体支出绩效评价基础数据表</w:t>
      </w:r>
    </w:p>
    <w:p>
      <w:pPr>
        <w:widowControl/>
        <w:ind w:left="91"/>
        <w:rPr>
          <w:rFonts w:eastAsia="仿宋_GB2312"/>
          <w:kern w:val="0"/>
          <w:sz w:val="24"/>
          <w:szCs w:val="24"/>
        </w:rPr>
      </w:pPr>
      <w:r>
        <w:rPr>
          <w:rFonts w:eastAsia="仿宋_GB2312"/>
          <w:kern w:val="0"/>
          <w:sz w:val="24"/>
          <w:szCs w:val="24"/>
        </w:rPr>
        <w:t xml:space="preserve">         </w:t>
      </w:r>
      <w:r>
        <w:rPr>
          <w:rFonts w:eastAsia="仿宋_GB2312"/>
          <w:kern w:val="0"/>
          <w:sz w:val="24"/>
          <w:szCs w:val="24"/>
        </w:rPr>
        <w:tab/>
      </w:r>
      <w:r>
        <w:rPr>
          <w:rFonts w:eastAsia="仿宋_GB2312"/>
          <w:kern w:val="0"/>
          <w:sz w:val="24"/>
          <w:szCs w:val="24"/>
        </w:rPr>
        <w:tab/>
      </w:r>
      <w:r>
        <w:rPr>
          <w:rFonts w:eastAsia="仿宋_GB2312"/>
          <w:kern w:val="0"/>
          <w:sz w:val="24"/>
          <w:szCs w:val="24"/>
        </w:rPr>
        <w:tab/>
      </w:r>
      <w:r>
        <w:rPr>
          <w:rFonts w:eastAsia="仿宋_GB2312"/>
          <w:kern w:val="0"/>
          <w:sz w:val="24"/>
          <w:szCs w:val="24"/>
        </w:rPr>
        <w:tab/>
      </w:r>
      <w:r>
        <w:rPr>
          <w:rFonts w:eastAsia="仿宋_GB2312"/>
          <w:kern w:val="0"/>
          <w:sz w:val="24"/>
          <w:szCs w:val="24"/>
        </w:rPr>
        <w:tab/>
      </w:r>
      <w:r>
        <w:rPr>
          <w:rFonts w:eastAsia="仿宋_GB2312"/>
          <w:kern w:val="0"/>
          <w:sz w:val="24"/>
          <w:szCs w:val="24"/>
        </w:rPr>
        <w:tab/>
      </w:r>
    </w:p>
    <w:tbl>
      <w:tblPr>
        <w:tblStyle w:val="9"/>
        <w:tblW w:w="9464"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Layout w:type="fixed"/>
          <w:tblCellMar>
            <w:top w:w="0" w:type="dxa"/>
            <w:left w:w="108" w:type="dxa"/>
            <w:bottom w:w="0" w:type="dxa"/>
            <w:right w:w="108" w:type="dxa"/>
          </w:tblCellMar>
        </w:tblPrEx>
        <w:trPr>
          <w:trHeight w:val="397"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eastAsia="仿宋_GB2312"/>
                <w:kern w:val="0"/>
              </w:rPr>
              <w:t>财政供养人员情况</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20</w:t>
            </w:r>
            <w:r>
              <w:rPr>
                <w:rFonts w:hint="eastAsia" w:eastAsia="仿宋_GB2312"/>
                <w:b/>
                <w:bCs/>
                <w:kern w:val="0"/>
              </w:rPr>
              <w:t>23</w:t>
            </w:r>
            <w:r>
              <w:rPr>
                <w:rFonts w:ascii="仿宋_GB2312" w:eastAsia="仿宋_GB2312"/>
                <w:b/>
                <w:bCs/>
                <w:kern w:val="0"/>
              </w:rPr>
              <w:t>年实际在职人数</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控制率</w:t>
            </w:r>
          </w:p>
        </w:tc>
      </w:tr>
      <w:tr>
        <w:tblPrEx>
          <w:tblLayout w:type="fixed"/>
          <w:tblCellMar>
            <w:top w:w="0" w:type="dxa"/>
            <w:left w:w="108" w:type="dxa"/>
            <w:bottom w:w="0" w:type="dxa"/>
            <w:right w:w="108" w:type="dxa"/>
          </w:tblCellMar>
        </w:tblPrEx>
        <w:trPr>
          <w:trHeight w:val="397"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105</w:t>
            </w:r>
            <w:r>
              <w:rPr>
                <w:rFonts w:eastAsia="仿宋_GB2312"/>
                <w:kern w:val="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86</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81.9%</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eastAsia="仿宋_GB2312"/>
                <w:kern w:val="0"/>
              </w:rPr>
              <w:t>经费控制情况</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20</w:t>
            </w:r>
            <w:r>
              <w:rPr>
                <w:rFonts w:hint="eastAsia" w:eastAsia="仿宋_GB2312"/>
                <w:b/>
                <w:bCs/>
                <w:kern w:val="0"/>
              </w:rPr>
              <w:t>22</w:t>
            </w:r>
            <w:r>
              <w:rPr>
                <w:rFonts w:ascii="仿宋_GB2312" w:eastAsia="仿宋_GB2312"/>
                <w:b/>
                <w:bCs/>
                <w:kern w:val="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20</w:t>
            </w:r>
            <w:r>
              <w:rPr>
                <w:rFonts w:hint="eastAsia" w:eastAsia="仿宋_GB2312"/>
                <w:b/>
                <w:bCs/>
                <w:kern w:val="0"/>
              </w:rPr>
              <w:t>23</w:t>
            </w:r>
            <w:r>
              <w:rPr>
                <w:rFonts w:ascii="仿宋_GB2312" w:eastAsia="仿宋_GB2312"/>
                <w:b/>
                <w:bCs/>
                <w:kern w:val="0"/>
              </w:rPr>
              <w:t>年预算数</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b/>
                <w:bCs/>
                <w:kern w:val="0"/>
                <w:szCs w:val="21"/>
              </w:rPr>
            </w:pPr>
            <w:r>
              <w:rPr>
                <w:rFonts w:eastAsia="仿宋_GB2312"/>
                <w:b/>
                <w:bCs/>
                <w:kern w:val="0"/>
              </w:rPr>
              <w:t>20</w:t>
            </w:r>
            <w:r>
              <w:rPr>
                <w:rFonts w:hint="eastAsia" w:eastAsia="仿宋_GB2312"/>
                <w:b/>
                <w:bCs/>
                <w:kern w:val="0"/>
              </w:rPr>
              <w:t>23</w:t>
            </w:r>
            <w:r>
              <w:rPr>
                <w:rFonts w:ascii="仿宋_GB2312" w:eastAsia="仿宋_GB2312"/>
                <w:b/>
                <w:bCs/>
                <w:kern w:val="0"/>
              </w:rPr>
              <w:t>年决算数</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1</w:t>
            </w:r>
            <w:r>
              <w:rPr>
                <w:rFonts w:ascii="仿宋_GB2312" w:eastAsia="仿宋_GB2312"/>
                <w:kern w:val="0"/>
              </w:rPr>
              <w:t>、公务用车购置和维护经费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2</w:t>
            </w:r>
            <w:r>
              <w:rPr>
                <w:rFonts w:ascii="仿宋_GB2312" w:eastAsia="仿宋_GB2312"/>
                <w:kern w:val="0"/>
              </w:rPr>
              <w:t>、出国经费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3</w:t>
            </w:r>
            <w:r>
              <w:rPr>
                <w:rFonts w:ascii="仿宋_GB2312" w:eastAsia="仿宋_GB2312"/>
                <w:kern w:val="0"/>
              </w:rPr>
              <w:t>、公务接待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0.39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eastAsia="仿宋_GB2312"/>
                <w:kern w:val="0"/>
              </w:rPr>
              <w:t>0</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1353.9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1094.24</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1141.48</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1</w:t>
            </w:r>
            <w:r>
              <w:rPr>
                <w:rFonts w:ascii="仿宋_GB2312" w:eastAsia="仿宋_GB2312"/>
                <w:kern w:val="0"/>
              </w:rPr>
              <w:t>、业务工作专项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2</w:t>
            </w:r>
            <w:r>
              <w:rPr>
                <w:rFonts w:ascii="仿宋_GB2312" w:eastAsia="仿宋_GB2312"/>
                <w:kern w:val="0"/>
              </w:rPr>
              <w:t>、运行维护专项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134.1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280</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137.67</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rPr>
                <w:rFonts w:ascii="Calibri" w:hAnsi="Calibri" w:eastAsia="仿宋_GB2312" w:cs="宋体"/>
                <w:kern w:val="0"/>
                <w:szCs w:val="21"/>
              </w:rPr>
            </w:pPr>
            <w:r>
              <w:rPr>
                <w:rFonts w:hint="eastAsia" w:eastAsia="仿宋_GB2312"/>
                <w:kern w:val="0"/>
              </w:rPr>
              <w:t xml:space="preserve">    3、其它事业发展专项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237.52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146.67</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ind w:firstLine="420" w:firstLineChars="200"/>
              <w:rPr>
                <w:rFonts w:ascii="Calibri" w:hAnsi="Calibri" w:eastAsia="仿宋_GB2312" w:cs="宋体"/>
                <w:kern w:val="0"/>
                <w:szCs w:val="21"/>
              </w:rPr>
            </w:pPr>
            <w:r>
              <w:rPr>
                <w:rFonts w:hint="eastAsia" w:eastAsia="仿宋_GB2312"/>
                <w:kern w:val="0"/>
              </w:rPr>
              <w:t>4</w:t>
            </w:r>
            <w:r>
              <w:rPr>
                <w:rFonts w:eastAsia="仿宋_GB2312"/>
                <w:kern w:val="0"/>
              </w:rPr>
              <w:t>、省级专项资金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982.28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814.24</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857.15</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77.84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32.07</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52.73</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rPr>
                <w:rFonts w:hint="eastAsia" w:eastAsia="仿宋_GB2312"/>
                <w:kern w:val="0"/>
                <w:szCs w:val="21"/>
              </w:rPr>
            </w:pPr>
            <w:r>
              <w:rPr>
                <w:rFonts w:hint="eastAsia" w:eastAsia="仿宋_GB2312"/>
                <w:kern w:val="0"/>
                <w:szCs w:val="21"/>
              </w:rPr>
              <w:t xml:space="preserve">       39.22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kern w:val="0"/>
                <w:szCs w:val="21"/>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eastAsia="仿宋_GB2312"/>
                <w:kern w:val="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hint="eastAsia" w:ascii="Calibri" w:hAnsi="Calibri" w:eastAsia="仿宋_GB2312" w:cs="宋体"/>
                <w:kern w:val="0"/>
                <w:szCs w:val="21"/>
              </w:rPr>
              <w:t>68.31</w:t>
            </w:r>
          </w:p>
        </w:tc>
      </w:tr>
      <w:tr>
        <w:tblPrEx>
          <w:tblLayout w:type="fixed"/>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eastAsia="仿宋_GB2312"/>
                <w:kern w:val="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eastAsia="仿宋_GB2312"/>
                <w:kern w:val="0"/>
              </w:rPr>
              <w:t>　</w:t>
            </w:r>
          </w:p>
        </w:tc>
        <w:tc>
          <w:tcPr>
            <w:tcW w:w="18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eastAsia="仿宋_GB2312"/>
                <w:kern w:val="0"/>
              </w:rPr>
              <w:t>　</w:t>
            </w:r>
          </w:p>
        </w:tc>
      </w:tr>
      <w:tr>
        <w:tblPrEx>
          <w:tblLayout w:type="fixed"/>
          <w:tblCellMar>
            <w:top w:w="0" w:type="dxa"/>
            <w:left w:w="108" w:type="dxa"/>
            <w:bottom w:w="0" w:type="dxa"/>
            <w:right w:w="108" w:type="dxa"/>
          </w:tblCellMar>
        </w:tblPrEx>
        <w:trPr>
          <w:trHeight w:val="837"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eastAsia="仿宋_GB2312"/>
                <w:kern w:val="0"/>
              </w:rPr>
              <w:t>楼堂馆所控制情况</w:t>
            </w:r>
            <w:r>
              <w:rPr>
                <w:rFonts w:eastAsia="仿宋_GB2312"/>
                <w:kern w:val="0"/>
              </w:rPr>
              <w:br w:type="textWrapping"/>
            </w:r>
            <w:r>
              <w:rPr>
                <w:rFonts w:eastAsia="仿宋_GB2312"/>
                <w:kern w:val="0"/>
              </w:rPr>
              <w:t>（20</w:t>
            </w:r>
            <w:r>
              <w:rPr>
                <w:rFonts w:hint="eastAsia" w:eastAsia="仿宋_GB2312"/>
                <w:kern w:val="0"/>
              </w:rPr>
              <w:t>23</w:t>
            </w:r>
            <w:r>
              <w:rPr>
                <w:rFonts w:ascii="仿宋_GB2312" w:eastAsia="仿宋_GB2312"/>
                <w:kern w:val="0"/>
              </w:rPr>
              <w:t>年完工项目）</w:t>
            </w:r>
          </w:p>
        </w:tc>
        <w:tc>
          <w:tcPr>
            <w:tcW w:w="1189"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批复规模</w:t>
            </w:r>
            <w:r>
              <w:rPr>
                <w:rFonts w:eastAsia="仿宋_GB2312"/>
                <w:kern w:val="0"/>
              </w:rPr>
              <w:br w:type="textWrapping"/>
            </w:r>
            <w:r>
              <w:rPr>
                <w:rFonts w:eastAsia="仿宋_GB2312"/>
                <w:kern w:val="0"/>
              </w:rPr>
              <w:t>（</w:t>
            </w:r>
            <w:r>
              <w:rPr>
                <w:kern w:val="0"/>
              </w:rPr>
              <w:t>㎡</w:t>
            </w:r>
            <w:r>
              <w:rPr>
                <w:rFonts w:eastAsia="仿宋_GB2312"/>
                <w:kern w:val="0"/>
              </w:rPr>
              <w:t>）</w:t>
            </w:r>
          </w:p>
        </w:tc>
        <w:tc>
          <w:tcPr>
            <w:tcW w:w="849"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实际规模（</w:t>
            </w:r>
            <w:r>
              <w:rPr>
                <w:kern w:val="0"/>
              </w:rPr>
              <w:t>㎡</w:t>
            </w:r>
            <w:r>
              <w:rPr>
                <w:rFonts w:eastAsia="仿宋_GB2312"/>
                <w:kern w:val="0"/>
              </w:rPr>
              <w:t>）</w:t>
            </w:r>
          </w:p>
        </w:tc>
        <w:tc>
          <w:tcPr>
            <w:tcW w:w="1129"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规模控制率</w:t>
            </w:r>
          </w:p>
        </w:tc>
        <w:tc>
          <w:tcPr>
            <w:tcW w:w="1111"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预算投资（万元）</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实际投资（万元）</w:t>
            </w:r>
          </w:p>
        </w:tc>
        <w:tc>
          <w:tcPr>
            <w:tcW w:w="863" w:type="dxa"/>
            <w:tcBorders>
              <w:top w:val="nil"/>
              <w:left w:val="nil"/>
              <w:bottom w:val="single" w:color="auto" w:sz="4" w:space="0"/>
              <w:right w:val="single" w:color="auto" w:sz="4" w:space="0"/>
            </w:tcBorders>
            <w:noWrap w:val="0"/>
            <w:vAlign w:val="center"/>
          </w:tcPr>
          <w:p>
            <w:pPr>
              <w:widowControl/>
              <w:spacing w:line="240" w:lineRule="exact"/>
              <w:jc w:val="center"/>
              <w:rPr>
                <w:rFonts w:ascii="Calibri" w:hAnsi="Calibri" w:eastAsia="仿宋_GB2312" w:cs="宋体"/>
                <w:kern w:val="0"/>
                <w:szCs w:val="21"/>
              </w:rPr>
            </w:pPr>
            <w:r>
              <w:rPr>
                <w:rFonts w:eastAsia="仿宋_GB2312"/>
                <w:kern w:val="0"/>
              </w:rPr>
              <w:t>投资概算控制率</w:t>
            </w:r>
          </w:p>
        </w:tc>
      </w:tr>
      <w:tr>
        <w:tblPrEx>
          <w:tblLayout w:type="fixed"/>
          <w:tblCellMar>
            <w:top w:w="0" w:type="dxa"/>
            <w:left w:w="108" w:type="dxa"/>
            <w:bottom w:w="0" w:type="dxa"/>
            <w:right w:w="108" w:type="dxa"/>
          </w:tblCellMar>
        </w:tblPrEx>
        <w:trPr>
          <w:trHeight w:val="379"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p>
        </w:tc>
        <w:tc>
          <w:tcPr>
            <w:tcW w:w="1189" w:type="dxa"/>
            <w:tcBorders>
              <w:top w:val="nil"/>
              <w:left w:val="nil"/>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eastAsia="仿宋_GB2312"/>
                <w:kern w:val="0"/>
              </w:rPr>
              <w:t>　</w:t>
            </w:r>
          </w:p>
        </w:tc>
        <w:tc>
          <w:tcPr>
            <w:tcW w:w="849" w:type="dxa"/>
            <w:tcBorders>
              <w:top w:val="nil"/>
              <w:left w:val="nil"/>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w:t>
            </w:r>
          </w:p>
        </w:tc>
        <w:tc>
          <w:tcPr>
            <w:tcW w:w="1129" w:type="dxa"/>
            <w:tcBorders>
              <w:top w:val="nil"/>
              <w:left w:val="nil"/>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w:t>
            </w:r>
          </w:p>
        </w:tc>
        <w:tc>
          <w:tcPr>
            <w:tcW w:w="1111" w:type="dxa"/>
            <w:tcBorders>
              <w:top w:val="nil"/>
              <w:left w:val="nil"/>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w:t>
            </w:r>
          </w:p>
        </w:tc>
        <w:tc>
          <w:tcPr>
            <w:tcW w:w="969" w:type="dxa"/>
            <w:tcBorders>
              <w:top w:val="nil"/>
              <w:left w:val="nil"/>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w:t>
            </w:r>
          </w:p>
        </w:tc>
        <w:tc>
          <w:tcPr>
            <w:tcW w:w="863" w:type="dxa"/>
            <w:tcBorders>
              <w:top w:val="nil"/>
              <w:left w:val="nil"/>
              <w:bottom w:val="single" w:color="auto" w:sz="4" w:space="0"/>
              <w:right w:val="single" w:color="auto" w:sz="4" w:space="0"/>
            </w:tcBorders>
            <w:noWrap w:val="0"/>
            <w:vAlign w:val="center"/>
          </w:tcPr>
          <w:p>
            <w:pPr>
              <w:widowControl/>
              <w:jc w:val="left"/>
              <w:rPr>
                <w:rFonts w:ascii="Calibri" w:hAnsi="Calibri" w:eastAsia="仿宋_GB2312" w:cs="宋体"/>
                <w:kern w:val="0"/>
                <w:szCs w:val="21"/>
              </w:rPr>
            </w:pPr>
            <w:r>
              <w:rPr>
                <w:rFonts w:eastAsia="仿宋_GB2312"/>
                <w:kern w:val="0"/>
              </w:rPr>
              <w:t>　</w:t>
            </w:r>
          </w:p>
        </w:tc>
      </w:tr>
      <w:tr>
        <w:tblPrEx>
          <w:tblLayout w:type="fixed"/>
          <w:tblCellMar>
            <w:top w:w="0" w:type="dxa"/>
            <w:left w:w="108" w:type="dxa"/>
            <w:bottom w:w="0" w:type="dxa"/>
            <w:right w:w="108" w:type="dxa"/>
          </w:tblCellMar>
        </w:tblPrEx>
        <w:trPr>
          <w:trHeight w:val="461"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jc w:val="center"/>
              <w:rPr>
                <w:rFonts w:ascii="Calibri" w:hAnsi="Calibri" w:eastAsia="仿宋_GB2312" w:cs="宋体"/>
                <w:kern w:val="0"/>
                <w:szCs w:val="21"/>
              </w:rPr>
            </w:pPr>
            <w:r>
              <w:rPr>
                <w:rFonts w:eastAsia="仿宋_GB2312"/>
                <w:kern w:val="0"/>
              </w:rPr>
              <w:t>厉行节约保障措施</w:t>
            </w:r>
          </w:p>
        </w:tc>
        <w:tc>
          <w:tcPr>
            <w:tcW w:w="6110" w:type="dxa"/>
            <w:gridSpan w:val="6"/>
            <w:tcBorders>
              <w:top w:val="single" w:color="auto" w:sz="4" w:space="0"/>
              <w:left w:val="nil"/>
              <w:bottom w:val="single" w:color="auto" w:sz="4" w:space="0"/>
              <w:right w:val="single" w:color="000000" w:sz="4" w:space="0"/>
            </w:tcBorders>
            <w:noWrap w:val="0"/>
            <w:vAlign w:val="center"/>
          </w:tcPr>
          <w:p>
            <w:pPr>
              <w:widowControl/>
              <w:jc w:val="center"/>
              <w:rPr>
                <w:rFonts w:ascii="Calibri" w:hAnsi="Calibri" w:eastAsia="仿宋_GB2312" w:cs="宋体"/>
                <w:kern w:val="0"/>
                <w:szCs w:val="21"/>
              </w:rPr>
            </w:pPr>
            <w:r>
              <w:rPr>
                <w:rFonts w:eastAsia="仿宋_GB2312"/>
                <w:kern w:val="0"/>
              </w:rPr>
              <w:t>　</w:t>
            </w:r>
          </w:p>
        </w:tc>
      </w:tr>
    </w:tbl>
    <w:p>
      <w:pPr>
        <w:widowControl/>
        <w:jc w:val="left"/>
        <w:rPr>
          <w:rFonts w:ascii="Calibri" w:hAnsi="Calibri" w:eastAsia="仿宋_GB2312"/>
          <w:kern w:val="0"/>
          <w:sz w:val="22"/>
          <w:szCs w:val="22"/>
        </w:rPr>
      </w:pPr>
      <w:r>
        <w:rPr>
          <w:rFonts w:ascii="仿宋_GB2312" w:eastAsia="仿宋_GB2312"/>
          <w:kern w:val="0"/>
          <w:sz w:val="22"/>
          <w:szCs w:val="22"/>
        </w:rPr>
        <w:t>说明：</w:t>
      </w:r>
    </w:p>
    <w:p>
      <w:pPr>
        <w:widowControl/>
        <w:jc w:val="left"/>
        <w:rPr>
          <w:rFonts w:eastAsia="仿宋_GB2312"/>
          <w:kern w:val="0"/>
          <w:sz w:val="22"/>
          <w:szCs w:val="22"/>
        </w:rPr>
      </w:pPr>
      <w:r>
        <w:rPr>
          <w:rFonts w:hint="eastAsia" w:ascii="仿宋_GB2312" w:eastAsia="仿宋_GB2312"/>
          <w:kern w:val="0"/>
          <w:sz w:val="22"/>
          <w:szCs w:val="22"/>
        </w:rPr>
        <w:t>1、</w:t>
      </w:r>
      <w:r>
        <w:rPr>
          <w:rFonts w:eastAsia="仿宋_GB2312"/>
          <w:kern w:val="0"/>
          <w:sz w:val="22"/>
          <w:szCs w:val="22"/>
        </w:rPr>
        <w:t>“</w:t>
      </w:r>
      <w:r>
        <w:rPr>
          <w:rFonts w:ascii="仿宋_GB2312" w:eastAsia="仿宋_GB2312"/>
          <w:kern w:val="0"/>
          <w:sz w:val="22"/>
          <w:szCs w:val="22"/>
        </w:rPr>
        <w:t>项目支出</w:t>
      </w:r>
      <w:r>
        <w:rPr>
          <w:rFonts w:eastAsia="仿宋_GB2312"/>
          <w:kern w:val="0"/>
          <w:sz w:val="22"/>
          <w:szCs w:val="22"/>
        </w:rPr>
        <w:t>”</w:t>
      </w:r>
      <w:r>
        <w:rPr>
          <w:rFonts w:ascii="仿宋_GB2312" w:eastAsia="仿宋_GB2312"/>
          <w:kern w:val="0"/>
          <w:sz w:val="22"/>
          <w:szCs w:val="22"/>
        </w:rPr>
        <w:t>需要填报基本支出以外的所有项目支出情况，</w:t>
      </w:r>
      <w:r>
        <w:rPr>
          <w:rFonts w:eastAsia="仿宋_GB2312"/>
          <w:kern w:val="0"/>
          <w:sz w:val="22"/>
          <w:szCs w:val="22"/>
        </w:rPr>
        <w:t>“</w:t>
      </w:r>
      <w:r>
        <w:rPr>
          <w:rFonts w:ascii="仿宋_GB2312" w:eastAsia="仿宋_GB2312"/>
          <w:kern w:val="0"/>
          <w:sz w:val="22"/>
          <w:szCs w:val="22"/>
        </w:rPr>
        <w:t>公用经费</w:t>
      </w:r>
      <w:r>
        <w:rPr>
          <w:rFonts w:eastAsia="仿宋_GB2312"/>
          <w:kern w:val="0"/>
          <w:sz w:val="22"/>
          <w:szCs w:val="22"/>
        </w:rPr>
        <w:t>”</w:t>
      </w:r>
      <w:r>
        <w:rPr>
          <w:rFonts w:ascii="仿宋_GB2312" w:eastAsia="仿宋_GB2312"/>
          <w:kern w:val="0"/>
          <w:sz w:val="22"/>
          <w:szCs w:val="22"/>
        </w:rPr>
        <w:t>填报基本支出中的一般商品和服务支出。</w:t>
      </w:r>
    </w:p>
    <w:p>
      <w:pPr>
        <w:widowControl/>
        <w:ind w:firstLine="440"/>
        <w:jc w:val="left"/>
        <w:rPr>
          <w:rFonts w:ascii="仿宋_GB2312" w:eastAsia="仿宋_GB2312"/>
          <w:kern w:val="0"/>
          <w:sz w:val="22"/>
          <w:szCs w:val="22"/>
        </w:rPr>
      </w:pPr>
      <w:r>
        <w:rPr>
          <w:rFonts w:hint="eastAsia" w:ascii="仿宋_GB2312" w:eastAsia="仿宋_GB2312"/>
          <w:kern w:val="0"/>
          <w:sz w:val="22"/>
          <w:szCs w:val="22"/>
        </w:rPr>
        <w:t>2、本表由</w:t>
      </w:r>
      <w:r>
        <w:rPr>
          <w:rFonts w:ascii="仿宋_GB2312" w:eastAsia="仿宋_GB2312"/>
          <w:kern w:val="0"/>
          <w:sz w:val="22"/>
          <w:szCs w:val="22"/>
        </w:rPr>
        <w:t>省农业农村厅</w:t>
      </w:r>
      <w:r>
        <w:rPr>
          <w:rFonts w:hint="eastAsia" w:ascii="仿宋_GB2312" w:eastAsia="仿宋_GB2312"/>
          <w:kern w:val="0"/>
          <w:sz w:val="22"/>
          <w:szCs w:val="22"/>
        </w:rPr>
        <w:t>部门本级和直属单位填写，市、县农业农村局部门不需填写。</w:t>
      </w:r>
    </w:p>
    <w:p>
      <w:pPr>
        <w:pStyle w:val="2"/>
      </w:pPr>
    </w:p>
    <w:p>
      <w:pPr>
        <w:pStyle w:val="3"/>
      </w:pPr>
    </w:p>
    <w:p/>
    <w:p>
      <w:pPr>
        <w:widowControl/>
        <w:spacing w:after="120" w:afterLines="50"/>
        <w:jc w:val="center"/>
        <w:rPr>
          <w:rFonts w:ascii="Times New Roman" w:hAnsi="Times New Roman" w:eastAsia="方正小标宋_GBK"/>
          <w:color w:val="000000"/>
          <w:sz w:val="36"/>
          <w:szCs w:val="36"/>
        </w:rPr>
      </w:pPr>
      <w:r>
        <w:rPr>
          <w:rFonts w:ascii="Times New Roman" w:hAnsi="Times New Roman" w:eastAsia="方正小标宋_GBK"/>
          <w:color w:val="000000"/>
          <w:sz w:val="36"/>
          <w:szCs w:val="36"/>
        </w:rPr>
        <w:t>202</w:t>
      </w:r>
      <w:r>
        <w:rPr>
          <w:rFonts w:hint="eastAsia" w:ascii="Times New Roman" w:hAnsi="Times New Roman" w:eastAsia="方正小标宋_GBK"/>
          <w:color w:val="000000"/>
          <w:sz w:val="36"/>
          <w:szCs w:val="36"/>
        </w:rPr>
        <w:t>3</w:t>
      </w:r>
      <w:r>
        <w:rPr>
          <w:rFonts w:ascii="Times New Roman" w:hAnsi="Times New Roman" w:eastAsia="方正小标宋_GBK"/>
          <w:color w:val="000000"/>
          <w:sz w:val="36"/>
          <w:szCs w:val="36"/>
        </w:rPr>
        <w:t>年</w:t>
      </w:r>
      <w:r>
        <w:rPr>
          <w:rFonts w:hint="eastAsia" w:ascii="Times New Roman" w:hAnsi="Times New Roman" w:eastAsia="方正小标宋_GBK"/>
          <w:color w:val="000000"/>
          <w:sz w:val="36"/>
          <w:szCs w:val="36"/>
        </w:rPr>
        <w:t>度</w:t>
      </w:r>
      <w:r>
        <w:rPr>
          <w:rFonts w:ascii="Times New Roman" w:hAnsi="Times New Roman" w:eastAsia="方正小标宋_GBK"/>
          <w:color w:val="000000"/>
          <w:sz w:val="36"/>
          <w:szCs w:val="36"/>
        </w:rPr>
        <w:t>部门整体支出绩效自评表</w:t>
      </w:r>
    </w:p>
    <w:tbl>
      <w:tblPr>
        <w:tblStyle w:val="9"/>
        <w:tblW w:w="10093" w:type="dxa"/>
        <w:jc w:val="center"/>
        <w:tblInd w:w="0" w:type="dxa"/>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tblPrEx>
          <w:tblLayout w:type="fixed"/>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省级预算部门</w:t>
            </w:r>
            <w:r>
              <w:rPr>
                <w:rFonts w:hint="eastAsia" w:ascii="Times New Roman" w:hAnsi="Times New Roman" w:eastAsia="仿宋_GB2312"/>
                <w:color w:val="000000"/>
                <w:sz w:val="20"/>
                <w:szCs w:val="20"/>
              </w:rPr>
              <w:t>、单位</w:t>
            </w:r>
            <w:r>
              <w:rPr>
                <w:rFonts w:ascii="Times New Roman" w:hAnsi="Times New Roman" w:eastAsia="仿宋_GB2312"/>
                <w:color w:val="000000"/>
                <w:sz w:val="20"/>
                <w:szCs w:val="20"/>
              </w:rPr>
              <w:t>名称</w:t>
            </w:r>
          </w:p>
        </w:tc>
        <w:tc>
          <w:tcPr>
            <w:tcW w:w="730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湖南省畜牧兽医研究所</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年度预</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算申请</w:t>
            </w:r>
            <w:r>
              <w:rPr>
                <w:rFonts w:ascii="Times New Roman" w:hAnsi="Times New Roman" w:eastAsia="仿宋_GB2312"/>
                <w:color w:val="000000"/>
                <w:sz w:val="20"/>
                <w:szCs w:val="20"/>
              </w:rPr>
              <w:br w:type="textWrapping"/>
            </w:r>
            <w:r>
              <w:rPr>
                <w:rFonts w:ascii="Times New Roman" w:hAnsi="Times New Roman" w:eastAsia="仿宋_GB2312"/>
                <w:color w:val="000000"/>
                <w:sz w:val="20"/>
                <w:szCs w:val="20"/>
              </w:rPr>
              <w:t>（万元）</w:t>
            </w:r>
          </w:p>
        </w:tc>
        <w:tc>
          <w:tcPr>
            <w:tcW w:w="2169"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p>
        </w:tc>
        <w:tc>
          <w:tcPr>
            <w:tcW w:w="181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年初预算数</w:t>
            </w:r>
          </w:p>
        </w:tc>
        <w:tc>
          <w:tcPr>
            <w:tcW w:w="118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全年预算数</w:t>
            </w:r>
          </w:p>
        </w:tc>
        <w:tc>
          <w:tcPr>
            <w:tcW w:w="1752"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全年执行数</w:t>
            </w:r>
          </w:p>
        </w:tc>
        <w:tc>
          <w:tcPr>
            <w:tcW w:w="62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分值</w:t>
            </w:r>
          </w:p>
        </w:tc>
        <w:tc>
          <w:tcPr>
            <w:tcW w:w="8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执行率</w:t>
            </w:r>
          </w:p>
        </w:tc>
        <w:tc>
          <w:tcPr>
            <w:tcW w:w="10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自评</w:t>
            </w:r>
            <w:r>
              <w:rPr>
                <w:rFonts w:ascii="Times New Roman" w:hAnsi="Times New Roman" w:eastAsia="仿宋_GB2312"/>
                <w:sz w:val="20"/>
                <w:szCs w:val="20"/>
              </w:rPr>
              <w:t>得分</w:t>
            </w:r>
          </w:p>
        </w:tc>
      </w:tr>
      <w:tr>
        <w:tblPrEx>
          <w:tblLayout w:type="fixed"/>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2169"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color w:val="000000"/>
                <w:sz w:val="20"/>
                <w:szCs w:val="20"/>
              </w:rPr>
              <w:t>年度资金总额</w:t>
            </w:r>
          </w:p>
        </w:tc>
        <w:tc>
          <w:tcPr>
            <w:tcW w:w="181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heme="minorEastAsia" w:hAnsiTheme="minorEastAsia" w:eastAsiaTheme="minorEastAsia"/>
                <w:sz w:val="20"/>
                <w:szCs w:val="20"/>
              </w:rPr>
              <w:t>3039.81</w:t>
            </w:r>
          </w:p>
        </w:tc>
        <w:tc>
          <w:tcPr>
            <w:tcW w:w="118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heme="minorEastAsia" w:hAnsiTheme="minorEastAsia" w:eastAsiaTheme="minorEastAsia"/>
                <w:sz w:val="20"/>
                <w:szCs w:val="20"/>
              </w:rPr>
              <w:t>5383.84</w:t>
            </w:r>
          </w:p>
        </w:tc>
        <w:tc>
          <w:tcPr>
            <w:tcW w:w="1752"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heme="minorEastAsia" w:hAnsiTheme="minorEastAsia" w:eastAsiaTheme="minorEastAsia"/>
                <w:sz w:val="20"/>
                <w:szCs w:val="20"/>
              </w:rPr>
              <w:t>5383.84</w:t>
            </w:r>
          </w:p>
        </w:tc>
        <w:tc>
          <w:tcPr>
            <w:tcW w:w="62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b/>
                <w:bCs/>
                <w:sz w:val="20"/>
                <w:szCs w:val="20"/>
              </w:rPr>
              <w:t>10</w:t>
            </w:r>
          </w:p>
        </w:tc>
        <w:tc>
          <w:tcPr>
            <w:tcW w:w="8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100%</w:t>
            </w:r>
          </w:p>
        </w:tc>
        <w:tc>
          <w:tcPr>
            <w:tcW w:w="10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10</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按收入性质分：</w:t>
            </w:r>
          </w:p>
        </w:tc>
        <w:tc>
          <w:tcPr>
            <w:tcW w:w="4308"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按支出性质分：</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Theme="minorEastAsia"/>
                <w:color w:val="000000"/>
                <w:sz w:val="20"/>
                <w:szCs w:val="20"/>
              </w:rPr>
            </w:pPr>
            <w:r>
              <w:rPr>
                <w:rFonts w:ascii="Times New Roman" w:hAnsi="Times New Roman" w:eastAsia="仿宋_GB2312"/>
                <w:color w:val="000000"/>
                <w:sz w:val="20"/>
                <w:szCs w:val="20"/>
              </w:rPr>
              <w:t xml:space="preserve">  其中：  一般公共预算：</w:t>
            </w:r>
            <w:r>
              <w:rPr>
                <w:rFonts w:hint="eastAsia" w:asciiTheme="minorEastAsia" w:hAnsiTheme="minorEastAsia" w:eastAsiaTheme="minorEastAsia"/>
                <w:color w:val="000000"/>
                <w:sz w:val="20"/>
                <w:szCs w:val="20"/>
              </w:rPr>
              <w:t>5383.84</w:t>
            </w:r>
          </w:p>
        </w:tc>
        <w:tc>
          <w:tcPr>
            <w:tcW w:w="4308"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其中：基本支出：</w:t>
            </w:r>
            <w:r>
              <w:rPr>
                <w:rFonts w:hint="eastAsia" w:asciiTheme="minorEastAsia" w:hAnsiTheme="minorEastAsia" w:eastAsiaTheme="minorEastAsia"/>
                <w:color w:val="000000"/>
                <w:sz w:val="20"/>
                <w:szCs w:val="20"/>
              </w:rPr>
              <w:t>2504.45</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nil"/>
              <w:left w:val="nil"/>
              <w:bottom w:val="single" w:color="auto" w:sz="4" w:space="0"/>
              <w:right w:val="single" w:color="auto" w:sz="4" w:space="0"/>
            </w:tcBorders>
            <w:vAlign w:val="center"/>
          </w:tcPr>
          <w:p>
            <w:pPr>
              <w:widowControl/>
              <w:spacing w:line="240" w:lineRule="exact"/>
              <w:ind w:firstLine="800" w:firstLineChars="4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政府性基金拨款：</w:t>
            </w:r>
          </w:p>
        </w:tc>
        <w:tc>
          <w:tcPr>
            <w:tcW w:w="4308" w:type="dxa"/>
            <w:gridSpan w:val="4"/>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项目支出</w:t>
            </w:r>
            <w:r>
              <w:rPr>
                <w:rFonts w:hint="eastAsia" w:ascii="Times New Roman" w:hAnsi="Times New Roman" w:eastAsia="仿宋_GB2312"/>
                <w:color w:val="000000"/>
                <w:sz w:val="20"/>
                <w:szCs w:val="20"/>
              </w:rPr>
              <w:t>：</w:t>
            </w:r>
            <w:r>
              <w:rPr>
                <w:rFonts w:hint="eastAsia" w:asciiTheme="minorEastAsia" w:hAnsiTheme="minorEastAsia" w:eastAsiaTheme="minorEastAsia"/>
                <w:color w:val="000000"/>
                <w:sz w:val="20"/>
                <w:szCs w:val="20"/>
              </w:rPr>
              <w:t>1141.49</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nil"/>
              <w:left w:val="nil"/>
              <w:bottom w:val="single" w:color="auto" w:sz="4" w:space="0"/>
              <w:right w:val="single" w:color="auto" w:sz="4" w:space="0"/>
            </w:tcBorders>
            <w:vAlign w:val="center"/>
          </w:tcPr>
          <w:p>
            <w:pPr>
              <w:widowControl/>
              <w:spacing w:line="240" w:lineRule="exact"/>
              <w:ind w:left="5596" w:leftChars="665" w:hanging="4200" w:hangingChars="2100"/>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其他资金：</w:t>
            </w:r>
          </w:p>
        </w:tc>
        <w:tc>
          <w:tcPr>
            <w:tcW w:w="4308"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5169" w:type="dxa"/>
            <w:gridSpan w:val="4"/>
            <w:tcBorders>
              <w:top w:val="single" w:color="auto" w:sz="4" w:space="0"/>
              <w:left w:val="nil"/>
              <w:bottom w:val="single" w:color="auto" w:sz="4" w:space="0"/>
              <w:right w:val="single" w:color="000000" w:sz="4" w:space="0"/>
            </w:tcBorders>
            <w:vAlign w:val="center"/>
          </w:tcPr>
          <w:p>
            <w:pPr>
              <w:widowControl/>
              <w:spacing w:line="240" w:lineRule="exact"/>
              <w:rPr>
                <w:rFonts w:hint="eastAsia" w:ascii="Times New Roman" w:hAnsi="Times New Roman" w:eastAsiaTheme="minorEastAsia"/>
                <w:color w:val="000000"/>
                <w:sz w:val="20"/>
                <w:szCs w:val="20"/>
              </w:rPr>
            </w:pPr>
            <w:r>
              <w:rPr>
                <w:rFonts w:hint="eastAsia" w:ascii="Times New Roman" w:hAnsi="Times New Roman" w:eastAsiaTheme="minorEastAsia"/>
                <w:color w:val="000000"/>
                <w:sz w:val="20"/>
                <w:szCs w:val="20"/>
              </w:rPr>
              <w:t>申报科研项目大于40项，</w:t>
            </w:r>
            <w:r>
              <w:rPr>
                <w:rFonts w:hint="eastAsia" w:ascii="Times New Roman" w:hAnsi="Times New Roman" w:eastAsia="仿宋_GB2312"/>
                <w:color w:val="000000"/>
                <w:sz w:val="20"/>
                <w:szCs w:val="20"/>
              </w:rPr>
              <w:t>全省家畜繁殖</w:t>
            </w:r>
            <w:r>
              <w:rPr>
                <w:rFonts w:hint="eastAsia" w:ascii="宋体" w:hAnsi="宋体" w:cs="宋体"/>
                <w:color w:val="000000"/>
                <w:sz w:val="20"/>
                <w:szCs w:val="20"/>
              </w:rPr>
              <w:t>员领军</w:t>
            </w:r>
            <w:r>
              <w:rPr>
                <w:rFonts w:hint="eastAsia" w:ascii="MS Mincho" w:hAnsi="MS Mincho" w:eastAsia="MS Mincho" w:cs="MS Mincho"/>
                <w:color w:val="000000"/>
                <w:sz w:val="20"/>
                <w:szCs w:val="20"/>
              </w:rPr>
              <w:t>人才培</w:t>
            </w:r>
            <w:r>
              <w:rPr>
                <w:rFonts w:hint="eastAsia" w:ascii="宋体" w:hAnsi="宋体" w:cs="宋体"/>
                <w:color w:val="000000"/>
                <w:sz w:val="20"/>
                <w:szCs w:val="20"/>
              </w:rPr>
              <w:t>训</w:t>
            </w:r>
            <w:r>
              <w:rPr>
                <w:rFonts w:hint="eastAsia" w:ascii="MS Mincho" w:hAnsi="MS Mincho" w:eastAsia="MS Mincho" w:cs="MS Mincho"/>
                <w:color w:val="000000"/>
                <w:sz w:val="20"/>
                <w:szCs w:val="20"/>
              </w:rPr>
              <w:t>班</w:t>
            </w:r>
            <w:r>
              <w:rPr>
                <w:rFonts w:hint="eastAsia" w:ascii="Times New Roman" w:hAnsi="Times New Roman" w:eastAsiaTheme="minorEastAsia"/>
                <w:color w:val="000000"/>
                <w:sz w:val="20"/>
                <w:szCs w:val="20"/>
              </w:rPr>
              <w:t>大于3期，</w:t>
            </w:r>
            <w:r>
              <w:rPr>
                <w:rFonts w:hint="eastAsia" w:ascii="宋体" w:hAnsi="宋体" w:cs="宋体"/>
                <w:color w:val="000000"/>
                <w:sz w:val="20"/>
                <w:szCs w:val="20"/>
              </w:rPr>
              <w:t>签订产</w:t>
            </w:r>
            <w:r>
              <w:rPr>
                <w:rFonts w:hint="eastAsia" w:ascii="MS Mincho" w:hAnsi="MS Mincho" w:eastAsia="MS Mincho" w:cs="MS Mincho"/>
                <w:color w:val="000000"/>
                <w:sz w:val="20"/>
                <w:szCs w:val="20"/>
              </w:rPr>
              <w:t>学研合作</w:t>
            </w:r>
            <w:r>
              <w:rPr>
                <w:rFonts w:hint="eastAsia" w:ascii="宋体" w:hAnsi="宋体" w:cs="宋体"/>
                <w:color w:val="000000"/>
                <w:sz w:val="20"/>
                <w:szCs w:val="20"/>
              </w:rPr>
              <w:t>协议</w:t>
            </w:r>
            <w:r>
              <w:rPr>
                <w:rFonts w:hint="eastAsia" w:ascii="MS Mincho" w:hAnsi="MS Mincho" w:eastAsia="MS Mincho" w:cs="MS Mincho"/>
                <w:color w:val="000000"/>
                <w:sz w:val="20"/>
                <w:szCs w:val="20"/>
              </w:rPr>
              <w:t>企</w:t>
            </w:r>
            <w:r>
              <w:rPr>
                <w:rFonts w:hint="eastAsia" w:ascii="宋体" w:hAnsi="宋体" w:cs="宋体"/>
                <w:color w:val="000000"/>
                <w:sz w:val="20"/>
                <w:szCs w:val="20"/>
              </w:rPr>
              <w:t>业</w:t>
            </w:r>
            <w:r>
              <w:rPr>
                <w:rFonts w:hint="eastAsia" w:ascii="MS Mincho" w:hAnsi="MS Mincho" w:eastAsia="MS Mincho" w:cs="MS Mincho"/>
                <w:color w:val="000000"/>
                <w:sz w:val="20"/>
                <w:szCs w:val="20"/>
              </w:rPr>
              <w:t>数</w:t>
            </w:r>
            <w:r>
              <w:rPr>
                <w:rFonts w:hint="eastAsia" w:ascii="Times New Roman" w:hAnsi="Times New Roman" w:eastAsiaTheme="minorEastAsia"/>
                <w:color w:val="000000"/>
                <w:sz w:val="20"/>
                <w:szCs w:val="20"/>
              </w:rPr>
              <w:t>大于10个，</w:t>
            </w:r>
            <w:r>
              <w:rPr>
                <w:rFonts w:hint="eastAsia" w:ascii="Times New Roman" w:hAnsi="Times New Roman" w:eastAsia="仿宋_GB2312"/>
                <w:color w:val="000000"/>
                <w:sz w:val="20"/>
                <w:szCs w:val="20"/>
              </w:rPr>
              <w:t>完善堆肥方案</w:t>
            </w:r>
            <w:r>
              <w:rPr>
                <w:rFonts w:hint="eastAsia" w:ascii="Times New Roman" w:hAnsi="Times New Roman" w:eastAsiaTheme="minorEastAsia"/>
                <w:color w:val="000000"/>
                <w:sz w:val="20"/>
                <w:szCs w:val="20"/>
              </w:rPr>
              <w:t>2个，</w:t>
            </w:r>
            <w:r>
              <w:rPr>
                <w:rFonts w:hint="eastAsia" w:ascii="Times New Roman" w:hAnsi="Times New Roman" w:eastAsia="仿宋_GB2312"/>
                <w:color w:val="000000"/>
                <w:sz w:val="20"/>
                <w:szCs w:val="20"/>
              </w:rPr>
              <w:t>肉牛性控精液有</w:t>
            </w:r>
            <w:r>
              <w:rPr>
                <w:rFonts w:hint="eastAsia" w:ascii="Times New Roman" w:hAnsi="Times New Roman" w:eastAsiaTheme="minorEastAsia"/>
                <w:color w:val="000000"/>
                <w:sz w:val="20"/>
                <w:szCs w:val="20"/>
              </w:rPr>
              <w:t>效分离率大于80%，按时完成</w:t>
            </w:r>
            <w:r>
              <w:rPr>
                <w:rFonts w:ascii="Times New Roman" w:hAnsi="Times New Roman" w:eastAsiaTheme="minorEastAsia"/>
                <w:color w:val="000000"/>
                <w:sz w:val="20"/>
                <w:szCs w:val="20"/>
              </w:rPr>
              <w:t>资源普查工作</w:t>
            </w:r>
            <w:r>
              <w:rPr>
                <w:rFonts w:hint="eastAsia" w:ascii="Times New Roman" w:hAnsi="Times New Roman" w:eastAsiaTheme="minorEastAsia"/>
                <w:color w:val="000000"/>
                <w:sz w:val="20"/>
                <w:szCs w:val="20"/>
              </w:rPr>
              <w:t>，</w:t>
            </w:r>
            <w:r>
              <w:rPr>
                <w:rFonts w:ascii="Times New Roman" w:hAnsi="Times New Roman" w:eastAsiaTheme="minorEastAsia"/>
                <w:color w:val="000000"/>
                <w:sz w:val="20"/>
                <w:szCs w:val="20"/>
              </w:rPr>
              <w:t>到位科研经费</w:t>
            </w:r>
            <w:r>
              <w:rPr>
                <w:rFonts w:hint="eastAsia" w:ascii="Times New Roman" w:hAnsi="Times New Roman" w:eastAsiaTheme="minorEastAsia"/>
                <w:color w:val="000000"/>
                <w:sz w:val="20"/>
                <w:szCs w:val="20"/>
              </w:rPr>
              <w:t>大于900万元，有序开</w:t>
            </w:r>
            <w:r>
              <w:rPr>
                <w:rFonts w:ascii="Times New Roman" w:hAnsi="Times New Roman" w:eastAsiaTheme="minorEastAsia"/>
                <w:color w:val="000000"/>
                <w:sz w:val="20"/>
                <w:szCs w:val="20"/>
              </w:rPr>
              <w:t>展种鸡场禽白血病净化技术研究与示范</w:t>
            </w:r>
            <w:r>
              <w:rPr>
                <w:rFonts w:hint="eastAsia" w:ascii="Times New Roman" w:hAnsi="Times New Roman" w:eastAsiaTheme="minorEastAsia"/>
                <w:color w:val="000000"/>
                <w:sz w:val="20"/>
                <w:szCs w:val="20"/>
              </w:rPr>
              <w:t>，</w:t>
            </w:r>
            <w:r>
              <w:rPr>
                <w:rFonts w:ascii="Times New Roman" w:hAnsi="Times New Roman" w:eastAsiaTheme="minorEastAsia"/>
                <w:color w:val="000000"/>
                <w:sz w:val="20"/>
                <w:szCs w:val="20"/>
              </w:rPr>
              <w:t>通过试验室非洲猪瘟检测能力比对试验</w:t>
            </w:r>
            <w:r>
              <w:rPr>
                <w:rFonts w:hint="eastAsia" w:ascii="Times New Roman" w:hAnsi="Times New Roman" w:eastAsiaTheme="minorEastAsia"/>
                <w:color w:val="000000"/>
                <w:sz w:val="20"/>
                <w:szCs w:val="20"/>
              </w:rPr>
              <w:t>，持续开展我省地方牛羊资源保护和特异基因挖掘，优化新型家畜性别控制技术。</w:t>
            </w:r>
          </w:p>
        </w:tc>
        <w:tc>
          <w:tcPr>
            <w:tcW w:w="4308"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hint="eastAsia" w:ascii="Times New Roman" w:hAnsi="Times New Roman" w:eastAsiaTheme="minorEastAsia"/>
                <w:color w:val="000000"/>
                <w:sz w:val="20"/>
                <w:szCs w:val="20"/>
              </w:rPr>
            </w:pPr>
            <w:r>
              <w:rPr>
                <w:rFonts w:hint="eastAsia" w:ascii="Times New Roman" w:hAnsi="Times New Roman" w:eastAsiaTheme="minorEastAsia"/>
                <w:color w:val="000000"/>
                <w:sz w:val="20"/>
                <w:szCs w:val="20"/>
              </w:rPr>
              <w:t>申报科研项目50项，</w:t>
            </w:r>
            <w:r>
              <w:rPr>
                <w:rFonts w:hint="eastAsia" w:ascii="Times New Roman" w:hAnsi="Times New Roman" w:eastAsia="仿宋_GB2312"/>
                <w:color w:val="000000"/>
                <w:sz w:val="20"/>
                <w:szCs w:val="20"/>
              </w:rPr>
              <w:t>全省家畜繁殖</w:t>
            </w:r>
            <w:r>
              <w:rPr>
                <w:rFonts w:hint="eastAsia" w:ascii="宋体" w:hAnsi="宋体" w:cs="宋体"/>
                <w:color w:val="000000"/>
                <w:sz w:val="20"/>
                <w:szCs w:val="20"/>
              </w:rPr>
              <w:t>员领军</w:t>
            </w:r>
            <w:r>
              <w:rPr>
                <w:rFonts w:hint="eastAsia" w:ascii="MS Mincho" w:hAnsi="MS Mincho" w:eastAsia="MS Mincho" w:cs="MS Mincho"/>
                <w:color w:val="000000"/>
                <w:sz w:val="20"/>
                <w:szCs w:val="20"/>
              </w:rPr>
              <w:t>人才培</w:t>
            </w:r>
            <w:r>
              <w:rPr>
                <w:rFonts w:hint="eastAsia" w:ascii="宋体" w:hAnsi="宋体" w:cs="宋体"/>
                <w:color w:val="000000"/>
                <w:sz w:val="20"/>
                <w:szCs w:val="20"/>
              </w:rPr>
              <w:t>训</w:t>
            </w:r>
            <w:r>
              <w:rPr>
                <w:rFonts w:hint="eastAsia" w:ascii="MS Mincho" w:hAnsi="MS Mincho" w:eastAsia="MS Mincho" w:cs="MS Mincho"/>
                <w:color w:val="000000"/>
                <w:sz w:val="20"/>
                <w:szCs w:val="20"/>
              </w:rPr>
              <w:t>班</w:t>
            </w:r>
            <w:r>
              <w:rPr>
                <w:rFonts w:hint="eastAsia" w:ascii="Times New Roman" w:hAnsi="Times New Roman" w:eastAsiaTheme="minorEastAsia"/>
                <w:color w:val="000000"/>
                <w:sz w:val="20"/>
                <w:szCs w:val="20"/>
              </w:rPr>
              <w:t>3期，</w:t>
            </w:r>
            <w:r>
              <w:rPr>
                <w:rFonts w:hint="eastAsia" w:ascii="宋体" w:hAnsi="宋体" w:cs="宋体"/>
                <w:color w:val="000000"/>
                <w:sz w:val="20"/>
                <w:szCs w:val="20"/>
              </w:rPr>
              <w:t>签订产</w:t>
            </w:r>
            <w:r>
              <w:rPr>
                <w:rFonts w:hint="eastAsia" w:ascii="MS Mincho" w:hAnsi="MS Mincho" w:eastAsia="MS Mincho" w:cs="MS Mincho"/>
                <w:color w:val="000000"/>
                <w:sz w:val="20"/>
                <w:szCs w:val="20"/>
              </w:rPr>
              <w:t>学研合作</w:t>
            </w:r>
            <w:r>
              <w:rPr>
                <w:rFonts w:hint="eastAsia" w:ascii="宋体" w:hAnsi="宋体" w:cs="宋体"/>
                <w:color w:val="000000"/>
                <w:sz w:val="20"/>
                <w:szCs w:val="20"/>
              </w:rPr>
              <w:t>协议</w:t>
            </w:r>
            <w:r>
              <w:rPr>
                <w:rFonts w:hint="eastAsia" w:ascii="MS Mincho" w:hAnsi="MS Mincho" w:eastAsia="MS Mincho" w:cs="MS Mincho"/>
                <w:color w:val="000000"/>
                <w:sz w:val="20"/>
                <w:szCs w:val="20"/>
              </w:rPr>
              <w:t>企</w:t>
            </w:r>
            <w:r>
              <w:rPr>
                <w:rFonts w:hint="eastAsia" w:ascii="宋体" w:hAnsi="宋体" w:cs="宋体"/>
                <w:color w:val="000000"/>
                <w:sz w:val="20"/>
                <w:szCs w:val="20"/>
              </w:rPr>
              <w:t>业</w:t>
            </w:r>
            <w:r>
              <w:rPr>
                <w:rFonts w:hint="eastAsia" w:ascii="MS Mincho" w:hAnsi="MS Mincho" w:eastAsia="MS Mincho" w:cs="MS Mincho"/>
                <w:color w:val="000000"/>
                <w:sz w:val="20"/>
                <w:szCs w:val="20"/>
              </w:rPr>
              <w:t>数</w:t>
            </w:r>
            <w:r>
              <w:rPr>
                <w:rFonts w:hint="eastAsia" w:ascii="Times New Roman" w:hAnsi="Times New Roman" w:eastAsiaTheme="minorEastAsia"/>
                <w:color w:val="000000"/>
                <w:sz w:val="20"/>
                <w:szCs w:val="20"/>
              </w:rPr>
              <w:t>10个，</w:t>
            </w:r>
            <w:r>
              <w:rPr>
                <w:rFonts w:hint="eastAsia" w:ascii="Times New Roman" w:hAnsi="Times New Roman" w:eastAsia="仿宋_GB2312"/>
                <w:color w:val="000000"/>
                <w:sz w:val="20"/>
                <w:szCs w:val="20"/>
              </w:rPr>
              <w:t>完善堆肥方案</w:t>
            </w:r>
            <w:r>
              <w:rPr>
                <w:rFonts w:hint="eastAsia" w:ascii="Times New Roman" w:hAnsi="Times New Roman" w:eastAsiaTheme="minorEastAsia"/>
                <w:color w:val="000000"/>
                <w:sz w:val="20"/>
                <w:szCs w:val="20"/>
              </w:rPr>
              <w:t>2个，</w:t>
            </w:r>
            <w:r>
              <w:rPr>
                <w:rFonts w:hint="eastAsia" w:ascii="Times New Roman" w:hAnsi="Times New Roman" w:eastAsia="仿宋_GB2312"/>
                <w:color w:val="000000"/>
                <w:sz w:val="20"/>
                <w:szCs w:val="20"/>
              </w:rPr>
              <w:t>肉牛性控精液有</w:t>
            </w:r>
            <w:r>
              <w:rPr>
                <w:rFonts w:hint="eastAsia" w:ascii="Times New Roman" w:hAnsi="Times New Roman" w:eastAsiaTheme="minorEastAsia"/>
                <w:color w:val="000000"/>
                <w:sz w:val="20"/>
                <w:szCs w:val="20"/>
              </w:rPr>
              <w:t>效分离率90%，按时完成</w:t>
            </w:r>
            <w:r>
              <w:rPr>
                <w:rFonts w:ascii="Times New Roman" w:hAnsi="Times New Roman" w:eastAsiaTheme="minorEastAsia"/>
                <w:color w:val="000000"/>
                <w:sz w:val="20"/>
                <w:szCs w:val="20"/>
              </w:rPr>
              <w:t>资源普查工作</w:t>
            </w:r>
            <w:r>
              <w:rPr>
                <w:rFonts w:hint="eastAsia" w:ascii="Times New Roman" w:hAnsi="Times New Roman" w:eastAsiaTheme="minorEastAsia"/>
                <w:color w:val="000000"/>
                <w:sz w:val="20"/>
                <w:szCs w:val="20"/>
              </w:rPr>
              <w:t>，</w:t>
            </w:r>
            <w:r>
              <w:rPr>
                <w:rFonts w:ascii="Times New Roman" w:hAnsi="Times New Roman" w:eastAsiaTheme="minorEastAsia"/>
                <w:color w:val="000000"/>
                <w:sz w:val="20"/>
                <w:szCs w:val="20"/>
              </w:rPr>
              <w:t>到位科研经费</w:t>
            </w:r>
            <w:r>
              <w:rPr>
                <w:rFonts w:hint="eastAsia" w:ascii="Times New Roman" w:hAnsi="Times New Roman" w:eastAsiaTheme="minorEastAsia"/>
                <w:color w:val="000000"/>
                <w:sz w:val="20"/>
                <w:szCs w:val="20"/>
              </w:rPr>
              <w:t>964万元，有序开</w:t>
            </w:r>
            <w:r>
              <w:rPr>
                <w:rFonts w:ascii="Times New Roman" w:hAnsi="Times New Roman" w:eastAsiaTheme="minorEastAsia"/>
                <w:color w:val="000000"/>
                <w:sz w:val="20"/>
                <w:szCs w:val="20"/>
              </w:rPr>
              <w:t>展种鸡场禽白血病净化技术研究与示范</w:t>
            </w:r>
            <w:r>
              <w:rPr>
                <w:rFonts w:hint="eastAsia" w:ascii="Times New Roman" w:hAnsi="Times New Roman" w:eastAsiaTheme="minorEastAsia"/>
                <w:color w:val="000000"/>
                <w:sz w:val="20"/>
                <w:szCs w:val="20"/>
              </w:rPr>
              <w:t>，</w:t>
            </w:r>
            <w:r>
              <w:rPr>
                <w:rFonts w:ascii="Times New Roman" w:hAnsi="Times New Roman" w:eastAsiaTheme="minorEastAsia"/>
                <w:color w:val="000000"/>
                <w:sz w:val="20"/>
                <w:szCs w:val="20"/>
              </w:rPr>
              <w:t>通过试验室非洲猪瘟检测能力比对试验</w:t>
            </w:r>
            <w:r>
              <w:rPr>
                <w:rFonts w:hint="eastAsia" w:ascii="Times New Roman" w:hAnsi="Times New Roman" w:eastAsiaTheme="minorEastAsia"/>
                <w:color w:val="000000"/>
                <w:sz w:val="20"/>
                <w:szCs w:val="20"/>
              </w:rPr>
              <w:t>，持续开展我省地方牛羊资源保护和特异基因挖掘，优化新型家畜性别控制技术。</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绩</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标</w:t>
            </w:r>
          </w:p>
          <w:p>
            <w:pPr>
              <w:widowControl/>
              <w:spacing w:line="240" w:lineRule="exact"/>
              <w:jc w:val="center"/>
              <w:rPr>
                <w:rFonts w:ascii="Times New Roman" w:hAnsi="Times New Roman" w:eastAsia="仿宋_GB2312"/>
                <w:color w:val="000000"/>
                <w:sz w:val="20"/>
                <w:szCs w:val="20"/>
              </w:rPr>
            </w:pPr>
          </w:p>
        </w:tc>
        <w:tc>
          <w:tcPr>
            <w:tcW w:w="102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一级指标</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二级指标</w:t>
            </w:r>
          </w:p>
        </w:tc>
        <w:tc>
          <w:tcPr>
            <w:tcW w:w="181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三级指标</w:t>
            </w:r>
          </w:p>
        </w:tc>
        <w:tc>
          <w:tcPr>
            <w:tcW w:w="1187"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000000"/>
                <w:sz w:val="20"/>
                <w:szCs w:val="20"/>
              </w:rPr>
            </w:pPr>
            <w:r>
              <w:rPr>
                <w:rFonts w:ascii="Times New Roman" w:hAnsi="Times New Roman" w:eastAsia="仿宋_GB2312"/>
                <w:color w:val="000000"/>
                <w:sz w:val="20"/>
                <w:szCs w:val="20"/>
              </w:rPr>
              <w:t>年度指标值</w:t>
            </w:r>
          </w:p>
        </w:tc>
        <w:tc>
          <w:tcPr>
            <w:tcW w:w="1752"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000000"/>
                <w:sz w:val="20"/>
                <w:szCs w:val="20"/>
              </w:rPr>
            </w:pPr>
            <w:r>
              <w:rPr>
                <w:rFonts w:ascii="Times New Roman" w:hAnsi="Times New Roman" w:eastAsia="仿宋_GB2312"/>
                <w:color w:val="000000"/>
                <w:sz w:val="20"/>
                <w:szCs w:val="20"/>
              </w:rPr>
              <w:t>实际完成值</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分值</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16"/>
                <w:szCs w:val="16"/>
              </w:rPr>
              <w:t>自评</w:t>
            </w:r>
            <w:r>
              <w:rPr>
                <w:rFonts w:ascii="Times New Roman" w:hAnsi="Times New Roman" w:eastAsia="仿宋_GB2312"/>
                <w:color w:val="000000"/>
                <w:sz w:val="16"/>
                <w:szCs w:val="16"/>
              </w:rPr>
              <w:t>得分</w:t>
            </w:r>
          </w:p>
        </w:tc>
        <w:tc>
          <w:tcPr>
            <w:tcW w:w="1044"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000000"/>
                <w:sz w:val="20"/>
                <w:szCs w:val="20"/>
              </w:rPr>
            </w:pPr>
            <w:r>
              <w:rPr>
                <w:rFonts w:ascii="Times New Roman" w:hAnsi="Times New Roman" w:eastAsia="仿宋_GB2312"/>
                <w:color w:val="000000"/>
                <w:sz w:val="20"/>
                <w:szCs w:val="20"/>
              </w:rPr>
              <w:t>偏差原因分析及改进措施</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产出指标</w:t>
            </w:r>
          </w:p>
          <w:p>
            <w:pPr>
              <w:widowControl/>
              <w:spacing w:line="240" w:lineRule="exact"/>
              <w:jc w:val="center"/>
              <w:rPr>
                <w:rFonts w:ascii="Times New Roman" w:hAnsi="Times New Roman" w:eastAsia="仿宋_GB2312"/>
                <w:color w:val="000000"/>
                <w:sz w:val="20"/>
                <w:szCs w:val="20"/>
              </w:rPr>
            </w:pP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(50分)</w:t>
            </w:r>
          </w:p>
        </w:tc>
        <w:tc>
          <w:tcPr>
            <w:tcW w:w="1140"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数量指标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申报国家级、省级科研项目</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Arial" w:hAnsi="Arial" w:eastAsia="仿宋_GB2312" w:cs="Arial"/>
                <w:color w:val="000000"/>
                <w:sz w:val="20"/>
                <w:szCs w:val="20"/>
              </w:rPr>
              <w:t>≥</w:t>
            </w:r>
            <w:r>
              <w:rPr>
                <w:rFonts w:hint="eastAsia" w:ascii="Times New Roman" w:hAnsi="Times New Roman" w:eastAsia="仿宋_GB2312"/>
                <w:color w:val="000000"/>
                <w:sz w:val="20"/>
                <w:szCs w:val="20"/>
              </w:rPr>
              <w:t>40项</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47项</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140"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全省家畜繁殖员领军人才培训班</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3期</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3期</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140"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签订产学研合作协议企业数</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10个</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10个</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140"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完善堆肥方案</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2个</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Arial" w:hAnsi="Arial" w:eastAsia="仿宋_GB2312" w:cs="Arial"/>
                <w:color w:val="000000"/>
                <w:sz w:val="20"/>
                <w:szCs w:val="20"/>
              </w:rPr>
            </w:pPr>
            <w:r>
              <w:rPr>
                <w:rFonts w:hint="eastAsia" w:ascii="Arial" w:hAnsi="Arial" w:eastAsia="仿宋_GB2312" w:cs="Arial"/>
                <w:color w:val="000000"/>
                <w:sz w:val="20"/>
                <w:szCs w:val="20"/>
              </w:rPr>
              <w:t>2个</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140"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肉牛性控精液有效分离率</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Arial" w:hAnsi="Arial" w:eastAsia="仿宋_GB2312" w:cs="Arial"/>
                <w:color w:val="000000"/>
                <w:sz w:val="20"/>
                <w:szCs w:val="20"/>
              </w:rPr>
              <w:t>≥</w:t>
            </w:r>
            <w:r>
              <w:rPr>
                <w:rFonts w:hint="eastAsia" w:ascii="Arial" w:hAnsi="Arial" w:eastAsia="仿宋_GB2312" w:cs="Arial"/>
                <w:color w:val="000000"/>
                <w:sz w:val="20"/>
                <w:szCs w:val="20"/>
              </w:rPr>
              <w:t>80%</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Arial" w:hAnsi="Arial" w:eastAsia="仿宋_GB2312" w:cs="Arial"/>
                <w:color w:val="000000"/>
                <w:sz w:val="20"/>
                <w:szCs w:val="20"/>
              </w:rPr>
              <w:t>90%</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1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质量指标</w:t>
            </w:r>
          </w:p>
        </w:tc>
        <w:tc>
          <w:tcPr>
            <w:tcW w:w="181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完成我省草食家畜遗传图谱</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7</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140"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时效指标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按时完成</w:t>
            </w:r>
            <w:r>
              <w:rPr>
                <w:rFonts w:ascii="Times New Roman" w:hAnsi="Times New Roman" w:eastAsia="仿宋_GB2312"/>
                <w:color w:val="000000"/>
                <w:sz w:val="20"/>
                <w:szCs w:val="20"/>
              </w:rPr>
              <w:t>资源普查工作</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按时完成</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按时完成</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restart"/>
            <w:tcBorders>
              <w:top w:val="single" w:color="auto" w:sz="4" w:space="0"/>
              <w:left w:val="nil"/>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效益指标</w:t>
            </w:r>
          </w:p>
          <w:p>
            <w:pPr>
              <w:widowControl/>
              <w:spacing w:line="240" w:lineRule="exact"/>
              <w:jc w:val="left"/>
              <w:rPr>
                <w:rFonts w:ascii="Times New Roman" w:hAnsi="Times New Roman" w:eastAsia="仿宋_GB2312"/>
                <w:color w:val="000000"/>
                <w:sz w:val="20"/>
                <w:szCs w:val="20"/>
              </w:rPr>
            </w:pPr>
          </w:p>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（30分）</w:t>
            </w:r>
          </w:p>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1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经济效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到位科研经费</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Arial" w:hAnsi="Arial" w:eastAsia="仿宋_GB2312" w:cs="Arial"/>
                <w:color w:val="000000"/>
                <w:sz w:val="20"/>
                <w:szCs w:val="20"/>
              </w:rPr>
              <w:t>≥</w:t>
            </w:r>
            <w:r>
              <w:rPr>
                <w:rFonts w:hint="eastAsia" w:ascii="Arial" w:hAnsi="Arial" w:eastAsia="仿宋_GB2312" w:cs="Arial"/>
                <w:color w:val="000000"/>
                <w:sz w:val="20"/>
                <w:szCs w:val="20"/>
              </w:rPr>
              <w:t>900万元</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964万元</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140" w:type="dxa"/>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社会效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开</w:t>
            </w:r>
            <w:r>
              <w:rPr>
                <w:rFonts w:ascii="Times New Roman" w:hAnsi="Times New Roman" w:eastAsia="仿宋_GB2312"/>
                <w:color w:val="000000"/>
                <w:sz w:val="20"/>
                <w:szCs w:val="20"/>
              </w:rPr>
              <w:t>展种鸡场禽白血病净化技术研究与示范</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有序开展</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140"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通过试验室非洲猪瘟检测能力比对试验</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顺利通过</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顺利通过</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8</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029" w:type="dxa"/>
            <w:vMerge w:val="continue"/>
            <w:tcBorders>
              <w:left w:val="nil"/>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可持续影响指标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
                <w:color w:val="000000"/>
                <w:sz w:val="20"/>
                <w:szCs w:val="20"/>
              </w:rPr>
            </w:pPr>
            <w:r>
              <w:rPr>
                <w:rFonts w:hint="eastAsia" w:ascii="Times New Roman" w:hAnsi="Times New Roman" w:eastAsia="仿宋"/>
                <w:color w:val="000000"/>
                <w:sz w:val="20"/>
                <w:szCs w:val="20"/>
              </w:rPr>
              <w:t>持续开展我省地方牛羊资源保护和特异基因挖掘，优化新型家畜性别控制技术</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
                <w:color w:val="000000"/>
                <w:sz w:val="20"/>
                <w:szCs w:val="20"/>
              </w:rPr>
              <w:t>持续开展</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6</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6</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29" w:type="dxa"/>
            <w:tcBorders>
              <w:top w:val="nil"/>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满意度</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指标</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（10分）</w:t>
            </w:r>
          </w:p>
        </w:tc>
        <w:tc>
          <w:tcPr>
            <w:tcW w:w="1140"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服务对象满意度指标</w:t>
            </w:r>
          </w:p>
        </w:tc>
        <w:tc>
          <w:tcPr>
            <w:tcW w:w="181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服务对象的满意程度</w:t>
            </w:r>
          </w:p>
        </w:tc>
        <w:tc>
          <w:tcPr>
            <w:tcW w:w="1187"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90%以上</w:t>
            </w:r>
          </w:p>
        </w:tc>
        <w:tc>
          <w:tcPr>
            <w:tcW w:w="1752"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90%</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总分</w:t>
            </w:r>
          </w:p>
        </w:tc>
        <w:tc>
          <w:tcPr>
            <w:tcW w:w="6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100</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100</w:t>
            </w:r>
          </w:p>
        </w:tc>
        <w:tc>
          <w:tcPr>
            <w:tcW w:w="1044"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3000502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F836A99"/>
    <w:multiLevelType w:val="multilevel"/>
    <w:tmpl w:val="5F836A99"/>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6EC6"/>
    <w:rsid w:val="000273BD"/>
    <w:rsid w:val="00040CBC"/>
    <w:rsid w:val="000415B7"/>
    <w:rsid w:val="000416F9"/>
    <w:rsid w:val="00041E3F"/>
    <w:rsid w:val="000538E4"/>
    <w:rsid w:val="00055DAA"/>
    <w:rsid w:val="00061F7B"/>
    <w:rsid w:val="000658A3"/>
    <w:rsid w:val="00074155"/>
    <w:rsid w:val="000915D3"/>
    <w:rsid w:val="000A3F69"/>
    <w:rsid w:val="000C572B"/>
    <w:rsid w:val="00103957"/>
    <w:rsid w:val="00145F8D"/>
    <w:rsid w:val="00152C6D"/>
    <w:rsid w:val="00162D39"/>
    <w:rsid w:val="001678BD"/>
    <w:rsid w:val="00182373"/>
    <w:rsid w:val="00195117"/>
    <w:rsid w:val="001A4669"/>
    <w:rsid w:val="001A67DB"/>
    <w:rsid w:val="001B56A7"/>
    <w:rsid w:val="001B63EB"/>
    <w:rsid w:val="001C3C29"/>
    <w:rsid w:val="001D51E5"/>
    <w:rsid w:val="001E080D"/>
    <w:rsid w:val="001E487C"/>
    <w:rsid w:val="001E53D0"/>
    <w:rsid w:val="001F0C3B"/>
    <w:rsid w:val="00202C82"/>
    <w:rsid w:val="00214427"/>
    <w:rsid w:val="00226CB7"/>
    <w:rsid w:val="00251F10"/>
    <w:rsid w:val="00264552"/>
    <w:rsid w:val="00264EF9"/>
    <w:rsid w:val="00265724"/>
    <w:rsid w:val="0027426B"/>
    <w:rsid w:val="002900A2"/>
    <w:rsid w:val="00297293"/>
    <w:rsid w:val="002A5984"/>
    <w:rsid w:val="002E0A30"/>
    <w:rsid w:val="002F635E"/>
    <w:rsid w:val="00307852"/>
    <w:rsid w:val="003130C4"/>
    <w:rsid w:val="00316C4B"/>
    <w:rsid w:val="0032192B"/>
    <w:rsid w:val="003479BD"/>
    <w:rsid w:val="003531BC"/>
    <w:rsid w:val="0037197D"/>
    <w:rsid w:val="003768D5"/>
    <w:rsid w:val="003769D8"/>
    <w:rsid w:val="003926B9"/>
    <w:rsid w:val="00395DF2"/>
    <w:rsid w:val="003B51F3"/>
    <w:rsid w:val="003C47E6"/>
    <w:rsid w:val="003C4FC2"/>
    <w:rsid w:val="003E3DB6"/>
    <w:rsid w:val="00416E61"/>
    <w:rsid w:val="0042790C"/>
    <w:rsid w:val="004440FA"/>
    <w:rsid w:val="00446882"/>
    <w:rsid w:val="004506F9"/>
    <w:rsid w:val="004717A2"/>
    <w:rsid w:val="00473DF3"/>
    <w:rsid w:val="00487911"/>
    <w:rsid w:val="00491741"/>
    <w:rsid w:val="004B0CEE"/>
    <w:rsid w:val="004E2F3F"/>
    <w:rsid w:val="004E6B64"/>
    <w:rsid w:val="00500E5F"/>
    <w:rsid w:val="005122EF"/>
    <w:rsid w:val="0051441A"/>
    <w:rsid w:val="00517C33"/>
    <w:rsid w:val="00517D5F"/>
    <w:rsid w:val="00523644"/>
    <w:rsid w:val="0054069E"/>
    <w:rsid w:val="00544866"/>
    <w:rsid w:val="00557B95"/>
    <w:rsid w:val="00562B30"/>
    <w:rsid w:val="005767CC"/>
    <w:rsid w:val="00590D9F"/>
    <w:rsid w:val="00595D26"/>
    <w:rsid w:val="005A74E6"/>
    <w:rsid w:val="005B404E"/>
    <w:rsid w:val="005D4D55"/>
    <w:rsid w:val="005E2CFB"/>
    <w:rsid w:val="005E4284"/>
    <w:rsid w:val="005E4966"/>
    <w:rsid w:val="005F0F61"/>
    <w:rsid w:val="005F2103"/>
    <w:rsid w:val="005F3D1C"/>
    <w:rsid w:val="0062378F"/>
    <w:rsid w:val="00625EBF"/>
    <w:rsid w:val="00641842"/>
    <w:rsid w:val="00651EEC"/>
    <w:rsid w:val="00682EB0"/>
    <w:rsid w:val="00686673"/>
    <w:rsid w:val="00691E8C"/>
    <w:rsid w:val="006A22C4"/>
    <w:rsid w:val="006A351B"/>
    <w:rsid w:val="006B0422"/>
    <w:rsid w:val="006C0201"/>
    <w:rsid w:val="006C1B53"/>
    <w:rsid w:val="006D4FDF"/>
    <w:rsid w:val="006D555D"/>
    <w:rsid w:val="006D7730"/>
    <w:rsid w:val="006E5284"/>
    <w:rsid w:val="006F3EB5"/>
    <w:rsid w:val="00702E34"/>
    <w:rsid w:val="00704395"/>
    <w:rsid w:val="0070606E"/>
    <w:rsid w:val="00710FE7"/>
    <w:rsid w:val="00717621"/>
    <w:rsid w:val="00720FF1"/>
    <w:rsid w:val="00723A97"/>
    <w:rsid w:val="00727A53"/>
    <w:rsid w:val="00746DFB"/>
    <w:rsid w:val="007563B9"/>
    <w:rsid w:val="00780F01"/>
    <w:rsid w:val="00787B42"/>
    <w:rsid w:val="007A2037"/>
    <w:rsid w:val="007A460E"/>
    <w:rsid w:val="007C4539"/>
    <w:rsid w:val="007E1283"/>
    <w:rsid w:val="007F3657"/>
    <w:rsid w:val="008015F0"/>
    <w:rsid w:val="00812ED5"/>
    <w:rsid w:val="008133F6"/>
    <w:rsid w:val="0082064D"/>
    <w:rsid w:val="00826665"/>
    <w:rsid w:val="008277D9"/>
    <w:rsid w:val="008311C8"/>
    <w:rsid w:val="0084090B"/>
    <w:rsid w:val="0084478C"/>
    <w:rsid w:val="00853044"/>
    <w:rsid w:val="0086638C"/>
    <w:rsid w:val="0087186A"/>
    <w:rsid w:val="00885A5D"/>
    <w:rsid w:val="008A3E8D"/>
    <w:rsid w:val="008C5548"/>
    <w:rsid w:val="0091385D"/>
    <w:rsid w:val="009237C4"/>
    <w:rsid w:val="00925C9F"/>
    <w:rsid w:val="00944C48"/>
    <w:rsid w:val="00950252"/>
    <w:rsid w:val="00967F5D"/>
    <w:rsid w:val="00984C34"/>
    <w:rsid w:val="00986817"/>
    <w:rsid w:val="0098729A"/>
    <w:rsid w:val="009924CF"/>
    <w:rsid w:val="009A0F95"/>
    <w:rsid w:val="009A31ED"/>
    <w:rsid w:val="009B3ADF"/>
    <w:rsid w:val="009C3B52"/>
    <w:rsid w:val="009E2BBE"/>
    <w:rsid w:val="009E5350"/>
    <w:rsid w:val="009E6817"/>
    <w:rsid w:val="009E6E9A"/>
    <w:rsid w:val="009F4D82"/>
    <w:rsid w:val="00A01154"/>
    <w:rsid w:val="00A01D2B"/>
    <w:rsid w:val="00A42218"/>
    <w:rsid w:val="00A620DC"/>
    <w:rsid w:val="00A62D44"/>
    <w:rsid w:val="00A70249"/>
    <w:rsid w:val="00A70B02"/>
    <w:rsid w:val="00A71D9F"/>
    <w:rsid w:val="00A76A6B"/>
    <w:rsid w:val="00A92E9F"/>
    <w:rsid w:val="00AA78D2"/>
    <w:rsid w:val="00AB18FF"/>
    <w:rsid w:val="00B068E1"/>
    <w:rsid w:val="00B165CA"/>
    <w:rsid w:val="00B33BEA"/>
    <w:rsid w:val="00B40F52"/>
    <w:rsid w:val="00B57C9F"/>
    <w:rsid w:val="00B63572"/>
    <w:rsid w:val="00B845B3"/>
    <w:rsid w:val="00B85D8B"/>
    <w:rsid w:val="00B97CE5"/>
    <w:rsid w:val="00BB4A40"/>
    <w:rsid w:val="00BB4F0E"/>
    <w:rsid w:val="00BC1551"/>
    <w:rsid w:val="00BD2524"/>
    <w:rsid w:val="00BD6C3E"/>
    <w:rsid w:val="00BE3674"/>
    <w:rsid w:val="00C10681"/>
    <w:rsid w:val="00C151F8"/>
    <w:rsid w:val="00C3049A"/>
    <w:rsid w:val="00C31B1E"/>
    <w:rsid w:val="00C46EBA"/>
    <w:rsid w:val="00C77645"/>
    <w:rsid w:val="00C84BB8"/>
    <w:rsid w:val="00C85D5A"/>
    <w:rsid w:val="00CE04C3"/>
    <w:rsid w:val="00CE3214"/>
    <w:rsid w:val="00CE76A0"/>
    <w:rsid w:val="00D148C6"/>
    <w:rsid w:val="00D17A8A"/>
    <w:rsid w:val="00D205A5"/>
    <w:rsid w:val="00D415BA"/>
    <w:rsid w:val="00D42115"/>
    <w:rsid w:val="00D63780"/>
    <w:rsid w:val="00D644EE"/>
    <w:rsid w:val="00DD06FF"/>
    <w:rsid w:val="00DD5FE9"/>
    <w:rsid w:val="00DE061D"/>
    <w:rsid w:val="00DF731B"/>
    <w:rsid w:val="00E00C7A"/>
    <w:rsid w:val="00E37D6C"/>
    <w:rsid w:val="00E40AC0"/>
    <w:rsid w:val="00E55737"/>
    <w:rsid w:val="00E55B68"/>
    <w:rsid w:val="00E561AE"/>
    <w:rsid w:val="00E609EC"/>
    <w:rsid w:val="00E67BE6"/>
    <w:rsid w:val="00E8439F"/>
    <w:rsid w:val="00E8683C"/>
    <w:rsid w:val="00E957DB"/>
    <w:rsid w:val="00E97395"/>
    <w:rsid w:val="00EA2B72"/>
    <w:rsid w:val="00EA6B7B"/>
    <w:rsid w:val="00EF1283"/>
    <w:rsid w:val="00EF21A5"/>
    <w:rsid w:val="00EF576D"/>
    <w:rsid w:val="00F0273D"/>
    <w:rsid w:val="00F1150C"/>
    <w:rsid w:val="00F31EB1"/>
    <w:rsid w:val="00F377FD"/>
    <w:rsid w:val="00F60206"/>
    <w:rsid w:val="00F74360"/>
    <w:rsid w:val="00F87B88"/>
    <w:rsid w:val="00FA1329"/>
    <w:rsid w:val="00FB462F"/>
    <w:rsid w:val="00FC2004"/>
    <w:rsid w:val="00FC60EC"/>
    <w:rsid w:val="00FE16FA"/>
    <w:rsid w:val="00FE328A"/>
    <w:rsid w:val="00FE5212"/>
    <w:rsid w:val="00FE6269"/>
    <w:rsid w:val="00FF5CD6"/>
    <w:rsid w:val="088064B2"/>
    <w:rsid w:val="15323409"/>
    <w:rsid w:val="1D97DEFF"/>
    <w:rsid w:val="1DFF72E5"/>
    <w:rsid w:val="1EFC6F07"/>
    <w:rsid w:val="2FDF85B8"/>
    <w:rsid w:val="2FFFEE04"/>
    <w:rsid w:val="34DF85B0"/>
    <w:rsid w:val="3B8F36BC"/>
    <w:rsid w:val="456E2A77"/>
    <w:rsid w:val="491FF225"/>
    <w:rsid w:val="4FFD214C"/>
    <w:rsid w:val="5777D4F5"/>
    <w:rsid w:val="59DD8326"/>
    <w:rsid w:val="5DEF592A"/>
    <w:rsid w:val="5F4739D9"/>
    <w:rsid w:val="5F4D1589"/>
    <w:rsid w:val="5FC6BB1E"/>
    <w:rsid w:val="5FF720F1"/>
    <w:rsid w:val="67FF5C0B"/>
    <w:rsid w:val="6EFC0924"/>
    <w:rsid w:val="6FB74722"/>
    <w:rsid w:val="6FEF8B7E"/>
    <w:rsid w:val="71A6591B"/>
    <w:rsid w:val="737D59BA"/>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Normal Indent"/>
    <w:basedOn w:val="1"/>
    <w:next w:val="1"/>
    <w:unhideWhenUsed/>
    <w:qFormat/>
    <w:uiPriority w:val="99"/>
    <w:pPr>
      <w:widowControl/>
      <w:kinsoku w:val="0"/>
      <w:autoSpaceDE w:val="0"/>
      <w:autoSpaceDN w:val="0"/>
      <w:adjustRightInd w:val="0"/>
      <w:snapToGrid w:val="0"/>
      <w:ind w:firstLine="630"/>
      <w:jc w:val="left"/>
      <w:textAlignment w:val="baseline"/>
    </w:pPr>
    <w:rPr>
      <w:rFonts w:ascii="Times New Roman" w:hAnsi="Times New Roman" w:eastAsia="仿宋_GB2312" w:cs="Arial"/>
      <w:color w:val="000000"/>
      <w:kern w:val="0"/>
      <w:sz w:val="32"/>
      <w:szCs w:val="32"/>
    </w:r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paragraph" w:customStyle="1" w:styleId="19">
    <w:name w:val="Char Char Char Char"/>
    <w:basedOn w:val="1"/>
    <w:qFormat/>
    <w:uiPriority w:val="0"/>
    <w:pPr>
      <w:widowControl/>
      <w:spacing w:after="160" w:line="240" w:lineRule="exact"/>
      <w:jc w:val="left"/>
    </w:pPr>
    <w:rPr>
      <w:rFonts w:ascii="Verdana" w:hAnsi="Verdana" w:eastAsia="仿宋_GB2312" w:cs="Verdan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14DDD-6705-41F1-8E59-9EA885824DF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11604</Words>
  <Characters>13847</Characters>
  <Lines>79</Lines>
  <Paragraphs>22</Paragraphs>
  <TotalTime>1</TotalTime>
  <ScaleCrop>false</ScaleCrop>
  <LinksUpToDate>false</LinksUpToDate>
  <CharactersWithSpaces>14002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2024-08-30T01:50:00Z</cp:lastPrinted>
  <dcterms:modified xsi:type="dcterms:W3CDTF">2024-09-06T07:30:15Z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3E766EF8443441DFA0351C50D8A70096_12</vt:lpwstr>
  </property>
</Properties>
</file>