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sz w:val="56"/>
          <w:szCs w:val="56"/>
        </w:rPr>
      </w:pPr>
    </w:p>
    <w:p>
      <w:pPr>
        <w:pStyle w:val="14"/>
        <w:jc w:val="center"/>
        <w:rPr>
          <w:sz w:val="56"/>
          <w:szCs w:val="56"/>
        </w:rPr>
      </w:pPr>
    </w:p>
    <w:p>
      <w:pPr>
        <w:pStyle w:val="14"/>
        <w:jc w:val="center"/>
        <w:rPr>
          <w:sz w:val="84"/>
          <w:szCs w:val="84"/>
        </w:rPr>
      </w:pPr>
    </w:p>
    <w:p>
      <w:pPr>
        <w:pStyle w:val="14"/>
        <w:jc w:val="center"/>
        <w:rPr>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湖南省农民科技教育培训中心</w:t>
      </w:r>
      <w:r>
        <w:rPr>
          <w:rFonts w:hint="eastAsia" w:ascii="方正小标宋_GBK" w:hAnsi="方正小标宋_GBK" w:eastAsia="方正小标宋_GBK" w:cs="方正小标宋_GBK"/>
          <w:sz w:val="84"/>
          <w:szCs w:val="84"/>
        </w:rPr>
        <w:t>部门决算</w:t>
      </w:r>
    </w:p>
    <w:p>
      <w:pPr>
        <w:pStyle w:val="14"/>
        <w:jc w:val="center"/>
        <w:rPr>
          <w:rFonts w:hint="eastAsia" w:ascii="方正小标宋_GBK" w:hAnsi="方正小标宋_GBK" w:eastAsia="方正小标宋_GBK" w:cs="方正小标宋_GBK"/>
          <w:sz w:val="56"/>
          <w:szCs w:val="56"/>
        </w:rPr>
      </w:pPr>
    </w:p>
    <w:p>
      <w:pPr>
        <w:pStyle w:val="14"/>
        <w:jc w:val="both"/>
        <w:rPr>
          <w:sz w:val="56"/>
          <w:szCs w:val="56"/>
        </w:rPr>
      </w:pPr>
    </w:p>
    <w:p>
      <w:pPr>
        <w:pStyle w:val="14"/>
        <w:jc w:val="center"/>
        <w:rPr>
          <w:sz w:val="32"/>
          <w:szCs w:val="32"/>
        </w:rPr>
      </w:pPr>
    </w:p>
    <w:p>
      <w:pPr>
        <w:pStyle w:val="14"/>
        <w:jc w:val="center"/>
        <w:rPr>
          <w:sz w:val="32"/>
          <w:szCs w:val="32"/>
        </w:rPr>
      </w:pPr>
    </w:p>
    <w:p>
      <w:pPr>
        <w:pStyle w:val="14"/>
        <w:jc w:val="center"/>
        <w:rPr>
          <w:sz w:val="32"/>
          <w:szCs w:val="32"/>
        </w:rPr>
      </w:pPr>
    </w:p>
    <w:p>
      <w:pPr>
        <w:pStyle w:val="14"/>
        <w:jc w:val="center"/>
        <w:rPr>
          <w:sz w:val="32"/>
          <w:szCs w:val="32"/>
        </w:rPr>
      </w:pPr>
    </w:p>
    <w:p>
      <w:pPr>
        <w:pStyle w:val="14"/>
        <w:jc w:val="center"/>
        <w:rPr>
          <w:sz w:val="32"/>
          <w:szCs w:val="32"/>
        </w:rPr>
      </w:pPr>
    </w:p>
    <w:p>
      <w:pPr>
        <w:pStyle w:val="14"/>
        <w:spacing w:line="540" w:lineRule="exact"/>
        <w:jc w:val="center"/>
        <w:rPr>
          <w:sz w:val="56"/>
          <w:szCs w:val="56"/>
        </w:rPr>
      </w:pPr>
    </w:p>
    <w:p>
      <w:pPr>
        <w:pStyle w:val="14"/>
        <w:spacing w:line="500" w:lineRule="exact"/>
        <w:jc w:val="both"/>
        <w:rPr>
          <w:b/>
          <w:sz w:val="36"/>
          <w:szCs w:val="28"/>
        </w:rPr>
      </w:pPr>
    </w:p>
    <w:p>
      <w:pPr>
        <w:pStyle w:val="14"/>
        <w:spacing w:line="500" w:lineRule="exact"/>
        <w:jc w:val="center"/>
        <w:rPr>
          <w:b/>
          <w:sz w:val="36"/>
          <w:szCs w:val="28"/>
        </w:rPr>
      </w:pPr>
      <w:r>
        <w:rPr>
          <w:rFonts w:hint="eastAsia"/>
          <w:b/>
          <w:sz w:val="36"/>
          <w:szCs w:val="28"/>
        </w:rPr>
        <w:t>目录</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湖南省农民科技教育培训中心</w:t>
      </w:r>
      <w:r>
        <w:rPr>
          <w:rFonts w:hint="eastAsia" w:ascii="黑体" w:hAnsi="黑体" w:eastAsia="黑体" w:cs="黑体"/>
          <w:b w:val="0"/>
          <w:bCs/>
          <w:sz w:val="28"/>
          <w:szCs w:val="28"/>
        </w:rPr>
        <w:t>概况</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4"/>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4"/>
        <w:spacing w:line="500" w:lineRule="exact"/>
        <w:rPr>
          <w:rFonts w:hint="eastAsia" w:ascii="黑体" w:hAnsi="黑体" w:eastAsia="黑体" w:cs="黑体"/>
          <w:b w:val="0"/>
          <w:bCs/>
          <w:sz w:val="28"/>
          <w:szCs w:val="28"/>
        </w:rPr>
      </w:pPr>
    </w:p>
    <w:p>
      <w:pPr>
        <w:jc w:val="center"/>
        <w:rPr>
          <w:sz w:val="72"/>
          <w:szCs w:val="72"/>
        </w:rPr>
      </w:pPr>
    </w:p>
    <w:p>
      <w:pPr>
        <w:jc w:val="center"/>
        <w:rPr>
          <w:sz w:val="72"/>
          <w:szCs w:val="72"/>
        </w:rPr>
      </w:pPr>
    </w:p>
    <w:p>
      <w:pPr>
        <w:jc w:val="both"/>
        <w:rPr>
          <w:sz w:val="72"/>
          <w:szCs w:val="72"/>
        </w:rPr>
      </w:pPr>
    </w:p>
    <w:p>
      <w:pPr>
        <w:rPr>
          <w:rFonts w:hint="eastAsia" w:ascii="方正小标宋_GBK" w:hAnsi="方正小标宋_GBK" w:eastAsia="方正小标宋_GBK" w:cs="方正小标宋_GBK"/>
          <w:sz w:val="72"/>
          <w:szCs w:val="72"/>
        </w:rPr>
      </w:pPr>
    </w:p>
    <w:p>
      <w:pPr>
        <w:pStyle w:val="9"/>
        <w:rPr>
          <w:rFonts w:hint="eastAsia"/>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湖南省农民科技教育培训</w:t>
      </w: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中心</w:t>
      </w:r>
      <w:r>
        <w:rPr>
          <w:rFonts w:hint="eastAsia" w:ascii="方正小标宋_GBK" w:hAnsi="方正小标宋_GBK" w:eastAsia="方正小标宋_GBK" w:cs="方正小标宋_GBK"/>
          <w:sz w:val="84"/>
          <w:szCs w:val="84"/>
        </w:rPr>
        <w:t>概况</w:t>
      </w:r>
    </w:p>
    <w:p>
      <w:pPr>
        <w:jc w:val="both"/>
        <w:rPr>
          <w:rFonts w:hint="eastAsia" w:ascii="方正小标宋_GBK" w:hAnsi="方正小标宋_GBK" w:eastAsia="方正小标宋_GBK" w:cs="方正小标宋_GBK"/>
          <w:sz w:val="72"/>
          <w:szCs w:val="72"/>
        </w:rPr>
      </w:pPr>
    </w:p>
    <w:p>
      <w:pPr>
        <w:jc w:val="center"/>
        <w:rPr>
          <w:sz w:val="72"/>
          <w:szCs w:val="72"/>
        </w:rPr>
      </w:pPr>
    </w:p>
    <w:p>
      <w:pPr>
        <w:jc w:val="center"/>
        <w:rPr>
          <w:sz w:val="72"/>
          <w:szCs w:val="72"/>
        </w:rPr>
      </w:pPr>
    </w:p>
    <w:p>
      <w:pPr>
        <w:jc w:val="center"/>
        <w:rPr>
          <w:sz w:val="72"/>
          <w:szCs w:val="72"/>
        </w:rPr>
      </w:pPr>
    </w:p>
    <w:p>
      <w:pPr>
        <w:pStyle w:val="15"/>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widowControl/>
        <w:spacing w:line="60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省农民科技教育培训中心（省农广校）1981年经省政府批准成立，是一所集新型职业农民教育培训、技术推广、科学普及和信息传播等多种功能为一体的政府公益性教育培训机构。</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spacing w:line="60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sz w:val="32"/>
          <w:szCs w:val="32"/>
        </w:rPr>
        <w:t>湖南省农民科技教育培训中心内设机构包括：办公室、财务科、人事科、教务科、教材科、声像科、培训开发科、职业技能鉴定科、农民体育健身科、体系建设科10个内部机构。</w:t>
      </w:r>
    </w:p>
    <w:p>
      <w:pPr>
        <w:widowControl/>
        <w:spacing w:line="60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sz w:val="32"/>
          <w:szCs w:val="32"/>
        </w:rPr>
        <w:t>湖南省农民科技教育培训中心202</w:t>
      </w:r>
      <w:r>
        <w:rPr>
          <w:rFonts w:hint="eastAsia" w:ascii="Times New Roman" w:hAnsi="Times New Roman" w:eastAsia="仿宋_GB2312" w:cs="仿宋_GB2312"/>
          <w:sz w:val="32"/>
          <w:szCs w:val="32"/>
          <w:lang w:val="en-US" w:eastAsia="zh-CN"/>
        </w:rPr>
        <w:t>3</w:t>
      </w:r>
      <w:r>
        <w:rPr>
          <w:rFonts w:hint="eastAsia" w:ascii="Times New Roman" w:hAnsi="Times New Roman" w:eastAsia="仿宋_GB2312" w:cs="仿宋_GB2312"/>
          <w:sz w:val="32"/>
          <w:szCs w:val="32"/>
        </w:rPr>
        <w:t>年部门决算汇总公开单位构成包括：湖南省农民科技教育培训中心单位本级。</w:t>
      </w:r>
    </w:p>
    <w:p>
      <w:pPr>
        <w:widowControl/>
        <w:spacing w:line="600" w:lineRule="exact"/>
        <w:ind w:firstLine="640" w:firstLineChars="200"/>
        <w:rPr>
          <w:rFonts w:hint="eastAsia" w:ascii="Times New Roman" w:hAnsi="Times New Roman" w:eastAsia="仿宋_GB2312" w:cs="仿宋_GB2312"/>
          <w:bCs/>
          <w:kern w:val="0"/>
          <w:sz w:val="32"/>
          <w:szCs w:val="32"/>
        </w:rPr>
      </w:pP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both"/>
        <w:rPr>
          <w:sz w:val="72"/>
          <w:szCs w:val="72"/>
        </w:rPr>
      </w:pPr>
    </w:p>
    <w:p>
      <w:pPr>
        <w:jc w:val="center"/>
        <w:rPr>
          <w:sz w:val="72"/>
          <w:szCs w:val="7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widowControl/>
        <w:jc w:val="center"/>
        <w:rPr>
          <w:rFonts w:hint="eastAsia" w:ascii="Times New Roman" w:hAnsi="Times New Roman" w:eastAsia="黑体" w:cs="Times New Roman"/>
          <w:bCs/>
          <w:kern w:val="0"/>
          <w:sz w:val="32"/>
          <w:szCs w:val="32"/>
          <w:lang w:eastAsia="zh-CN"/>
        </w:rPr>
      </w:pPr>
      <w:r>
        <w:rPr>
          <w:rFonts w:hint="eastAsia" w:ascii="Times New Roman" w:hAnsi="Times New Roman" w:eastAsia="黑体" w:cs="Times New Roman"/>
          <w:bCs/>
          <w:kern w:val="0"/>
          <w:sz w:val="32"/>
          <w:szCs w:val="32"/>
          <w:lang w:eastAsia="zh-CN"/>
        </w:rPr>
        <w:drawing>
          <wp:inline distT="0" distB="0" distL="114300" distR="114300">
            <wp:extent cx="7906385" cy="6643370"/>
            <wp:effectExtent l="0" t="0" r="18415" b="5080"/>
            <wp:docPr id="3" name="图片 3" descr="1724659085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24659085606"/>
                    <pic:cNvPicPr>
                      <a:picLocks noChangeAspect="1"/>
                    </pic:cNvPicPr>
                  </pic:nvPicPr>
                  <pic:blipFill>
                    <a:blip r:embed="rId4"/>
                    <a:stretch>
                      <a:fillRect/>
                    </a:stretch>
                  </pic:blipFill>
                  <pic:spPr>
                    <a:xfrm>
                      <a:off x="0" y="0"/>
                      <a:ext cx="7906385" cy="6643370"/>
                    </a:xfrm>
                    <a:prstGeom prst="rect">
                      <a:avLst/>
                    </a:prstGeom>
                  </pic:spPr>
                </pic:pic>
              </a:graphicData>
            </a:graphic>
          </wp:inline>
        </w:drawing>
      </w:r>
    </w:p>
    <w:p>
      <w:pPr>
        <w:pStyle w:val="9"/>
        <w:jc w:val="center"/>
        <w:rPr>
          <w:rFonts w:hint="eastAsia"/>
          <w:lang w:eastAsia="zh-CN"/>
        </w:rPr>
      </w:pPr>
      <w:r>
        <w:rPr>
          <w:rFonts w:hint="eastAsia"/>
          <w:lang w:eastAsia="zh-CN"/>
        </w:rPr>
        <w:drawing>
          <wp:inline distT="0" distB="0" distL="114300" distR="114300">
            <wp:extent cx="9776460" cy="3596005"/>
            <wp:effectExtent l="0" t="0" r="15240" b="4445"/>
            <wp:docPr id="2" name="图片 2" descr="1725441358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25441358494"/>
                    <pic:cNvPicPr>
                      <a:picLocks noChangeAspect="1"/>
                    </pic:cNvPicPr>
                  </pic:nvPicPr>
                  <pic:blipFill>
                    <a:blip r:embed="rId5"/>
                    <a:stretch>
                      <a:fillRect/>
                    </a:stretch>
                  </pic:blipFill>
                  <pic:spPr>
                    <a:xfrm>
                      <a:off x="0" y="0"/>
                      <a:ext cx="9776460" cy="3596005"/>
                    </a:xfrm>
                    <a:prstGeom prst="rect">
                      <a:avLst/>
                    </a:prstGeom>
                  </pic:spPr>
                </pic:pic>
              </a:graphicData>
            </a:graphic>
          </wp:inline>
        </w:drawing>
      </w:r>
    </w:p>
    <w:p>
      <w:pPr>
        <w:widowControl/>
        <w:jc w:val="center"/>
        <w:rPr>
          <w:rFonts w:hint="eastAsia" w:ascii="Times New Roman" w:hAnsi="Times New Roman" w:eastAsia="方正小标宋_GBK" w:cs="Times New Roman"/>
          <w:color w:val="000000"/>
          <w:kern w:val="0"/>
          <w:sz w:val="36"/>
          <w:szCs w:val="36"/>
        </w:rPr>
      </w:pPr>
    </w:p>
    <w:p>
      <w:pPr>
        <w:pStyle w:val="9"/>
        <w:rPr>
          <w:rFonts w:hint="eastAsia" w:ascii="Times New Roman" w:hAnsi="Times New Roman" w:eastAsia="方正小标宋_GBK" w:cs="Times New Roman"/>
          <w:color w:val="000000"/>
          <w:kern w:val="0"/>
          <w:sz w:val="36"/>
          <w:szCs w:val="36"/>
        </w:rPr>
      </w:pPr>
    </w:p>
    <w:p>
      <w:pPr>
        <w:pStyle w:val="5"/>
        <w:rPr>
          <w:rFonts w:hint="eastAsia" w:ascii="Times New Roman" w:hAnsi="Times New Roman" w:eastAsia="方正小标宋_GBK" w:cs="Times New Roman"/>
          <w:color w:val="000000"/>
          <w:kern w:val="0"/>
          <w:sz w:val="36"/>
          <w:szCs w:val="36"/>
        </w:rPr>
      </w:pPr>
    </w:p>
    <w:p>
      <w:pPr>
        <w:rPr>
          <w:rFonts w:hint="eastAsia" w:ascii="Times New Roman" w:hAnsi="Times New Roman" w:eastAsia="方正小标宋_GBK" w:cs="Times New Roman"/>
          <w:color w:val="000000"/>
          <w:kern w:val="0"/>
          <w:sz w:val="36"/>
          <w:szCs w:val="36"/>
        </w:rPr>
      </w:pPr>
    </w:p>
    <w:p>
      <w:pPr>
        <w:pStyle w:val="9"/>
        <w:rPr>
          <w:rFonts w:hint="eastAsia"/>
        </w:rPr>
      </w:pPr>
    </w:p>
    <w:p>
      <w:pPr>
        <w:pStyle w:val="9"/>
        <w:rPr>
          <w:rFonts w:hint="eastAsia" w:eastAsia="方正小标宋_GBK"/>
          <w:lang w:eastAsia="zh-CN"/>
        </w:rPr>
      </w:pPr>
      <w:r>
        <w:rPr>
          <w:rFonts w:hint="eastAsia" w:eastAsia="方正小标宋_GBK"/>
          <w:lang w:eastAsia="zh-CN"/>
        </w:rPr>
        <w:drawing>
          <wp:inline distT="0" distB="0" distL="114300" distR="114300">
            <wp:extent cx="9772015" cy="4079875"/>
            <wp:effectExtent l="0" t="0" r="635" b="15875"/>
            <wp:docPr id="4" name="图片 4" descr="1725441507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25441507885"/>
                    <pic:cNvPicPr>
                      <a:picLocks noChangeAspect="1"/>
                    </pic:cNvPicPr>
                  </pic:nvPicPr>
                  <pic:blipFill>
                    <a:blip r:embed="rId6"/>
                    <a:stretch>
                      <a:fillRect/>
                    </a:stretch>
                  </pic:blipFill>
                  <pic:spPr>
                    <a:xfrm>
                      <a:off x="0" y="0"/>
                      <a:ext cx="9772015" cy="4079875"/>
                    </a:xfrm>
                    <a:prstGeom prst="rect">
                      <a:avLst/>
                    </a:prstGeom>
                  </pic:spPr>
                </pic:pic>
              </a:graphicData>
            </a:graphic>
          </wp:inline>
        </w:drawing>
      </w:r>
    </w:p>
    <w:p>
      <w:pPr>
        <w:pStyle w:val="5"/>
        <w:rPr>
          <w:rFonts w:hint="eastAsia"/>
          <w:lang w:eastAsia="zh-CN"/>
        </w:rPr>
      </w:pPr>
      <w:r>
        <w:rPr>
          <w:rFonts w:hint="eastAsia"/>
          <w:lang w:eastAsia="zh-CN"/>
        </w:rPr>
        <w:drawing>
          <wp:inline distT="0" distB="0" distL="114300" distR="114300">
            <wp:extent cx="8952230" cy="6638925"/>
            <wp:effectExtent l="0" t="0" r="1270" b="9525"/>
            <wp:docPr id="6" name="图片 6" descr="1724659268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724659268998"/>
                    <pic:cNvPicPr>
                      <a:picLocks noChangeAspect="1"/>
                    </pic:cNvPicPr>
                  </pic:nvPicPr>
                  <pic:blipFill>
                    <a:blip r:embed="rId7"/>
                    <a:stretch>
                      <a:fillRect/>
                    </a:stretch>
                  </pic:blipFill>
                  <pic:spPr>
                    <a:xfrm>
                      <a:off x="0" y="0"/>
                      <a:ext cx="8952230" cy="6638925"/>
                    </a:xfrm>
                    <a:prstGeom prst="rect">
                      <a:avLst/>
                    </a:prstGeom>
                  </pic:spPr>
                </pic:pic>
              </a:graphicData>
            </a:graphic>
          </wp:inline>
        </w:drawing>
      </w:r>
    </w:p>
    <w:p>
      <w:pPr>
        <w:jc w:val="center"/>
        <w:rPr>
          <w:rFonts w:hint="eastAsia"/>
          <w:lang w:eastAsia="zh-CN"/>
        </w:rPr>
      </w:pPr>
      <w:r>
        <w:rPr>
          <w:rFonts w:hint="eastAsia"/>
          <w:lang w:eastAsia="zh-CN"/>
        </w:rPr>
        <w:drawing>
          <wp:inline distT="0" distB="0" distL="114300" distR="114300">
            <wp:extent cx="7419975" cy="4572000"/>
            <wp:effectExtent l="0" t="0" r="9525" b="0"/>
            <wp:docPr id="5" name="图片 5" descr="1725442205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725442205063"/>
                    <pic:cNvPicPr>
                      <a:picLocks noChangeAspect="1"/>
                    </pic:cNvPicPr>
                  </pic:nvPicPr>
                  <pic:blipFill>
                    <a:blip r:embed="rId8"/>
                    <a:stretch>
                      <a:fillRect/>
                    </a:stretch>
                  </pic:blipFill>
                  <pic:spPr>
                    <a:xfrm>
                      <a:off x="0" y="0"/>
                      <a:ext cx="7419975" cy="4572000"/>
                    </a:xfrm>
                    <a:prstGeom prst="rect">
                      <a:avLst/>
                    </a:prstGeom>
                  </pic:spPr>
                </pic:pic>
              </a:graphicData>
            </a:graphic>
          </wp:inline>
        </w:drawing>
      </w:r>
    </w:p>
    <w:p>
      <w:pPr>
        <w:pStyle w:val="9"/>
        <w:rPr>
          <w:rFonts w:hint="eastAsia"/>
          <w:lang w:eastAsia="zh-CN"/>
        </w:rPr>
      </w:pPr>
      <w:r>
        <w:rPr>
          <w:rFonts w:hint="eastAsia"/>
          <w:lang w:eastAsia="zh-CN"/>
        </w:rPr>
        <w:drawing>
          <wp:inline distT="0" distB="0" distL="114300" distR="114300">
            <wp:extent cx="9766935" cy="5728335"/>
            <wp:effectExtent l="0" t="0" r="5715" b="5715"/>
            <wp:docPr id="8" name="图片 8" descr="172465938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724659383028"/>
                    <pic:cNvPicPr>
                      <a:picLocks noChangeAspect="1"/>
                    </pic:cNvPicPr>
                  </pic:nvPicPr>
                  <pic:blipFill>
                    <a:blip r:embed="rId9"/>
                    <a:stretch>
                      <a:fillRect/>
                    </a:stretch>
                  </pic:blipFill>
                  <pic:spPr>
                    <a:xfrm>
                      <a:off x="0" y="0"/>
                      <a:ext cx="9766935" cy="5728335"/>
                    </a:xfrm>
                    <a:prstGeom prst="rect">
                      <a:avLst/>
                    </a:prstGeom>
                  </pic:spPr>
                </pic:pic>
              </a:graphicData>
            </a:graphic>
          </wp:inline>
        </w:drawing>
      </w:r>
    </w:p>
    <w:tbl>
      <w:tblPr>
        <w:tblStyle w:val="10"/>
        <w:tblW w:w="153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03"/>
        <w:gridCol w:w="240"/>
        <w:gridCol w:w="1402"/>
        <w:gridCol w:w="901"/>
        <w:gridCol w:w="240"/>
        <w:gridCol w:w="978"/>
        <w:gridCol w:w="1307"/>
        <w:gridCol w:w="812"/>
        <w:gridCol w:w="1925"/>
        <w:gridCol w:w="194"/>
        <w:gridCol w:w="2119"/>
        <w:gridCol w:w="424"/>
        <w:gridCol w:w="1695"/>
        <w:gridCol w:w="1880"/>
        <w:gridCol w:w="2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90" w:hRule="atLeast"/>
        </w:trPr>
        <w:tc>
          <w:tcPr>
            <w:tcW w:w="15360" w:type="dxa"/>
            <w:gridSpan w:val="15"/>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rPr>
            </w:pPr>
          </w:p>
          <w:p>
            <w:pPr>
              <w:pStyle w:val="9"/>
              <w:rPr>
                <w:rFonts w:hint="eastAsia"/>
                <w:lang w:val="en-US" w:eastAsia="zh-CN"/>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5" w:hRule="atLeast"/>
        </w:trPr>
        <w:tc>
          <w:tcPr>
            <w:tcW w:w="1003"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40"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40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119"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40" w:type="dxa"/>
          <w:trHeight w:val="417" w:hRule="atLeast"/>
        </w:trPr>
        <w:tc>
          <w:tcPr>
            <w:tcW w:w="3546" w:type="dxa"/>
            <w:gridSpan w:val="4"/>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w:t>
            </w:r>
            <w:r>
              <w:rPr>
                <w:rFonts w:hint="eastAsia" w:ascii="Times New Roman" w:hAnsi="Times New Roman" w:eastAsia="仿宋_GB2312" w:cs="Times New Roman"/>
                <w:kern w:val="0"/>
                <w:szCs w:val="21"/>
              </w:rPr>
              <w:t>湖南省农民科技教育培训中心</w:t>
            </w:r>
          </w:p>
        </w:tc>
        <w:tc>
          <w:tcPr>
            <w:tcW w:w="240"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85" w:type="dxa"/>
            <w:gridSpan w:val="2"/>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737"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737"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575"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项 </w:t>
            </w:r>
            <w:r>
              <w:rPr>
                <w:rStyle w:val="17"/>
                <w:lang w:val="en-US" w:eastAsia="zh-CN"/>
              </w:rPr>
              <w:t xml:space="preserve">   </w:t>
            </w:r>
            <w:r>
              <w:rPr>
                <w:rStyle w:val="18"/>
                <w:lang w:val="en-US" w:eastAsia="zh-CN"/>
              </w:rPr>
              <w:t>目</w:t>
            </w:r>
          </w:p>
        </w:tc>
        <w:tc>
          <w:tcPr>
            <w:tcW w:w="211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年初结转和结余</w:t>
            </w:r>
          </w:p>
        </w:tc>
        <w:tc>
          <w:tcPr>
            <w:tcW w:w="2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本年收入</w:t>
            </w:r>
          </w:p>
        </w:tc>
        <w:tc>
          <w:tcPr>
            <w:tcW w:w="63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本年支出</w:t>
            </w:r>
          </w:p>
        </w:tc>
        <w:tc>
          <w:tcPr>
            <w:tcW w:w="21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09" w:hRule="atLeast"/>
        </w:trPr>
        <w:tc>
          <w:tcPr>
            <w:tcW w:w="12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科目代码</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科目名称</w:t>
            </w:r>
          </w:p>
        </w:tc>
        <w:tc>
          <w:tcPr>
            <w:tcW w:w="21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小计</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基本支出  </w:t>
            </w:r>
          </w:p>
        </w:tc>
        <w:tc>
          <w:tcPr>
            <w:tcW w:w="2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项目支出</w:t>
            </w:r>
          </w:p>
        </w:tc>
        <w:tc>
          <w:tcPr>
            <w:tcW w:w="21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栏次</w:t>
            </w: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4</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合计</w:t>
            </w: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25" w:hRule="atLeast"/>
        </w:trPr>
        <w:tc>
          <w:tcPr>
            <w:tcW w:w="15360" w:type="dxa"/>
            <w:gridSpan w:val="15"/>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宋体" w:hAnsi="宋体" w:eastAsia="宋体" w:cs="宋体"/>
                <w:i w:val="0"/>
                <w:color w:val="000000"/>
                <w:kern w:val="0"/>
                <w:sz w:val="24"/>
                <w:szCs w:val="24"/>
                <w:u w:val="none"/>
                <w:lang w:val="en-US" w:eastAsia="zh-CN"/>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楷体" w:hAnsi="楷体" w:eastAsia="楷体" w:cs="楷体"/>
                <w:b/>
                <w:bCs/>
                <w:i w:val="0"/>
                <w:color w:val="auto"/>
                <w:kern w:val="0"/>
                <w:sz w:val="24"/>
                <w:szCs w:val="24"/>
                <w:u w:val="none"/>
                <w:lang w:val="en-US" w:eastAsia="zh-CN"/>
              </w:rPr>
              <w:t>说明：我单位没有政府性基金收入，也没有使用政府性基金安排的支出，故本表无数据。</w:t>
            </w:r>
          </w:p>
        </w:tc>
      </w:tr>
    </w:tbl>
    <w:p>
      <w:pPr>
        <w:pStyle w:val="5"/>
        <w:rPr>
          <w:rFonts w:hint="eastAsia"/>
          <w:lang w:eastAsia="zh-CN"/>
        </w:rPr>
      </w:pPr>
    </w:p>
    <w:p>
      <w:pPr>
        <w:widowControl/>
        <w:jc w:val="center"/>
        <w:rPr>
          <w:rFonts w:hint="eastAsia" w:ascii="Times New Roman" w:hAnsi="Times New Roman" w:eastAsia="方正小标宋_GBK" w:cs="Times New Roman"/>
          <w:color w:val="000000"/>
          <w:kern w:val="0"/>
          <w:sz w:val="36"/>
          <w:szCs w:val="36"/>
        </w:rPr>
      </w:pPr>
    </w:p>
    <w:tbl>
      <w:tblPr>
        <w:tblStyle w:val="10"/>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881"/>
        <w:gridCol w:w="240"/>
        <w:gridCol w:w="1198"/>
        <w:gridCol w:w="3315"/>
        <w:gridCol w:w="3315"/>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7" w:hRule="atLeast"/>
        </w:trPr>
        <w:tc>
          <w:tcPr>
            <w:tcW w:w="288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40"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198"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both"/>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部门：湖南省农民科技教育培训中心</w:t>
            </w: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Fonts w:hint="eastAsia" w:ascii="宋体" w:hAnsi="宋体" w:eastAsia="宋体" w:cs="宋体"/>
                <w:i w:val="0"/>
                <w:color w:val="000000"/>
                <w:kern w:val="0"/>
                <w:sz w:val="22"/>
                <w:szCs w:val="22"/>
                <w:u w:val="none"/>
                <w:lang w:val="en-US" w:eastAsia="zh-CN" w:bidi="ar"/>
              </w:rPr>
              <w:t xml:space="preserve">   </w:t>
            </w:r>
            <w:r>
              <w:rPr>
                <w:rStyle w:val="19"/>
                <w:lang w:val="en-US" w:eastAsia="zh-CN" w:bidi="ar"/>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312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11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312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1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312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1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说明：我单位没有使用国有资本经营预算安排的支出，故本表无数据。</w:t>
            </w:r>
          </w:p>
        </w:tc>
      </w:tr>
    </w:tbl>
    <w:p>
      <w:pPr>
        <w:widowControl/>
        <w:jc w:val="center"/>
        <w:rPr>
          <w:rFonts w:hint="eastAsia" w:ascii="Times New Roman" w:hAnsi="Times New Roman" w:eastAsia="方正小标宋_GBK" w:cs="Times New Roman"/>
          <w:color w:val="000000"/>
          <w:kern w:val="0"/>
          <w:sz w:val="36"/>
          <w:szCs w:val="36"/>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center"/>
        <w:rPr>
          <w:rFonts w:hint="eastAsia" w:ascii="宋体" w:eastAsia="宋体" w:cs="宋体"/>
          <w:kern w:val="0"/>
          <w:sz w:val="24"/>
          <w:szCs w:val="24"/>
          <w:lang w:eastAsia="zh-CN"/>
        </w:rPr>
      </w:pPr>
      <w:r>
        <w:rPr>
          <w:rFonts w:hint="eastAsia" w:ascii="宋体" w:eastAsia="宋体" w:cs="宋体"/>
          <w:kern w:val="0"/>
          <w:sz w:val="24"/>
          <w:szCs w:val="24"/>
          <w:lang w:eastAsia="zh-CN"/>
        </w:rPr>
        <w:drawing>
          <wp:inline distT="0" distB="0" distL="114300" distR="114300">
            <wp:extent cx="9775190" cy="1922145"/>
            <wp:effectExtent l="0" t="0" r="16510" b="1905"/>
            <wp:docPr id="9" name="图片 9" descr="1724659463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724659463305"/>
                    <pic:cNvPicPr>
                      <a:picLocks noChangeAspect="1"/>
                    </pic:cNvPicPr>
                  </pic:nvPicPr>
                  <pic:blipFill>
                    <a:blip r:embed="rId10"/>
                    <a:stretch>
                      <a:fillRect/>
                    </a:stretch>
                  </pic:blipFill>
                  <pic:spPr>
                    <a:xfrm>
                      <a:off x="0" y="0"/>
                      <a:ext cx="9775190" cy="1922145"/>
                    </a:xfrm>
                    <a:prstGeom prst="rect">
                      <a:avLst/>
                    </a:prstGeom>
                  </pic:spPr>
                </pic:pic>
              </a:graphicData>
            </a:graphic>
          </wp:inline>
        </w:drawing>
      </w:r>
    </w:p>
    <w:p>
      <w:pPr>
        <w:autoSpaceDE w:val="0"/>
        <w:autoSpaceDN w:val="0"/>
        <w:adjustRightInd w:val="0"/>
        <w:ind w:left="315" w:leftChars="150"/>
        <w:jc w:val="left"/>
        <w:rPr>
          <w:rFonts w:ascii="宋体" w:eastAsia="宋体" w:cs="宋体"/>
          <w:kern w:val="0"/>
          <w:sz w:val="24"/>
          <w:szCs w:val="24"/>
        </w:rPr>
      </w:pPr>
    </w:p>
    <w:p>
      <w:pPr>
        <w:widowControl/>
        <w:jc w:val="both"/>
        <w:rPr>
          <w:sz w:val="72"/>
          <w:szCs w:val="72"/>
        </w:rPr>
        <w:sectPr>
          <w:pgSz w:w="16838" w:h="11906" w:orient="landscape"/>
          <w:pgMar w:top="720" w:right="720" w:bottom="720" w:left="720" w:header="851" w:footer="992" w:gutter="0"/>
          <w:cols w:space="425" w:num="1"/>
          <w:docGrid w:type="lines" w:linePitch="312" w:charSpace="0"/>
        </w:sectPr>
      </w:pPr>
      <w:r>
        <w:rPr>
          <w:rFonts w:ascii="黑体" w:hAnsi="黑体" w:eastAsia="黑体"/>
          <w:szCs w:val="21"/>
        </w:rPr>
        <w:br w:type="page"/>
      </w:r>
    </w:p>
    <w:p>
      <w:pPr>
        <w:pStyle w:val="14"/>
        <w:rPr>
          <w:sz w:val="72"/>
          <w:szCs w:val="72"/>
        </w:rPr>
      </w:pPr>
    </w:p>
    <w:p>
      <w:pPr>
        <w:pStyle w:val="14"/>
        <w:rPr>
          <w:sz w:val="72"/>
          <w:szCs w:val="72"/>
        </w:rPr>
      </w:pPr>
    </w:p>
    <w:p>
      <w:pPr>
        <w:pStyle w:val="14"/>
        <w:rPr>
          <w:sz w:val="72"/>
          <w:szCs w:val="72"/>
        </w:rPr>
      </w:pPr>
    </w:p>
    <w:p>
      <w:pPr>
        <w:pStyle w:val="14"/>
        <w:rPr>
          <w:sz w:val="72"/>
          <w:szCs w:val="72"/>
        </w:rPr>
      </w:pPr>
    </w:p>
    <w:p>
      <w:pPr>
        <w:pStyle w:val="14"/>
        <w:jc w:val="center"/>
        <w:rPr>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4"/>
        <w:jc w:val="center"/>
        <w:rPr>
          <w:rFonts w:hint="eastAsia" w:ascii="方正小标宋_GBK" w:hAnsi="方正小标宋_GBK" w:eastAsia="方正小标宋_GBK" w:cs="方正小标宋_GBK"/>
          <w:sz w:val="70"/>
          <w:szCs w:val="70"/>
        </w:rPr>
      </w:pPr>
    </w:p>
    <w:p>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pPr>
        <w:widowControl/>
        <w:jc w:val="left"/>
        <w:rPr>
          <w:rFonts w:asciiTheme="minorEastAsia" w:hAnsiTheme="minorEastAsia" w:eastAsiaTheme="minorEastAsia"/>
          <w:sz w:val="32"/>
          <w:szCs w:val="32"/>
        </w:rPr>
      </w:pPr>
      <w:r>
        <w:rPr>
          <w:rFonts w:hint="eastAsia" w:ascii="方正小标宋_GBK" w:hAnsi="方正小标宋_GBK" w:eastAsia="方正小标宋_GBK" w:cs="方正小标宋_GBK"/>
          <w:sz w:val="70"/>
          <w:szCs w:val="70"/>
        </w:rPr>
        <w:br w:type="page"/>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2046.13</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218.85</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11.98</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事业收入及年初结转和结余增长。</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年度收入合计</w:t>
      </w:r>
      <w:r>
        <w:rPr>
          <w:rFonts w:hint="eastAsia" w:ascii="Times New Roman" w:hAnsi="Times New Roman" w:eastAsia="仿宋_GB2312"/>
          <w:sz w:val="32"/>
          <w:szCs w:val="32"/>
          <w:lang w:val="en-US" w:eastAsia="zh-CN"/>
        </w:rPr>
        <w:t>1880.25</w:t>
      </w:r>
      <w:r>
        <w:rPr>
          <w:rFonts w:hint="eastAsia" w:ascii="Times New Roman" w:hAnsi="Times New Roman" w:eastAsia="仿宋_GB2312"/>
          <w:sz w:val="32"/>
          <w:szCs w:val="32"/>
        </w:rPr>
        <w:t>万元，其中：财政拨款收入</w:t>
      </w:r>
      <w:r>
        <w:rPr>
          <w:rFonts w:hint="eastAsia" w:ascii="Times New Roman" w:hAnsi="Times New Roman" w:eastAsia="仿宋_GB2312"/>
          <w:sz w:val="32"/>
          <w:szCs w:val="32"/>
          <w:lang w:val="en-US" w:eastAsia="zh-CN"/>
        </w:rPr>
        <w:t>1852.87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98.54</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en-US" w:eastAsia="zh-CN"/>
        </w:rPr>
        <w:t>27.27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1.45</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%；其他收入</w:t>
      </w:r>
      <w:r>
        <w:rPr>
          <w:rFonts w:hint="eastAsia" w:ascii="Times New Roman" w:hAnsi="Times New Roman" w:eastAsia="仿宋_GB2312"/>
          <w:sz w:val="32"/>
          <w:szCs w:val="32"/>
          <w:lang w:val="en-US" w:eastAsia="zh-CN"/>
        </w:rPr>
        <w:t>0.11</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0.01</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年度支出合计</w:t>
      </w:r>
      <w:r>
        <w:rPr>
          <w:rFonts w:hint="eastAsia" w:ascii="Times New Roman" w:hAnsi="Times New Roman" w:eastAsia="仿宋_GB2312"/>
          <w:sz w:val="32"/>
          <w:szCs w:val="32"/>
          <w:lang w:val="en-US" w:eastAsia="zh-CN"/>
        </w:rPr>
        <w:t>1814.95</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904.37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49.83</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910.58</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50.17</w:t>
      </w:r>
      <w:r>
        <w:rPr>
          <w:rFonts w:hint="eastAsia" w:ascii="Times New Roman" w:hAnsi="Times New Roman" w:eastAsia="仿宋_GB2312"/>
          <w:sz w:val="32"/>
          <w:szCs w:val="32"/>
        </w:rPr>
        <w:t>%；上缴上级支出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%；对附属单位补助支出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4"/>
        <w:keepNext w:val="0"/>
        <w:keepLines w:val="0"/>
        <w:pageBreakBefore w:val="0"/>
        <w:widowControl w:val="0"/>
        <w:kinsoku/>
        <w:wordWrap/>
        <w:overflowPunct/>
        <w:topLinePunct w:val="0"/>
        <w:bidi w:val="0"/>
        <w:snapToGrid/>
        <w:spacing w:line="600" w:lineRule="exact"/>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    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2018.75</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191.62</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10.49</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年初结转和结余增长。</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（一）一般公共预算财政拨款支出决算总体情况</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1787.66</w:t>
      </w:r>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98.50</w:t>
      </w:r>
      <w:r>
        <w:rPr>
          <w:rFonts w:hint="eastAsia" w:ascii="Times New Roman" w:hAnsi="Times New Roman" w:eastAsia="仿宋_GB2312"/>
          <w:sz w:val="32"/>
          <w:szCs w:val="32"/>
        </w:rPr>
        <w:t>%，与上年相比，财政拨款支出增加</w:t>
      </w:r>
      <w:r>
        <w:rPr>
          <w:rFonts w:hint="eastAsia" w:ascii="Times New Roman" w:hAnsi="Times New Roman" w:eastAsia="仿宋_GB2312"/>
          <w:sz w:val="32"/>
          <w:szCs w:val="32"/>
          <w:lang w:val="en-US" w:eastAsia="zh-CN"/>
        </w:rPr>
        <w:t>240.95</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15.58</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2023年全面解封项目正常开展，较2022年项目支出增加。</w:t>
      </w:r>
    </w:p>
    <w:p>
      <w:pPr>
        <w:pStyle w:val="14"/>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（二）一般公共预算财政拨款支出决算结构情况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1787.66</w:t>
      </w:r>
      <w:r>
        <w:rPr>
          <w:rFonts w:hint="eastAsia" w:ascii="Times New Roman" w:hAnsi="Times New Roman" w:eastAsia="仿宋_GB2312"/>
          <w:sz w:val="32"/>
          <w:szCs w:val="32"/>
        </w:rPr>
        <w:t>万元，主要用于以下方面：社会保障和就业（类）支出</w:t>
      </w:r>
      <w:r>
        <w:rPr>
          <w:rFonts w:hint="eastAsia" w:ascii="Times New Roman" w:hAnsi="Times New Roman" w:eastAsia="仿宋_GB2312"/>
          <w:sz w:val="32"/>
          <w:szCs w:val="32"/>
          <w:lang w:val="en-US" w:eastAsia="zh-CN"/>
        </w:rPr>
        <w:t>56.88</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3.18</w:t>
      </w:r>
      <w:r>
        <w:rPr>
          <w:rFonts w:hint="eastAsia" w:ascii="Times New Roman" w:hAnsi="Times New Roman" w:eastAsia="仿宋_GB2312"/>
          <w:sz w:val="32"/>
          <w:szCs w:val="32"/>
        </w:rPr>
        <w:t>%；农林水（类）支出</w:t>
      </w:r>
      <w:r>
        <w:rPr>
          <w:rFonts w:hint="eastAsia" w:ascii="Times New Roman" w:hAnsi="Times New Roman" w:eastAsia="仿宋_GB2312"/>
          <w:sz w:val="32"/>
          <w:szCs w:val="32"/>
          <w:lang w:val="en-US" w:eastAsia="zh-CN"/>
        </w:rPr>
        <w:t>1730.78</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96.82</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（三）一般公共预算财政拨款支出决算具体情况</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年度财政拨款支出年初预算数为</w:t>
      </w:r>
      <w:r>
        <w:rPr>
          <w:rFonts w:hint="eastAsia" w:ascii="Times New Roman" w:hAnsi="Times New Roman" w:eastAsia="仿宋_GB2312"/>
          <w:sz w:val="32"/>
          <w:szCs w:val="32"/>
          <w:lang w:val="en-US" w:eastAsia="zh-CN"/>
        </w:rPr>
        <w:t>1715.59</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1787.66</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104.2</w:t>
      </w:r>
      <w:r>
        <w:rPr>
          <w:rFonts w:hint="eastAsia" w:ascii="Times New Roman" w:hAnsi="Times New Roman" w:eastAsia="仿宋_GB2312"/>
          <w:sz w:val="32"/>
          <w:szCs w:val="32"/>
        </w:rPr>
        <w:t>%，其中：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1、</w:t>
      </w:r>
      <w:r>
        <w:rPr>
          <w:rFonts w:hint="eastAsia" w:ascii="Times New Roman" w:hAnsi="Times New Roman" w:eastAsia="仿宋_GB2312"/>
          <w:sz w:val="32"/>
          <w:szCs w:val="32"/>
          <w:lang w:eastAsia="zh-CN"/>
        </w:rPr>
        <w:t>社会保障和就业</w:t>
      </w:r>
      <w:r>
        <w:rPr>
          <w:rFonts w:hint="eastAsia" w:ascii="Times New Roman" w:hAnsi="Times New Roman" w:eastAsia="仿宋_GB2312"/>
          <w:sz w:val="32"/>
          <w:szCs w:val="32"/>
        </w:rPr>
        <w:t>（类）</w:t>
      </w:r>
      <w:r>
        <w:rPr>
          <w:rFonts w:hint="eastAsia" w:ascii="Times New Roman" w:hAnsi="Times New Roman" w:eastAsia="仿宋_GB2312"/>
          <w:sz w:val="32"/>
          <w:szCs w:val="32"/>
          <w:lang w:eastAsia="zh-CN"/>
        </w:rPr>
        <w:t>行政事业单位养老支出</w:t>
      </w:r>
      <w:r>
        <w:rPr>
          <w:rFonts w:hint="eastAsia" w:ascii="Times New Roman" w:hAnsi="Times New Roman" w:eastAsia="仿宋_GB2312"/>
          <w:sz w:val="32"/>
          <w:szCs w:val="32"/>
        </w:rPr>
        <w:t>（款）</w:t>
      </w:r>
      <w:r>
        <w:rPr>
          <w:rFonts w:hint="eastAsia" w:ascii="Times New Roman" w:hAnsi="Times New Roman" w:eastAsia="仿宋_GB2312"/>
          <w:sz w:val="32"/>
          <w:szCs w:val="32"/>
          <w:lang w:eastAsia="zh-CN"/>
        </w:rPr>
        <w:t>机关事业单位基本养老保险缴费支出</w:t>
      </w:r>
      <w:r>
        <w:rPr>
          <w:rFonts w:hint="eastAsia" w:ascii="Times New Roman" w:hAnsi="Times New Roman" w:eastAsia="仿宋_GB2312"/>
          <w:sz w:val="32"/>
          <w:szCs w:val="32"/>
        </w:rPr>
        <w:t>（项）。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48</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48</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2、社会保障和就业支出（类）抚恤（款）死亡抚恤（项）。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8.88</w:t>
      </w:r>
      <w:r>
        <w:rPr>
          <w:rFonts w:hint="eastAsia" w:ascii="Times New Roman" w:hAnsi="Times New Roman" w:eastAsia="仿宋_GB2312"/>
          <w:sz w:val="32"/>
          <w:szCs w:val="32"/>
        </w:rPr>
        <w:t>万元，决算数大于年初预算数的主要原因是：</w:t>
      </w:r>
      <w:r>
        <w:rPr>
          <w:rFonts w:hint="eastAsia" w:ascii="Times New Roman" w:hAnsi="Times New Roman" w:eastAsia="仿宋_GB2312"/>
          <w:sz w:val="32"/>
          <w:szCs w:val="32"/>
          <w:lang w:eastAsia="zh-CN"/>
        </w:rPr>
        <w:t>年中指标调剂。</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、农林水支出（类）农业农村（款）行政运行（项）。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176.37</w:t>
      </w:r>
      <w:r>
        <w:rPr>
          <w:rFonts w:hint="eastAsia" w:ascii="Times New Roman" w:hAnsi="Times New Roman" w:eastAsia="仿宋_GB2312"/>
          <w:sz w:val="32"/>
          <w:szCs w:val="32"/>
        </w:rPr>
        <w:t>万元，决算数大于年初预算数的主要原因是：</w:t>
      </w:r>
      <w:r>
        <w:rPr>
          <w:rFonts w:hint="eastAsia" w:ascii="Times New Roman" w:hAnsi="Times New Roman" w:eastAsia="仿宋_GB2312"/>
          <w:color w:val="auto"/>
          <w:sz w:val="32"/>
          <w:szCs w:val="32"/>
          <w:lang w:eastAsia="zh-CN"/>
        </w:rPr>
        <w:t>年底追加绩效工资、培训费等。</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、农林水支出（类）农业农村（款）一般行政管理事务（项）。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0000FF"/>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812.05</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807.48</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99.44</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eastAsia="zh-CN"/>
        </w:rPr>
        <w:t>年中执行与年初预算测算有一定差异</w:t>
      </w:r>
      <w:r>
        <w:rPr>
          <w:rFonts w:hint="eastAsia" w:ascii="Times New Roman" w:hAnsi="Times New Roman" w:eastAsia="仿宋_GB2312"/>
          <w:color w:val="auto"/>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、农林水支出（类）农业农村（款）事业运行（项）。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731.2</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643.83</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88.05</w:t>
      </w:r>
      <w:r>
        <w:rPr>
          <w:rFonts w:hint="eastAsia" w:ascii="Times New Roman" w:hAnsi="Times New Roman" w:eastAsia="仿宋_GB2312"/>
          <w:sz w:val="32"/>
          <w:szCs w:val="32"/>
        </w:rPr>
        <w:t>%，决算数小于年初预算数的主要原因是：受</w:t>
      </w:r>
      <w:r>
        <w:rPr>
          <w:rFonts w:hint="eastAsia" w:ascii="Times New Roman" w:hAnsi="Times New Roman" w:eastAsia="仿宋_GB2312"/>
          <w:sz w:val="32"/>
          <w:szCs w:val="32"/>
          <w:lang w:eastAsia="zh-CN"/>
        </w:rPr>
        <w:t>政策</w:t>
      </w:r>
      <w:r>
        <w:rPr>
          <w:rFonts w:hint="eastAsia" w:ascii="Times New Roman" w:hAnsi="Times New Roman" w:eastAsia="仿宋_GB2312"/>
          <w:sz w:val="32"/>
          <w:szCs w:val="32"/>
        </w:rPr>
        <w:t>影响，</w:t>
      </w:r>
      <w:r>
        <w:rPr>
          <w:rFonts w:hint="eastAsia" w:ascii="Times New Roman" w:hAnsi="Times New Roman" w:eastAsia="仿宋_GB2312"/>
          <w:sz w:val="32"/>
          <w:szCs w:val="32"/>
          <w:lang w:eastAsia="zh-CN"/>
        </w:rPr>
        <w:t>年终奖金未发放</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、农林水支出（类）农业农村（款）农业资源保护修复与利用（项）。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30.41</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9.18</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30.19</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color w:val="auto"/>
          <w:sz w:val="32"/>
          <w:szCs w:val="32"/>
          <w:lang w:eastAsia="zh-CN"/>
        </w:rPr>
        <w:t>农业种质资源保护与利用培训项目已完结。</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7</w:t>
      </w:r>
      <w:r>
        <w:rPr>
          <w:rFonts w:hint="eastAsia" w:ascii="Times New Roman" w:hAnsi="Times New Roman" w:eastAsia="仿宋_GB2312"/>
          <w:sz w:val="32"/>
          <w:szCs w:val="32"/>
        </w:rPr>
        <w:t>、农林水支出（类）农业农村（款）其他农业农村支出（项）。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93.92</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93.92</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年度财政拨款基本支出</w:t>
      </w:r>
      <w:r>
        <w:rPr>
          <w:rFonts w:hint="eastAsia" w:ascii="Times New Roman" w:hAnsi="Times New Roman" w:eastAsia="仿宋_GB2312"/>
          <w:sz w:val="32"/>
          <w:szCs w:val="32"/>
          <w:lang w:val="en-US" w:eastAsia="zh-CN"/>
        </w:rPr>
        <w:t>877.08</w:t>
      </w:r>
      <w:r>
        <w:rPr>
          <w:rFonts w:hint="eastAsia" w:ascii="Times New Roman" w:hAnsi="Times New Roman" w:eastAsia="仿宋_GB2312"/>
          <w:sz w:val="32"/>
          <w:szCs w:val="32"/>
        </w:rPr>
        <w:t>万元，其中：</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739.97</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84.37</w:t>
      </w:r>
      <w:r>
        <w:rPr>
          <w:rFonts w:hint="eastAsia" w:ascii="Times New Roman" w:hAnsi="Times New Roman" w:eastAsia="仿宋_GB2312"/>
          <w:sz w:val="32"/>
          <w:szCs w:val="32"/>
        </w:rPr>
        <w:t>%,主要包括基本工资、津贴补贴、奖金、伙食补助费</w:t>
      </w:r>
      <w:r>
        <w:rPr>
          <w:rFonts w:hint="eastAsia" w:ascii="Times New Roman" w:hAnsi="Times New Roman" w:eastAsia="仿宋_GB2312"/>
          <w:sz w:val="32"/>
          <w:szCs w:val="32"/>
          <w:lang w:eastAsia="zh-CN"/>
        </w:rPr>
        <w:t>、绩效工资、机关事业单位基本养老保险缴费、职工基本医疗保险缴费、其他社会保障缴费、住房公积金、退休费、抚恤金、奖励金、其他对个人和家庭的补助。</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b/>
          <w:sz w:val="32"/>
          <w:szCs w:val="32"/>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lang w:val="en-US" w:eastAsia="zh-CN"/>
        </w:rPr>
        <w:t>137.11</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15.63</w:t>
      </w:r>
      <w:r>
        <w:rPr>
          <w:rFonts w:hint="eastAsia" w:ascii="Times New Roman" w:hAnsi="Times New Roman" w:eastAsia="仿宋_GB2312"/>
          <w:sz w:val="32"/>
          <w:szCs w:val="32"/>
        </w:rPr>
        <w:t>%，主要包括办公费、印刷费、</w:t>
      </w:r>
      <w:r>
        <w:rPr>
          <w:rFonts w:hint="eastAsia" w:ascii="Times New Roman" w:hAnsi="Times New Roman" w:eastAsia="仿宋_GB2312"/>
          <w:sz w:val="32"/>
          <w:szCs w:val="32"/>
          <w:lang w:eastAsia="zh-CN"/>
        </w:rPr>
        <w:t>邮电费、差旅费、租赁费、会议费、培训费、公务接待费、劳务费、工会经费、福利费、其他交通费用、其他商品和服务支出</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黑体" w:hAnsi="黑体" w:eastAsia="黑体" w:cs="黑体"/>
          <w:b w:val="0"/>
          <w:bCs/>
          <w:sz w:val="32"/>
          <w:szCs w:val="32"/>
        </w:rPr>
        <w:t>七、财政拨款三公经费支出决算情况说明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2.9</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72.5</w:t>
      </w:r>
      <w:r>
        <w:rPr>
          <w:rFonts w:hint="eastAsia" w:ascii="Times New Roman" w:hAnsi="Times New Roman" w:eastAsia="仿宋_GB2312"/>
          <w:sz w:val="32"/>
          <w:szCs w:val="32"/>
        </w:rPr>
        <w:t>%，决算数小于预算数的主要原因是</w:t>
      </w:r>
      <w:r>
        <w:rPr>
          <w:rFonts w:hint="eastAsia" w:ascii="Times New Roman" w:hAnsi="Times New Roman" w:eastAsia="仿宋_GB2312"/>
          <w:sz w:val="32"/>
          <w:szCs w:val="32"/>
          <w:lang w:eastAsia="zh-CN"/>
        </w:rPr>
        <w:t>厉行节约，压减三公经费开支，</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eastAsia="zh-CN"/>
        </w:rPr>
        <w:t>增加</w:t>
      </w:r>
      <w:r>
        <w:rPr>
          <w:rFonts w:hint="eastAsia" w:ascii="Times New Roman" w:hAnsi="Times New Roman" w:eastAsia="仿宋_GB2312"/>
          <w:sz w:val="32"/>
          <w:szCs w:val="32"/>
          <w:lang w:val="en-US" w:eastAsia="zh-CN"/>
        </w:rPr>
        <w:t>1.03</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增加</w:t>
      </w:r>
      <w:r>
        <w:rPr>
          <w:rFonts w:hint="eastAsia" w:ascii="Times New Roman" w:hAnsi="Times New Roman" w:eastAsia="仿宋_GB2312"/>
          <w:sz w:val="32"/>
          <w:szCs w:val="32"/>
          <w:lang w:val="en-US" w:eastAsia="zh-CN"/>
        </w:rPr>
        <w:t>55.08</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增加</w:t>
      </w:r>
      <w:r>
        <w:rPr>
          <w:rFonts w:hint="eastAsia" w:ascii="Times New Roman" w:hAnsi="Times New Roman" w:eastAsia="仿宋_GB2312"/>
          <w:sz w:val="32"/>
          <w:szCs w:val="32"/>
        </w:rPr>
        <w:t>的主要原因是</w:t>
      </w:r>
      <w:r>
        <w:rPr>
          <w:rFonts w:hint="eastAsia" w:ascii="Times New Roman" w:hAnsi="Times New Roman" w:eastAsia="仿宋_GB2312"/>
          <w:sz w:val="32"/>
          <w:szCs w:val="32"/>
          <w:lang w:eastAsia="zh-CN"/>
        </w:rPr>
        <w:t>公务接待费增加</w:t>
      </w:r>
      <w:r>
        <w:rPr>
          <w:rFonts w:hint="eastAsia" w:ascii="Times New Roman" w:hAnsi="Times New Roman" w:eastAsia="仿宋_GB2312"/>
          <w:sz w:val="32"/>
          <w:szCs w:val="32"/>
        </w:rPr>
        <w:t>。其中：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red"/>
        </w:rPr>
      </w:pPr>
      <w:r>
        <w:rPr>
          <w:rFonts w:hint="eastAsia" w:ascii="Times New Roman" w:hAnsi="Times New Roman" w:eastAsia="仿宋_GB2312"/>
          <w:sz w:val="32"/>
          <w:szCs w:val="32"/>
        </w:rPr>
        <w:t>因公出国（境）费支出预算为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万元，与上年相比</w:t>
      </w:r>
      <w:r>
        <w:rPr>
          <w:rFonts w:hint="eastAsia" w:ascii="Times New Roman" w:hAnsi="Times New Roman" w:eastAsia="仿宋_GB2312"/>
          <w:sz w:val="32"/>
          <w:szCs w:val="32"/>
          <w:lang w:eastAsia="zh-CN"/>
        </w:rPr>
        <w:t>持平。</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2.9</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72.5</w:t>
      </w:r>
      <w:r>
        <w:rPr>
          <w:rFonts w:hint="eastAsia" w:ascii="Times New Roman" w:hAnsi="Times New Roman" w:eastAsia="仿宋_GB2312"/>
          <w:sz w:val="32"/>
          <w:szCs w:val="32"/>
        </w:rPr>
        <w:t>%，决算数小于预算数的主要原因是</w:t>
      </w:r>
      <w:r>
        <w:rPr>
          <w:rFonts w:hint="eastAsia" w:ascii="Times New Roman" w:hAnsi="Times New Roman" w:eastAsia="仿宋_GB2312"/>
          <w:sz w:val="32"/>
          <w:szCs w:val="32"/>
          <w:lang w:eastAsia="zh-CN"/>
        </w:rPr>
        <w:t>认真贯彻中央八项规定精神和厉行节约要求，压减三公经费开支</w:t>
      </w:r>
      <w:r>
        <w:rPr>
          <w:rFonts w:hint="eastAsia" w:ascii="Times New Roman" w:hAnsi="Times New Roman" w:eastAsia="仿宋_GB2312"/>
          <w:sz w:val="32"/>
          <w:szCs w:val="32"/>
        </w:rPr>
        <w:t>，与上年相比增加</w:t>
      </w:r>
      <w:r>
        <w:rPr>
          <w:rFonts w:hint="eastAsia" w:ascii="Times New Roman" w:hAnsi="Times New Roman" w:eastAsia="仿宋_GB2312"/>
          <w:sz w:val="32"/>
          <w:szCs w:val="32"/>
          <w:lang w:val="en-US" w:eastAsia="zh-CN"/>
        </w:rPr>
        <w:t>1.03</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55.08</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增长的主要原因是</w:t>
      </w:r>
      <w:r>
        <w:rPr>
          <w:rFonts w:hint="eastAsia" w:ascii="Times New Roman" w:hAnsi="Times New Roman" w:eastAsia="仿宋_GB2312"/>
          <w:sz w:val="32"/>
          <w:szCs w:val="32"/>
          <w:lang w:eastAsia="zh-CN"/>
        </w:rPr>
        <w:t>接待来访人次增加</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red"/>
        </w:rPr>
      </w:pPr>
      <w:r>
        <w:rPr>
          <w:rFonts w:hint="eastAsia" w:ascii="Times New Roman" w:hAnsi="Times New Roman" w:eastAsia="仿宋_GB2312"/>
          <w:sz w:val="32"/>
          <w:szCs w:val="32"/>
        </w:rPr>
        <w:t>公务用车购置费支出预算为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万元，与上年相比</w:t>
      </w:r>
      <w:r>
        <w:rPr>
          <w:rFonts w:hint="eastAsia" w:ascii="Times New Roman" w:hAnsi="Times New Roman" w:eastAsia="仿宋_GB2312"/>
          <w:sz w:val="32"/>
          <w:szCs w:val="32"/>
          <w:lang w:eastAsia="zh-CN"/>
        </w:rPr>
        <w:t>持平。</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red"/>
        </w:rPr>
      </w:pPr>
      <w:r>
        <w:rPr>
          <w:rFonts w:hint="eastAsia" w:ascii="Times New Roman" w:hAnsi="Times New Roman" w:eastAsia="仿宋_GB2312"/>
          <w:sz w:val="32"/>
          <w:szCs w:val="32"/>
        </w:rPr>
        <w:t>公务用车运行维护费支出预算为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万元，与上年相比</w:t>
      </w:r>
      <w:r>
        <w:rPr>
          <w:rFonts w:hint="eastAsia" w:ascii="Times New Roman" w:hAnsi="Times New Roman" w:eastAsia="仿宋_GB2312"/>
          <w:sz w:val="32"/>
          <w:szCs w:val="32"/>
          <w:lang w:eastAsia="zh-CN"/>
        </w:rPr>
        <w:t>持平。</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年度“三公”经费财政拨款支出决算中，公务接待费支出决算</w:t>
      </w:r>
      <w:r>
        <w:rPr>
          <w:rFonts w:hint="eastAsia" w:ascii="Times New Roman" w:hAnsi="Times New Roman" w:eastAsia="仿宋_GB2312"/>
          <w:sz w:val="32"/>
          <w:szCs w:val="32"/>
          <w:lang w:val="en-US" w:eastAsia="zh-CN"/>
        </w:rPr>
        <w:t>2.9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%,因公出国（境）费支出决算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公务用车购置费及运行维护费支出决算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仿宋_GB2312" w:cs="楷体"/>
          <w:b/>
          <w:bCs/>
          <w:i/>
          <w:color w:val="auto"/>
          <w:sz w:val="32"/>
          <w:szCs w:val="32"/>
          <w:lang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万元，全年安排因公出国（境）团组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个，累计</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2.9</w:t>
      </w:r>
      <w:r>
        <w:rPr>
          <w:rFonts w:hint="eastAsia" w:ascii="Times New Roman" w:hAnsi="Times New Roman" w:eastAsia="仿宋_GB2312"/>
          <w:sz w:val="32"/>
          <w:szCs w:val="32"/>
        </w:rPr>
        <w:t>万元，全年共接待</w:t>
      </w:r>
      <w:r>
        <w:rPr>
          <w:rFonts w:hint="eastAsia" w:ascii="Times New Roman" w:hAnsi="Times New Roman" w:eastAsia="仿宋_GB2312"/>
          <w:sz w:val="32"/>
          <w:szCs w:val="32"/>
          <w:lang w:val="en-US" w:eastAsia="zh-CN"/>
        </w:rPr>
        <w:t>14个市州及所辖县市区农广校、省级示范性农民田间学校等来访39个，来宾169人次</w:t>
      </w:r>
      <w:r>
        <w:rPr>
          <w:rFonts w:hint="eastAsia" w:ascii="Times New Roman" w:hAnsi="Times New Roman" w:eastAsia="仿宋_GB2312"/>
          <w:sz w:val="32"/>
          <w:szCs w:val="32"/>
        </w:rPr>
        <w:t>，主要是</w:t>
      </w:r>
      <w:r>
        <w:rPr>
          <w:rFonts w:hint="eastAsia" w:ascii="Times New Roman" w:hAnsi="Times New Roman" w:eastAsia="仿宋_GB2312"/>
          <w:sz w:val="32"/>
          <w:szCs w:val="32"/>
          <w:lang w:val="en-US" w:eastAsia="zh-CN"/>
        </w:rPr>
        <w:t>各市州及所辖县市区农广校到省校来汇报工作、对接培训事宜发生的接待支出。</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kern w:val="0"/>
          <w:sz w:val="32"/>
          <w:szCs w:val="32"/>
          <w:highlight w:val="red"/>
          <w:lang w:val="en-US" w:eastAsia="zh-CN" w:bidi="ar-SA"/>
        </w:rPr>
      </w:pPr>
      <w:r>
        <w:rPr>
          <w:rFonts w:hint="eastAsia" w:ascii="Times New Roman" w:hAnsi="Times New Roman" w:eastAsia="仿宋_GB2312" w:cs="黑体"/>
          <w:color w:val="000000"/>
          <w:kern w:val="0"/>
          <w:sz w:val="32"/>
          <w:szCs w:val="32"/>
          <w:lang w:val="en-US" w:eastAsia="zh-CN" w:bidi="ar-SA"/>
        </w:rPr>
        <w:t>3、公务用车购置费及运行维护费支出决算为0万元，其中：公务用车购置费0万元，我单位更新公务用车0辆。公务用车运行维护费0万元，截止2023年12月31日，我单位开支财政拨款的公务用车保有量为0辆。</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本单位无政府性基金收支。</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九、关于机关运行经费支出说明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本单位无机关运行经费。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年本部门开支会议费</w:t>
      </w:r>
      <w:r>
        <w:rPr>
          <w:rFonts w:hint="eastAsia" w:ascii="Times New Roman" w:hAnsi="Times New Roman" w:eastAsia="仿宋_GB2312"/>
          <w:sz w:val="32"/>
          <w:szCs w:val="32"/>
          <w:lang w:val="en-US" w:eastAsia="zh-CN"/>
        </w:rPr>
        <w:t>0.49</w:t>
      </w:r>
      <w:r>
        <w:rPr>
          <w:rFonts w:hint="eastAsia" w:ascii="Times New Roman" w:hAnsi="Times New Roman" w:eastAsia="仿宋_GB2312"/>
          <w:sz w:val="32"/>
          <w:szCs w:val="32"/>
        </w:rPr>
        <w:t>万元，用于召开全国农民教育培训发展论坛会议，人数</w:t>
      </w:r>
      <w:r>
        <w:rPr>
          <w:rFonts w:hint="eastAsia" w:ascii="Times New Roman" w:hAnsi="Times New Roman" w:eastAsia="仿宋_GB2312"/>
          <w:sz w:val="32"/>
          <w:szCs w:val="32"/>
          <w:lang w:val="en-US" w:eastAsia="zh-CN"/>
        </w:rPr>
        <w:t>8</w:t>
      </w:r>
      <w:r>
        <w:rPr>
          <w:rFonts w:hint="eastAsia" w:ascii="Times New Roman" w:hAnsi="Times New Roman" w:eastAsia="仿宋_GB2312"/>
          <w:sz w:val="32"/>
          <w:szCs w:val="32"/>
        </w:rPr>
        <w:t>人，内容为举办第五届农民教育培训发展论坛；开支培训费</w:t>
      </w:r>
      <w:r>
        <w:rPr>
          <w:rFonts w:hint="eastAsia" w:ascii="Times New Roman" w:hAnsi="Times New Roman" w:eastAsia="仿宋_GB2312"/>
          <w:sz w:val="32"/>
          <w:szCs w:val="32"/>
          <w:lang w:val="en-US" w:eastAsia="zh-CN"/>
        </w:rPr>
        <w:t>818.01</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主要用于以下四个方面：</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一是用于举办</w:t>
      </w:r>
      <w:bookmarkStart w:id="0" w:name="OLE_LINK1"/>
      <w:r>
        <w:rPr>
          <w:rFonts w:hint="eastAsia" w:ascii="Times New Roman" w:hAnsi="Times New Roman" w:eastAsia="仿宋_GB2312"/>
          <w:sz w:val="32"/>
          <w:szCs w:val="32"/>
          <w:lang w:eastAsia="zh-CN"/>
        </w:rPr>
        <w:t>“农广助农”产业领军人才培训班</w:t>
      </w:r>
      <w:bookmarkEnd w:id="0"/>
      <w:r>
        <w:rPr>
          <w:rFonts w:hint="eastAsia" w:ascii="Times New Roman" w:hAnsi="Times New Roman" w:eastAsia="仿宋_GB2312"/>
          <w:sz w:val="32"/>
          <w:szCs w:val="32"/>
          <w:lang w:val="en-US" w:eastAsia="zh-CN"/>
        </w:rPr>
        <w:t>47期，培训6066人次，</w:t>
      </w:r>
      <w:r>
        <w:rPr>
          <w:rFonts w:hint="eastAsia" w:ascii="Times New Roman" w:hAnsi="Times New Roman" w:eastAsia="仿宋_GB2312"/>
          <w:sz w:val="32"/>
          <w:szCs w:val="32"/>
          <w:lang w:eastAsia="zh-CN"/>
        </w:rPr>
        <w:t>开支培训费</w:t>
      </w:r>
      <w:r>
        <w:rPr>
          <w:rFonts w:hint="eastAsia" w:ascii="Times New Roman" w:hAnsi="Times New Roman" w:eastAsia="仿宋_GB2312"/>
          <w:sz w:val="32"/>
          <w:szCs w:val="32"/>
          <w:lang w:val="en-US" w:eastAsia="zh-CN"/>
        </w:rPr>
        <w:t>467.67</w:t>
      </w:r>
      <w:r>
        <w:rPr>
          <w:rFonts w:hint="eastAsia" w:ascii="Times New Roman" w:hAnsi="Times New Roman" w:eastAsia="仿宋_GB2312"/>
          <w:sz w:val="32"/>
          <w:szCs w:val="32"/>
          <w:lang w:eastAsia="zh-CN"/>
        </w:rPr>
        <w:t>万元。主要培训全省各市州、县市区农业产业领军人才、家庭农场主、合作社理事长等新型农业经营主体。</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二是用于开展</w:t>
      </w:r>
      <w:bookmarkStart w:id="1" w:name="OLE_LINK4"/>
      <w:r>
        <w:rPr>
          <w:rFonts w:hint="eastAsia" w:ascii="Times New Roman" w:hAnsi="Times New Roman" w:eastAsia="仿宋_GB2312"/>
          <w:sz w:val="32"/>
          <w:szCs w:val="32"/>
          <w:lang w:val="en-US" w:eastAsia="zh-CN"/>
        </w:rPr>
        <w:t>“三农”干部走出去培训班</w:t>
      </w:r>
      <w:bookmarkEnd w:id="1"/>
      <w:r>
        <w:rPr>
          <w:rFonts w:hint="eastAsia" w:ascii="Times New Roman" w:hAnsi="Times New Roman" w:eastAsia="仿宋_GB2312"/>
          <w:sz w:val="32"/>
          <w:szCs w:val="32"/>
          <w:lang w:val="en-US" w:eastAsia="zh-CN"/>
        </w:rPr>
        <w:t>6期，培训229人次，开支培训费84.05万元。主要培训全省各市州、县市区“三农”战线的干部。</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三是用于开展</w:t>
      </w:r>
      <w:bookmarkStart w:id="2" w:name="OLE_LINK2"/>
      <w:r>
        <w:rPr>
          <w:rFonts w:hint="eastAsia" w:ascii="Times New Roman" w:hAnsi="Times New Roman" w:eastAsia="仿宋_GB2312"/>
          <w:sz w:val="32"/>
          <w:szCs w:val="32"/>
          <w:lang w:val="en-US" w:eastAsia="zh-CN"/>
        </w:rPr>
        <w:t>厅机关各处室培训班</w:t>
      </w:r>
      <w:bookmarkEnd w:id="2"/>
      <w:r>
        <w:rPr>
          <w:rFonts w:hint="eastAsia" w:ascii="Times New Roman" w:hAnsi="Times New Roman" w:eastAsia="仿宋_GB2312"/>
          <w:sz w:val="32"/>
          <w:szCs w:val="32"/>
          <w:lang w:val="en-US" w:eastAsia="zh-CN"/>
        </w:rPr>
        <w:t>19期，培训2796人次，开支培训费160.52万元，主要培训全省农业农村厅系统干部。</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四是用于农民田间学校开展农业实用技术培训班37期，培训2332人次，开支培训费105.77万元。主要是农业实用新技术的培训推广。</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楷体" w:hAnsi="楷体" w:eastAsia="楷体" w:cs="楷体"/>
          <w:b/>
          <w:bCs/>
          <w:i/>
          <w:color w:val="auto"/>
          <w:kern w:val="0"/>
          <w:sz w:val="36"/>
          <w:szCs w:val="36"/>
          <w:highlight w:val="red"/>
          <w:lang w:val="en-US" w:eastAsia="zh-CN" w:bidi="ar-SA"/>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年度政府采购支出总额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 xml:space="preserve"> 万元、政府采购工程支出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万元，其中：授予小微企业合同金额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color w:val="auto"/>
          <w:sz w:val="32"/>
          <w:szCs w:val="32"/>
        </w:rPr>
        <w:t>。</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十二、关于国有资产占用情况说明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截至202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年12月31日，</w:t>
      </w:r>
      <w:r>
        <w:rPr>
          <w:rFonts w:hint="eastAsia" w:ascii="Times New Roman" w:hAnsi="Times New Roman" w:eastAsia="仿宋_GB2312"/>
          <w:color w:val="auto"/>
          <w:sz w:val="32"/>
          <w:szCs w:val="32"/>
          <w:lang w:eastAsia="zh-CN"/>
        </w:rPr>
        <w:t>部门（单位）</w:t>
      </w:r>
      <w:r>
        <w:rPr>
          <w:rFonts w:hint="eastAsia" w:ascii="Times New Roman" w:hAnsi="Times New Roman" w:eastAsia="仿宋_GB2312"/>
          <w:color w:val="auto"/>
          <w:sz w:val="32"/>
          <w:szCs w:val="32"/>
        </w:rPr>
        <w:t>共有车辆</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辆，其中</w:t>
      </w:r>
      <w:r>
        <w:rPr>
          <w:rFonts w:hint="eastAsia" w:ascii="Times New Roman" w:hAnsi="Times New Roman" w:eastAsia="仿宋_GB2312"/>
          <w:color w:val="auto"/>
          <w:sz w:val="32"/>
          <w:szCs w:val="32"/>
          <w:lang w:eastAsia="zh-CN"/>
        </w:rPr>
        <w:t>，副部（省）级及以上领导用车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主要</w:t>
      </w:r>
      <w:r>
        <w:rPr>
          <w:rFonts w:hint="eastAsia" w:ascii="Times New Roman" w:hAnsi="Times New Roman" w:eastAsia="仿宋_GB2312"/>
          <w:color w:val="auto"/>
          <w:sz w:val="32"/>
          <w:szCs w:val="32"/>
          <w:lang w:eastAsia="zh-CN"/>
        </w:rPr>
        <w:t>负责人</w:t>
      </w:r>
      <w:r>
        <w:rPr>
          <w:rFonts w:hint="eastAsia" w:ascii="Times New Roman" w:hAnsi="Times New Roman" w:eastAsia="仿宋_GB2312"/>
          <w:color w:val="auto"/>
          <w:sz w:val="32"/>
          <w:szCs w:val="32"/>
        </w:rPr>
        <w:t>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机要通信用车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辆、应急保障用车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辆、执法执勤用车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辆、特种专业技术用车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离退休干部服务用车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辆、其他用车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辆；单位价值100万元以上设备</w:t>
      </w:r>
      <w:r>
        <w:rPr>
          <w:rFonts w:hint="eastAsia" w:ascii="Times New Roman" w:hAnsi="Times New Roman" w:eastAsia="仿宋_GB2312"/>
          <w:color w:val="auto"/>
          <w:sz w:val="32"/>
          <w:szCs w:val="32"/>
          <w:lang w:eastAsia="zh-CN"/>
        </w:rPr>
        <w:t>（不含车辆）</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台（套）。</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十三、关于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我单位高度重视绩效管理工作，扎实推进预算管理和绩效管理深度融合，将绩效管理贯穿于预算编制、执行、监督全过程。一是加大事前绩效评估力度。结合预算编制，在预算一体化系统中对每个项目及单位整体开展事前绩效评估，填报绩效目标申报表；二是开展绩效运行监控。结合预算执行，实施单位整体支出和项目支出绩效目标实现程度和预算执行进度“双监控”全覆盖。三是开展整体支出绩效自评。根据全年支出情况开展整体支出绩效自评，填报了《2023年度单位整</w:t>
      </w:r>
      <w:r>
        <w:rPr>
          <w:rFonts w:hint="default" w:ascii="Times New Roman" w:hAnsi="Times New Roman" w:eastAsia="仿宋_GB2312"/>
          <w:sz w:val="32"/>
          <w:szCs w:val="32"/>
          <w:lang w:val="en-US" w:eastAsia="zh-CN"/>
        </w:rPr>
        <w:t>体支出绩效自评表</w:t>
      </w:r>
      <w:r>
        <w:rPr>
          <w:rFonts w:hint="eastAsia" w:ascii="Times New Roman" w:hAnsi="Times New Roman" w:eastAsia="仿宋_GB2312"/>
          <w:sz w:val="32"/>
          <w:szCs w:val="32"/>
          <w:lang w:val="en-US" w:eastAsia="zh-CN"/>
        </w:rPr>
        <w:t>》及《2023年度单位整体支出绩效自评报告》。</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（二）单位</w:t>
      </w:r>
      <w:r>
        <w:rPr>
          <w:rFonts w:hint="eastAsia" w:ascii="楷体" w:hAnsi="楷体" w:eastAsia="楷体" w:cs="楷体"/>
          <w:b/>
          <w:bCs/>
          <w:sz w:val="32"/>
          <w:szCs w:val="32"/>
        </w:rPr>
        <w:t>整体支出绩效情况</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2023年，我校（中心）以习近平新时代中国特色社会主义思想为指导，深入学习领会党的二十大精神，扎实开展学习贯彻习近平新时代中国特色社会主义思想主题教育，认真贯彻落实省委决策部署和厅党组重点工作要求，坚持以党的建设为引领，积极发挥农民教育培训专门机构主力军作用，高质量开展农民教育培训工作，加快培养高素质农民和农村实用人才，取得了较好成效，被中央农广校、中国农民体协评为“2023年度广播电视教育工作综合贡献奖”“2023年度农民体育工作优秀单位”。</w:t>
      </w:r>
    </w:p>
    <w:p>
      <w:pPr>
        <w:pStyle w:val="14"/>
        <w:keepNext w:val="0"/>
        <w:keepLines w:val="0"/>
        <w:pageBreakBefore w:val="0"/>
        <w:widowControl w:val="0"/>
        <w:numPr>
          <w:ilvl w:val="0"/>
          <w:numId w:val="2"/>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严控运行成本</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年“三公”经费支出</w:t>
      </w:r>
      <w:r>
        <w:rPr>
          <w:rFonts w:hint="eastAsia" w:ascii="Times New Roman" w:hAnsi="Times New Roman" w:eastAsia="仿宋_GB2312"/>
          <w:color w:val="auto"/>
          <w:sz w:val="32"/>
          <w:szCs w:val="32"/>
          <w:lang w:val="en-US" w:eastAsia="zh-CN"/>
        </w:rPr>
        <w:t>2.9</w:t>
      </w:r>
      <w:r>
        <w:rPr>
          <w:rFonts w:hint="eastAsia" w:ascii="Times New Roman" w:hAnsi="Times New Roman" w:eastAsia="仿宋_GB2312"/>
          <w:color w:val="auto"/>
          <w:sz w:val="32"/>
          <w:szCs w:val="32"/>
        </w:rPr>
        <w:t>万元。其中公务接待费</w:t>
      </w:r>
      <w:r>
        <w:rPr>
          <w:rFonts w:hint="eastAsia" w:ascii="Times New Roman" w:hAnsi="Times New Roman" w:eastAsia="仿宋_GB2312"/>
          <w:color w:val="auto"/>
          <w:sz w:val="32"/>
          <w:szCs w:val="32"/>
          <w:lang w:val="en-US" w:eastAsia="zh-CN"/>
        </w:rPr>
        <w:t>2.9</w:t>
      </w:r>
      <w:r>
        <w:rPr>
          <w:rFonts w:hint="eastAsia" w:ascii="Times New Roman" w:hAnsi="Times New Roman" w:eastAsia="仿宋_GB2312"/>
          <w:color w:val="auto"/>
          <w:sz w:val="32"/>
          <w:szCs w:val="32"/>
        </w:rPr>
        <w:t>万元、公务用车运行维护费</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万元、车辆购置费支出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万元，较年初预算</w:t>
      </w: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rPr>
        <w:t>万元节约</w:t>
      </w:r>
      <w:r>
        <w:rPr>
          <w:rFonts w:hint="eastAsia" w:ascii="Times New Roman" w:hAnsi="Times New Roman" w:eastAsia="仿宋_GB2312"/>
          <w:color w:val="auto"/>
          <w:sz w:val="32"/>
          <w:szCs w:val="32"/>
          <w:lang w:val="en-US" w:eastAsia="zh-CN"/>
        </w:rPr>
        <w:t>1.1</w:t>
      </w:r>
      <w:r>
        <w:rPr>
          <w:rFonts w:hint="eastAsia" w:ascii="Times New Roman" w:hAnsi="Times New Roman" w:eastAsia="仿宋_GB2312"/>
          <w:color w:val="auto"/>
          <w:sz w:val="32"/>
          <w:szCs w:val="32"/>
        </w:rPr>
        <w:t>万元，节约比为</w:t>
      </w:r>
      <w:r>
        <w:rPr>
          <w:rFonts w:hint="eastAsia" w:ascii="Times New Roman" w:hAnsi="Times New Roman" w:eastAsia="仿宋_GB2312"/>
          <w:color w:val="auto"/>
          <w:sz w:val="32"/>
          <w:szCs w:val="32"/>
          <w:lang w:val="en-US" w:eastAsia="zh-CN"/>
        </w:rPr>
        <w:t>27.5</w:t>
      </w:r>
      <w:r>
        <w:rPr>
          <w:rFonts w:hint="eastAsia" w:ascii="Times New Roman" w:hAnsi="Times New Roman" w:eastAsia="仿宋_GB2312"/>
          <w:color w:val="auto"/>
          <w:sz w:val="32"/>
          <w:szCs w:val="32"/>
        </w:rPr>
        <w:t>%。</w:t>
      </w:r>
    </w:p>
    <w:p>
      <w:pPr>
        <w:pStyle w:val="14"/>
        <w:keepNext w:val="0"/>
        <w:keepLines w:val="0"/>
        <w:pageBreakBefore w:val="0"/>
        <w:widowControl w:val="0"/>
        <w:numPr>
          <w:ilvl w:val="0"/>
          <w:numId w:val="2"/>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eastAsia="zh-CN"/>
        </w:rPr>
        <w:t>提高管理效率</w:t>
      </w:r>
    </w:p>
    <w:p>
      <w:pPr>
        <w:spacing w:line="560" w:lineRule="atLeast"/>
        <w:ind w:firstLine="640" w:firstLineChars="200"/>
        <w:rPr>
          <w:rFonts w:hint="eastAsia" w:ascii="Times New Roman" w:hAnsi="Times New Roman" w:eastAsia="仿宋_GB2312"/>
          <w:color w:val="FF0000"/>
          <w:sz w:val="32"/>
          <w:szCs w:val="32"/>
          <w:lang w:val="en-US" w:eastAsia="zh-CN"/>
        </w:rPr>
      </w:pPr>
      <w:r>
        <w:rPr>
          <w:rFonts w:hint="eastAsia" w:ascii="Times New Roman" w:hAnsi="Times New Roman" w:eastAsia="仿宋_GB2312"/>
          <w:color w:val="auto"/>
          <w:sz w:val="32"/>
          <w:szCs w:val="32"/>
        </w:rPr>
        <w:t>一是开展“农广助农”产业领军人才培训。围绕全省农业主导产业、优势产业和特色产业，联合基层农广校以及省畜牧兽医研究所、省蚕科所等科研院所，面向产业生产经营主要从业人员，开展产业技术和经营管理知识专项培训，组织培训47期，培训6066人次</w:t>
      </w:r>
      <w:r>
        <w:rPr>
          <w:rFonts w:hint="eastAsia" w:ascii="仿宋_GB2312" w:hAnsi="仿宋_GB2312" w:eastAsia="仿宋_GB2312" w:cs="仿宋_GB2312"/>
          <w:sz w:val="32"/>
          <w:szCs w:val="32"/>
          <w:lang w:val="en-US" w:eastAsia="zh-CN"/>
        </w:rPr>
        <w:t>。二是开展“</w:t>
      </w:r>
      <w:r>
        <w:rPr>
          <w:rFonts w:hint="default" w:ascii="仿宋_GB2312" w:hAnsi="仿宋_GB2312" w:eastAsia="仿宋_GB2312" w:cs="仿宋_GB2312"/>
          <w:sz w:val="32"/>
          <w:szCs w:val="32"/>
          <w:lang w:val="en-US" w:eastAsia="zh-CN"/>
        </w:rPr>
        <w:t>三农</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干部走出去培训</w:t>
      </w:r>
      <w:r>
        <w:rPr>
          <w:rFonts w:hint="eastAsia" w:ascii="仿宋_GB2312" w:hAnsi="仿宋_GB2312" w:eastAsia="仿宋_GB2312" w:cs="仿宋_GB2312"/>
          <w:sz w:val="32"/>
          <w:szCs w:val="32"/>
          <w:lang w:val="en-US" w:eastAsia="zh-CN"/>
        </w:rPr>
        <w:t>。组织</w:t>
      </w:r>
      <w:r>
        <w:rPr>
          <w:rFonts w:hint="default" w:ascii="仿宋_GB2312" w:hAnsi="仿宋_GB2312" w:eastAsia="仿宋_GB2312" w:cs="仿宋_GB2312"/>
          <w:sz w:val="32"/>
          <w:szCs w:val="32"/>
          <w:lang w:val="en-US" w:eastAsia="zh-CN"/>
        </w:rPr>
        <w:t>全省</w:t>
      </w:r>
      <w:r>
        <w:rPr>
          <w:rFonts w:hint="eastAsia" w:ascii="仿宋_GB2312" w:hAnsi="仿宋_GB2312" w:eastAsia="仿宋_GB2312" w:cs="仿宋_GB2312"/>
          <w:sz w:val="32"/>
          <w:szCs w:val="32"/>
          <w:lang w:val="en-US" w:eastAsia="zh-CN"/>
        </w:rPr>
        <w:t>村级集体经济发展、农村人才培养等</w:t>
      </w:r>
      <w:r>
        <w:rPr>
          <w:rFonts w:hint="default" w:ascii="仿宋_GB2312" w:hAnsi="仿宋_GB2312" w:eastAsia="仿宋_GB2312" w:cs="仿宋_GB2312"/>
          <w:sz w:val="32"/>
          <w:szCs w:val="32"/>
          <w:lang w:val="en-US" w:eastAsia="zh-CN"/>
        </w:rPr>
        <w:t>领域的</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三农</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干部，实地</w:t>
      </w:r>
      <w:r>
        <w:rPr>
          <w:rFonts w:hint="eastAsia" w:ascii="仿宋_GB2312" w:hAnsi="仿宋_GB2312" w:eastAsia="仿宋_GB2312" w:cs="仿宋_GB2312"/>
          <w:sz w:val="32"/>
          <w:szCs w:val="32"/>
          <w:lang w:val="en-US" w:eastAsia="zh-CN"/>
        </w:rPr>
        <w:t>考察学习外省先进经验和做法。</w:t>
      </w:r>
      <w:r>
        <w:rPr>
          <w:rFonts w:hint="default" w:ascii="仿宋_GB2312" w:hAnsi="仿宋_GB2312" w:eastAsia="仿宋_GB2312" w:cs="仿宋_GB2312"/>
          <w:sz w:val="32"/>
          <w:szCs w:val="32"/>
          <w:lang w:val="en-US" w:eastAsia="zh-CN"/>
        </w:rPr>
        <w:t>全年</w:t>
      </w:r>
      <w:r>
        <w:rPr>
          <w:rFonts w:hint="eastAsia" w:ascii="仿宋_GB2312" w:hAnsi="仿宋_GB2312" w:eastAsia="仿宋_GB2312" w:cs="仿宋_GB2312"/>
          <w:sz w:val="32"/>
          <w:szCs w:val="32"/>
          <w:lang w:val="en-US" w:eastAsia="zh-CN"/>
        </w:rPr>
        <w:t>编班6</w:t>
      </w:r>
      <w:r>
        <w:rPr>
          <w:rFonts w:hint="default" w:ascii="仿宋_GB2312" w:hAnsi="仿宋_GB2312" w:eastAsia="仿宋_GB2312" w:cs="仿宋_GB2312"/>
          <w:sz w:val="32"/>
          <w:szCs w:val="32"/>
          <w:lang w:val="en-US" w:eastAsia="zh-CN"/>
        </w:rPr>
        <w:t>期，</w:t>
      </w:r>
      <w:r>
        <w:rPr>
          <w:rFonts w:hint="eastAsia" w:ascii="仿宋_GB2312" w:hAnsi="仿宋_GB2312" w:eastAsia="仿宋_GB2312" w:cs="仿宋_GB2312"/>
          <w:sz w:val="32"/>
          <w:szCs w:val="32"/>
          <w:lang w:val="en-US" w:eastAsia="zh-CN"/>
        </w:rPr>
        <w:t>现已全部完成，组织227名“三农”</w:t>
      </w:r>
      <w:r>
        <w:rPr>
          <w:rFonts w:hint="default" w:ascii="仿宋_GB2312" w:hAnsi="仿宋_GB2312" w:eastAsia="仿宋_GB2312" w:cs="仿宋_GB2312"/>
          <w:sz w:val="32"/>
          <w:szCs w:val="32"/>
          <w:lang w:val="en-US" w:eastAsia="zh-CN"/>
        </w:rPr>
        <w:t>干部赴江苏</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浙江</w:t>
      </w:r>
      <w:r>
        <w:rPr>
          <w:rFonts w:hint="eastAsia" w:ascii="仿宋_GB2312" w:hAnsi="仿宋_GB2312" w:eastAsia="仿宋_GB2312" w:cs="仿宋_GB2312"/>
          <w:sz w:val="32"/>
          <w:szCs w:val="32"/>
          <w:lang w:val="en-US" w:eastAsia="zh-CN"/>
        </w:rPr>
        <w:t>、上海以及北京、河北</w:t>
      </w:r>
      <w:r>
        <w:rPr>
          <w:rFonts w:hint="default" w:ascii="仿宋_GB2312" w:hAnsi="仿宋_GB2312" w:eastAsia="仿宋_GB2312" w:cs="仿宋_GB2312"/>
          <w:sz w:val="32"/>
          <w:szCs w:val="32"/>
          <w:lang w:val="en-US" w:eastAsia="zh-CN"/>
        </w:rPr>
        <w:t>等省</w:t>
      </w:r>
      <w:r>
        <w:rPr>
          <w:rFonts w:hint="eastAsia" w:ascii="仿宋_GB2312" w:hAnsi="仿宋_GB2312" w:eastAsia="仿宋_GB2312" w:cs="仿宋_GB2312"/>
          <w:sz w:val="32"/>
          <w:szCs w:val="32"/>
          <w:lang w:val="en-US" w:eastAsia="zh-CN"/>
        </w:rPr>
        <w:t>市</w:t>
      </w:r>
      <w:r>
        <w:rPr>
          <w:rFonts w:hint="default" w:ascii="仿宋_GB2312" w:hAnsi="仿宋_GB2312" w:eastAsia="仿宋_GB2312" w:cs="仿宋_GB2312"/>
          <w:sz w:val="32"/>
          <w:szCs w:val="32"/>
          <w:lang w:val="en-US" w:eastAsia="zh-CN"/>
        </w:rPr>
        <w:t>学习</w:t>
      </w:r>
      <w:r>
        <w:rPr>
          <w:rFonts w:hint="eastAsia" w:ascii="仿宋_GB2312" w:hAnsi="仿宋_GB2312" w:eastAsia="仿宋_GB2312" w:cs="仿宋_GB2312"/>
          <w:sz w:val="32"/>
          <w:szCs w:val="32"/>
          <w:lang w:val="en-US" w:eastAsia="zh-CN"/>
        </w:rPr>
        <w:t>交流</w:t>
      </w:r>
      <w:r>
        <w:rPr>
          <w:rFonts w:hint="default" w:ascii="仿宋_GB2312" w:hAnsi="仿宋_GB2312" w:eastAsia="仿宋_GB2312" w:cs="仿宋_GB2312"/>
          <w:sz w:val="32"/>
          <w:szCs w:val="32"/>
          <w:lang w:val="en-US" w:eastAsia="zh-CN"/>
        </w:rPr>
        <w:t>。</w:t>
      </w:r>
      <w:r>
        <w:rPr>
          <w:rFonts w:hint="eastAsia" w:ascii="Times New Roman" w:hAnsi="Times New Roman" w:eastAsia="仿宋_GB2312"/>
          <w:color w:val="auto"/>
          <w:sz w:val="32"/>
          <w:szCs w:val="32"/>
        </w:rPr>
        <w:t>三是积极承办厅机关处室培训。</w:t>
      </w:r>
      <w:r>
        <w:rPr>
          <w:rFonts w:hint="default" w:ascii="仿宋_GB2312" w:hAnsi="仿宋_GB2312" w:eastAsia="仿宋_GB2312" w:cs="仿宋_GB2312"/>
          <w:color w:val="auto"/>
          <w:sz w:val="32"/>
          <w:szCs w:val="32"/>
          <w:lang w:val="en-US" w:eastAsia="zh-CN"/>
        </w:rPr>
        <w:t>组建4个培训工作小组，分别对口服务</w:t>
      </w:r>
      <w:r>
        <w:rPr>
          <w:rFonts w:hint="eastAsia" w:ascii="仿宋_GB2312" w:hAnsi="仿宋_GB2312" w:eastAsia="仿宋_GB2312" w:cs="仿宋_GB2312"/>
          <w:color w:val="auto"/>
          <w:sz w:val="32"/>
          <w:szCs w:val="32"/>
          <w:lang w:val="en-US" w:eastAsia="zh-CN"/>
        </w:rPr>
        <w:t>5—6</w:t>
      </w:r>
      <w:r>
        <w:rPr>
          <w:rFonts w:hint="default" w:ascii="仿宋_GB2312" w:hAnsi="仿宋_GB2312" w:eastAsia="仿宋_GB2312" w:cs="仿宋_GB2312"/>
          <w:color w:val="auto"/>
          <w:sz w:val="32"/>
          <w:szCs w:val="32"/>
          <w:lang w:val="en-US" w:eastAsia="zh-CN"/>
        </w:rPr>
        <w:t>个</w:t>
      </w:r>
      <w:r>
        <w:rPr>
          <w:rFonts w:hint="eastAsia" w:ascii="仿宋_GB2312" w:hAnsi="仿宋_GB2312" w:eastAsia="仿宋_GB2312" w:cs="仿宋_GB2312"/>
          <w:color w:val="auto"/>
          <w:sz w:val="32"/>
          <w:szCs w:val="32"/>
          <w:lang w:val="en-US" w:eastAsia="zh-CN"/>
        </w:rPr>
        <w:t>厅机关</w:t>
      </w:r>
      <w:r>
        <w:rPr>
          <w:rFonts w:hint="default" w:ascii="仿宋_GB2312" w:hAnsi="仿宋_GB2312" w:eastAsia="仿宋_GB2312" w:cs="仿宋_GB2312"/>
          <w:color w:val="auto"/>
          <w:sz w:val="32"/>
          <w:szCs w:val="32"/>
          <w:lang w:val="en-US" w:eastAsia="zh-CN"/>
        </w:rPr>
        <w:t>处室</w:t>
      </w:r>
      <w:r>
        <w:rPr>
          <w:rFonts w:hint="eastAsia" w:ascii="仿宋_GB2312" w:hAnsi="仿宋_GB2312" w:eastAsia="仿宋_GB2312" w:cs="仿宋_GB2312"/>
          <w:color w:val="auto"/>
          <w:sz w:val="32"/>
          <w:szCs w:val="32"/>
          <w:lang w:val="en-US" w:eastAsia="zh-CN"/>
        </w:rPr>
        <w:t>培训工作。全</w:t>
      </w:r>
      <w:r>
        <w:rPr>
          <w:rFonts w:hint="default" w:ascii="仿宋_GB2312" w:hAnsi="仿宋_GB2312" w:eastAsia="仿宋_GB2312" w:cs="仿宋_GB2312"/>
          <w:color w:val="auto"/>
          <w:sz w:val="32"/>
          <w:szCs w:val="32"/>
          <w:lang w:val="en-US" w:eastAsia="zh-CN"/>
        </w:rPr>
        <w:t>年</w:t>
      </w:r>
      <w:r>
        <w:rPr>
          <w:rFonts w:hint="eastAsia" w:ascii="仿宋_GB2312" w:hAnsi="仿宋_GB2312" w:eastAsia="仿宋_GB2312" w:cs="仿宋_GB2312"/>
          <w:color w:val="auto"/>
          <w:sz w:val="32"/>
          <w:szCs w:val="32"/>
          <w:lang w:val="en-US" w:eastAsia="zh-CN"/>
        </w:rPr>
        <w:t>厅下达计划42期，已完成34</w:t>
      </w:r>
      <w:r>
        <w:rPr>
          <w:rFonts w:hint="default" w:ascii="仿宋_GB2312" w:hAnsi="仿宋_GB2312" w:eastAsia="仿宋_GB2312" w:cs="仿宋_GB2312"/>
          <w:color w:val="auto"/>
          <w:sz w:val="32"/>
          <w:szCs w:val="32"/>
          <w:lang w:val="en-US" w:eastAsia="zh-CN"/>
        </w:rPr>
        <w:t>期</w:t>
      </w:r>
      <w:r>
        <w:rPr>
          <w:rFonts w:hint="eastAsia" w:ascii="仿宋_GB2312" w:hAnsi="仿宋_GB2312" w:eastAsia="仿宋_GB2312" w:cs="仿宋_GB2312"/>
          <w:color w:val="auto"/>
          <w:sz w:val="32"/>
          <w:szCs w:val="32"/>
          <w:lang w:val="en-US" w:eastAsia="zh-CN"/>
        </w:rPr>
        <w:t>（含整合2期），4680人参加培训</w:t>
      </w:r>
      <w:r>
        <w:rPr>
          <w:rFonts w:hint="eastAsia" w:ascii="Times New Roman" w:hAnsi="Times New Roman" w:eastAsia="仿宋_GB2312"/>
          <w:color w:val="auto"/>
          <w:sz w:val="32"/>
          <w:szCs w:val="32"/>
        </w:rPr>
        <w:t>。四是大力开展农民田间学校和现场教学点实用技术培训。按照省级指导监督、市级主办、县级协办、省级农民田间学校和现场教学点具体承办的方式，围绕属地主导产业或特色产业，为从业高素质农民开展实用技术培训。</w:t>
      </w:r>
      <w:r>
        <w:rPr>
          <w:rFonts w:hint="default"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lang w:val="en-US" w:eastAsia="zh-CN"/>
        </w:rPr>
        <w:t>共编班37期，全部按期完成</w:t>
      </w:r>
      <w:r>
        <w:rPr>
          <w:rFonts w:hint="default" w:ascii="仿宋_GB2312" w:hAnsi="仿宋_GB2312" w:eastAsia="仿宋_GB2312" w:cs="仿宋_GB2312"/>
          <w:color w:val="auto"/>
          <w:sz w:val="32"/>
          <w:szCs w:val="32"/>
          <w:lang w:val="en-US" w:eastAsia="zh-CN"/>
        </w:rPr>
        <w:t>，培训</w:t>
      </w:r>
      <w:r>
        <w:rPr>
          <w:rFonts w:hint="eastAsia" w:ascii="仿宋_GB2312" w:hAnsi="仿宋_GB2312" w:eastAsia="仿宋_GB2312" w:cs="仿宋_GB2312"/>
          <w:color w:val="auto"/>
          <w:sz w:val="32"/>
          <w:szCs w:val="32"/>
          <w:lang w:val="en-US" w:eastAsia="zh-CN"/>
        </w:rPr>
        <w:t>2332人次。五是引导开展</w:t>
      </w:r>
      <w:r>
        <w:rPr>
          <w:rFonts w:hint="default" w:ascii="仿宋_GB2312" w:hAnsi="仿宋_GB2312" w:eastAsia="仿宋_GB2312" w:cs="仿宋_GB2312"/>
          <w:color w:val="auto"/>
          <w:sz w:val="32"/>
          <w:szCs w:val="32"/>
          <w:lang w:val="en-US" w:eastAsia="zh-CN"/>
        </w:rPr>
        <w:t>冬春农民科技大培训</w:t>
      </w:r>
      <w:r>
        <w:rPr>
          <w:rFonts w:hint="eastAsia" w:ascii="仿宋_GB2312" w:hAnsi="仿宋_GB2312" w:eastAsia="仿宋_GB2312" w:cs="仿宋_GB2312"/>
          <w:color w:val="auto"/>
          <w:sz w:val="32"/>
          <w:szCs w:val="32"/>
          <w:lang w:val="en-US" w:eastAsia="zh-CN"/>
        </w:rPr>
        <w:t>。根据中央农广校的统一部署，</w:t>
      </w:r>
      <w:r>
        <w:rPr>
          <w:rFonts w:hint="default" w:ascii="仿宋_GB2312" w:hAnsi="仿宋_GB2312" w:eastAsia="仿宋_GB2312" w:cs="仿宋_GB2312"/>
          <w:color w:val="auto"/>
          <w:sz w:val="32"/>
          <w:szCs w:val="32"/>
          <w:lang w:val="en-US" w:eastAsia="zh-CN"/>
        </w:rPr>
        <w:t>2022-2023年冬春农闲季节，全举办各类培训班3653期（其中线上647期，线下3006期），培训农民52.8万余人</w:t>
      </w:r>
      <w:r>
        <w:rPr>
          <w:rFonts w:hint="eastAsia" w:ascii="仿宋_GB2312" w:hAnsi="仿宋_GB2312" w:eastAsia="仿宋_GB2312" w:cs="仿宋_GB2312"/>
          <w:color w:val="auto"/>
          <w:sz w:val="32"/>
          <w:szCs w:val="32"/>
          <w:lang w:val="en-US" w:eastAsia="zh-CN"/>
        </w:rPr>
        <w:t>。</w:t>
      </w:r>
    </w:p>
    <w:p>
      <w:pPr>
        <w:pStyle w:val="14"/>
        <w:keepNext w:val="0"/>
        <w:keepLines w:val="0"/>
        <w:pageBreakBefore w:val="0"/>
        <w:widowControl w:val="0"/>
        <w:numPr>
          <w:ilvl w:val="0"/>
          <w:numId w:val="2"/>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lang w:eastAsia="zh-CN"/>
        </w:rPr>
        <w:t>提升履职效能</w:t>
      </w:r>
    </w:p>
    <w:p>
      <w:pPr>
        <w:ind w:firstLine="643"/>
        <w:rPr>
          <w:rFonts w:hint="eastAsia" w:ascii="Times New Roman" w:hAnsi="Times New Roman" w:eastAsia="仿宋_GB2312"/>
          <w:color w:val="FF0000"/>
          <w:sz w:val="32"/>
          <w:szCs w:val="32"/>
          <w:lang w:val="en-US" w:eastAsia="zh-CN"/>
        </w:rPr>
      </w:pPr>
      <w:r>
        <w:rPr>
          <w:rFonts w:hint="eastAsia" w:ascii="Times New Roman" w:hAnsi="Times New Roman" w:eastAsia="仿宋_GB2312"/>
          <w:color w:val="auto"/>
          <w:sz w:val="32"/>
          <w:szCs w:val="32"/>
          <w:lang w:eastAsia="zh-CN"/>
        </w:rPr>
        <w:t>为农服务工作不断提质扩面。一是积极参与广播电视栏目制作。围绕湖南特色产业积极申报摄制专题，组织建立省、市、县三级协作组织，协助央视《田间示范秀》栏目组驻湘摄制，</w:t>
      </w:r>
      <w:r>
        <w:rPr>
          <w:rFonts w:hint="eastAsia" w:ascii="Times New Roman" w:hAnsi="Times New Roman" w:eastAsia="仿宋_GB2312"/>
          <w:color w:val="auto"/>
          <w:sz w:val="32"/>
          <w:szCs w:val="32"/>
          <w:lang w:val="en-US" w:eastAsia="zh-CN"/>
        </w:rPr>
        <w:t>抓好对接，跟进选题申报、摄制筹备等工作；组织基层校积极制作和推荐农民教育培训优秀视听作品。</w:t>
      </w:r>
      <w:r>
        <w:rPr>
          <w:rFonts w:hint="eastAsia" w:ascii="Times New Roman" w:hAnsi="Times New Roman" w:eastAsia="仿宋_GB2312"/>
          <w:color w:val="auto"/>
          <w:sz w:val="32"/>
          <w:szCs w:val="32"/>
          <w:lang w:eastAsia="zh-CN"/>
        </w:rPr>
        <w:t>二是参与实施中央农广校与抖音合作项目。</w:t>
      </w:r>
      <w:r>
        <w:rPr>
          <w:rFonts w:hint="eastAsia" w:ascii="Times New Roman" w:hAnsi="Times New Roman" w:eastAsia="仿宋_GB2312"/>
          <w:color w:val="auto"/>
          <w:sz w:val="32"/>
          <w:szCs w:val="32"/>
          <w:lang w:val="en-US" w:eastAsia="zh-CN"/>
        </w:rPr>
        <w:t>积极对接</w:t>
      </w:r>
      <w:r>
        <w:rPr>
          <w:rFonts w:hint="default" w:ascii="Times New Roman" w:hAnsi="Times New Roman" w:eastAsia="仿宋_GB2312"/>
          <w:color w:val="auto"/>
          <w:sz w:val="32"/>
          <w:szCs w:val="32"/>
          <w:lang w:val="en-US" w:eastAsia="zh-CN"/>
        </w:rPr>
        <w:t>中央</w:t>
      </w:r>
      <w:r>
        <w:rPr>
          <w:rFonts w:hint="eastAsia" w:ascii="Times New Roman" w:hAnsi="Times New Roman" w:eastAsia="仿宋_GB2312"/>
          <w:color w:val="auto"/>
          <w:sz w:val="32"/>
          <w:szCs w:val="32"/>
          <w:lang w:val="en-US" w:eastAsia="zh-CN"/>
        </w:rPr>
        <w:t>农广</w:t>
      </w:r>
      <w:r>
        <w:rPr>
          <w:rFonts w:hint="default" w:ascii="Times New Roman" w:hAnsi="Times New Roman" w:eastAsia="仿宋_GB2312"/>
          <w:color w:val="auto"/>
          <w:sz w:val="32"/>
          <w:szCs w:val="32"/>
          <w:lang w:val="en-US" w:eastAsia="zh-CN"/>
        </w:rPr>
        <w:t>校</w:t>
      </w:r>
      <w:r>
        <w:rPr>
          <w:rFonts w:hint="eastAsia" w:ascii="Times New Roman" w:hAnsi="Times New Roman" w:eastAsia="仿宋_GB2312"/>
          <w:color w:val="auto"/>
          <w:sz w:val="32"/>
          <w:szCs w:val="32"/>
          <w:lang w:val="en-US" w:eastAsia="zh-CN"/>
        </w:rPr>
        <w:t>“</w:t>
      </w:r>
      <w:r>
        <w:rPr>
          <w:rFonts w:hint="default" w:ascii="Times New Roman" w:hAnsi="Times New Roman" w:eastAsia="仿宋_GB2312"/>
          <w:color w:val="auto"/>
          <w:sz w:val="32"/>
          <w:szCs w:val="32"/>
          <w:lang w:val="en-US" w:eastAsia="zh-CN"/>
        </w:rPr>
        <w:t>来抖音学农技</w:t>
      </w:r>
      <w:r>
        <w:rPr>
          <w:rFonts w:hint="eastAsia" w:ascii="Times New Roman" w:hAnsi="Times New Roman" w:eastAsia="仿宋_GB2312"/>
          <w:color w:val="auto"/>
          <w:sz w:val="32"/>
          <w:szCs w:val="32"/>
          <w:lang w:val="en-US" w:eastAsia="zh-CN"/>
        </w:rPr>
        <w:t>”网络短视频创作扶持</w:t>
      </w:r>
      <w:r>
        <w:rPr>
          <w:rFonts w:hint="default" w:ascii="Times New Roman" w:hAnsi="Times New Roman" w:eastAsia="仿宋_GB2312"/>
          <w:color w:val="auto"/>
          <w:sz w:val="32"/>
          <w:szCs w:val="32"/>
          <w:lang w:val="en-US" w:eastAsia="zh-CN"/>
        </w:rPr>
        <w:t>项目，</w:t>
      </w:r>
      <w:r>
        <w:rPr>
          <w:rFonts w:hint="eastAsia" w:ascii="Times New Roman" w:hAnsi="Times New Roman" w:eastAsia="仿宋_GB2312"/>
          <w:color w:val="auto"/>
          <w:sz w:val="32"/>
          <w:szCs w:val="32"/>
          <w:lang w:val="en-US" w:eastAsia="zh-CN"/>
        </w:rPr>
        <w:t>先后</w:t>
      </w:r>
      <w:r>
        <w:rPr>
          <w:rFonts w:hint="default" w:ascii="Times New Roman" w:hAnsi="Times New Roman" w:eastAsia="仿宋_GB2312"/>
          <w:color w:val="auto"/>
          <w:sz w:val="32"/>
          <w:szCs w:val="32"/>
          <w:lang w:val="en-US" w:eastAsia="zh-CN"/>
        </w:rPr>
        <w:t>组织</w:t>
      </w:r>
      <w:r>
        <w:rPr>
          <w:rFonts w:hint="eastAsia" w:ascii="Times New Roman" w:hAnsi="Times New Roman" w:eastAsia="仿宋_GB2312"/>
          <w:color w:val="auto"/>
          <w:sz w:val="32"/>
          <w:szCs w:val="32"/>
          <w:lang w:val="en-US" w:eastAsia="zh-CN"/>
        </w:rPr>
        <w:t>4批共75名农业技术人员</w:t>
      </w:r>
      <w:r>
        <w:rPr>
          <w:rFonts w:hint="default" w:ascii="Times New Roman" w:hAnsi="Times New Roman" w:eastAsia="仿宋_GB2312"/>
          <w:color w:val="auto"/>
          <w:sz w:val="32"/>
          <w:szCs w:val="32"/>
          <w:lang w:val="en-US" w:eastAsia="zh-CN"/>
        </w:rPr>
        <w:t>参与</w:t>
      </w:r>
      <w:r>
        <w:rPr>
          <w:rFonts w:hint="eastAsia" w:ascii="Times New Roman" w:hAnsi="Times New Roman" w:eastAsia="仿宋_GB2312"/>
          <w:color w:val="auto"/>
          <w:sz w:val="32"/>
          <w:szCs w:val="32"/>
          <w:lang w:val="en-US" w:eastAsia="zh-CN"/>
        </w:rPr>
        <w:t>短视频创作技能提升培训，并获得抖音平台流量扶持。麻阳</w:t>
      </w:r>
      <w:r>
        <w:rPr>
          <w:rFonts w:hint="default" w:ascii="Times New Roman" w:hAnsi="Times New Roman" w:eastAsia="仿宋_GB2312"/>
          <w:color w:val="auto"/>
          <w:sz w:val="32"/>
          <w:szCs w:val="32"/>
          <w:lang w:val="en-US" w:eastAsia="zh-CN"/>
        </w:rPr>
        <w:t>学员田海峰</w:t>
      </w:r>
      <w:r>
        <w:rPr>
          <w:rFonts w:hint="eastAsia" w:ascii="Times New Roman" w:hAnsi="Times New Roman" w:eastAsia="仿宋_GB2312"/>
          <w:color w:val="auto"/>
          <w:sz w:val="32"/>
          <w:szCs w:val="32"/>
          <w:lang w:val="en-US" w:eastAsia="zh-CN"/>
        </w:rPr>
        <w:t>获评</w:t>
      </w:r>
      <w:r>
        <w:rPr>
          <w:rFonts w:hint="default" w:ascii="Times New Roman" w:hAnsi="Times New Roman" w:eastAsia="仿宋_GB2312"/>
          <w:color w:val="auto"/>
          <w:sz w:val="32"/>
          <w:szCs w:val="32"/>
          <w:lang w:val="en-US" w:eastAsia="zh-CN"/>
        </w:rPr>
        <w:t>优秀农技短视频创作者</w:t>
      </w:r>
      <w:r>
        <w:rPr>
          <w:rFonts w:hint="eastAsia" w:ascii="Times New Roman" w:hAnsi="Times New Roman" w:eastAsia="仿宋_GB2312"/>
          <w:color w:val="auto"/>
          <w:sz w:val="32"/>
          <w:szCs w:val="32"/>
          <w:lang w:val="en-US" w:eastAsia="zh-CN"/>
        </w:rPr>
        <w:t>，我校获评</w:t>
      </w:r>
      <w:r>
        <w:rPr>
          <w:rFonts w:hint="default" w:ascii="Times New Roman" w:hAnsi="Times New Roman" w:eastAsia="仿宋_GB2312"/>
          <w:color w:val="auto"/>
          <w:sz w:val="32"/>
          <w:szCs w:val="32"/>
          <w:lang w:val="en-US" w:eastAsia="zh-CN"/>
        </w:rPr>
        <w:t>优秀组织单位</w:t>
      </w:r>
      <w:r>
        <w:rPr>
          <w:rFonts w:hint="eastAsia" w:ascii="Times New Roman" w:hAnsi="Times New Roman" w:eastAsia="仿宋_GB2312"/>
          <w:color w:val="auto"/>
          <w:sz w:val="32"/>
          <w:szCs w:val="32"/>
          <w:lang w:val="en-US" w:eastAsia="zh-CN"/>
        </w:rPr>
        <w:t>，</w:t>
      </w:r>
      <w:r>
        <w:rPr>
          <w:rFonts w:hint="default" w:ascii="Times New Roman" w:hAnsi="Times New Roman" w:eastAsia="仿宋_GB2312"/>
          <w:color w:val="auto"/>
          <w:sz w:val="32"/>
          <w:szCs w:val="32"/>
          <w:lang w:val="en-US" w:eastAsia="zh-CN"/>
        </w:rPr>
        <w:t>李文伟</w:t>
      </w:r>
      <w:r>
        <w:rPr>
          <w:rFonts w:hint="eastAsia" w:ascii="Times New Roman" w:hAnsi="Times New Roman" w:eastAsia="仿宋_GB2312"/>
          <w:color w:val="auto"/>
          <w:sz w:val="32"/>
          <w:szCs w:val="32"/>
          <w:lang w:val="en-US" w:eastAsia="zh-CN"/>
        </w:rPr>
        <w:t>获评</w:t>
      </w:r>
      <w:r>
        <w:rPr>
          <w:rFonts w:hint="default" w:ascii="Times New Roman" w:hAnsi="Times New Roman" w:eastAsia="仿宋_GB2312"/>
          <w:color w:val="auto"/>
          <w:sz w:val="32"/>
          <w:szCs w:val="32"/>
          <w:lang w:val="en-US" w:eastAsia="zh-CN"/>
        </w:rPr>
        <w:t>优秀联络员</w:t>
      </w:r>
      <w:r>
        <w:rPr>
          <w:rFonts w:hint="eastAsia" w:ascii="Times New Roman" w:hAnsi="Times New Roman" w:eastAsia="仿宋_GB2312"/>
          <w:color w:val="auto"/>
          <w:sz w:val="32"/>
          <w:szCs w:val="32"/>
          <w:lang w:val="en-US" w:eastAsia="zh-CN"/>
        </w:rPr>
        <w:t>；同时，</w:t>
      </w:r>
      <w:r>
        <w:rPr>
          <w:rFonts w:hint="default" w:ascii="Times New Roman" w:hAnsi="Times New Roman" w:eastAsia="仿宋_GB2312"/>
          <w:color w:val="auto"/>
          <w:sz w:val="32"/>
          <w:szCs w:val="32"/>
          <w:lang w:val="en-US" w:eastAsia="zh-CN"/>
        </w:rPr>
        <w:t>组织</w:t>
      </w:r>
      <w:r>
        <w:rPr>
          <w:rFonts w:hint="eastAsia" w:ascii="Times New Roman" w:hAnsi="Times New Roman" w:eastAsia="仿宋_GB2312"/>
          <w:color w:val="auto"/>
          <w:sz w:val="32"/>
          <w:szCs w:val="32"/>
          <w:lang w:val="en-US" w:eastAsia="zh-CN"/>
        </w:rPr>
        <w:t>一批</w:t>
      </w:r>
      <w:r>
        <w:rPr>
          <w:rFonts w:hint="default" w:ascii="Times New Roman" w:hAnsi="Times New Roman" w:eastAsia="仿宋_GB2312"/>
          <w:color w:val="auto"/>
          <w:sz w:val="32"/>
          <w:szCs w:val="32"/>
          <w:lang w:val="en-US" w:eastAsia="zh-CN"/>
        </w:rPr>
        <w:t>农业技术人员参加</w:t>
      </w:r>
      <w:r>
        <w:rPr>
          <w:rFonts w:hint="eastAsia" w:ascii="Times New Roman" w:hAnsi="Times New Roman" w:eastAsia="仿宋_GB2312"/>
          <w:color w:val="auto"/>
          <w:sz w:val="32"/>
          <w:szCs w:val="32"/>
          <w:lang w:val="en-US" w:eastAsia="zh-CN"/>
        </w:rPr>
        <w:t>了“</w:t>
      </w:r>
      <w:r>
        <w:rPr>
          <w:rFonts w:hint="default" w:ascii="Times New Roman" w:hAnsi="Times New Roman" w:eastAsia="仿宋_GB2312"/>
          <w:color w:val="auto"/>
          <w:sz w:val="32"/>
          <w:szCs w:val="32"/>
          <w:lang w:val="en-US" w:eastAsia="zh-CN"/>
        </w:rPr>
        <w:t>中央农广校×乡村英才计划</w:t>
      </w:r>
      <w:r>
        <w:rPr>
          <w:rFonts w:hint="eastAsia" w:ascii="Times New Roman" w:hAnsi="Times New Roman" w:eastAsia="仿宋_GB2312"/>
          <w:color w:val="auto"/>
          <w:sz w:val="32"/>
          <w:szCs w:val="32"/>
          <w:lang w:val="en-US" w:eastAsia="zh-CN"/>
        </w:rPr>
        <w:t>”</w:t>
      </w:r>
      <w:r>
        <w:rPr>
          <w:rFonts w:hint="default" w:ascii="Times New Roman" w:hAnsi="Times New Roman" w:eastAsia="仿宋_GB2312"/>
          <w:color w:val="auto"/>
          <w:sz w:val="32"/>
          <w:szCs w:val="32"/>
          <w:lang w:val="en-US" w:eastAsia="zh-CN"/>
        </w:rPr>
        <w:t>专项新媒体应用技能培训。</w:t>
      </w:r>
      <w:r>
        <w:rPr>
          <w:rFonts w:hint="eastAsia" w:ascii="Times New Roman" w:hAnsi="Times New Roman" w:eastAsia="仿宋_GB2312"/>
          <w:color w:val="auto"/>
          <w:sz w:val="32"/>
          <w:szCs w:val="32"/>
          <w:lang w:val="en-US" w:eastAsia="zh-CN"/>
        </w:rPr>
        <w:t>三</w:t>
      </w:r>
      <w:r>
        <w:rPr>
          <w:rFonts w:hint="eastAsia" w:ascii="仿宋_GB2312" w:hAnsi="仿宋_GB2312" w:eastAsia="仿宋_GB2312" w:cs="仿宋_GB2312"/>
          <w:sz w:val="32"/>
          <w:szCs w:val="32"/>
          <w:lang w:val="en-US" w:eastAsia="zh-CN"/>
        </w:rPr>
        <w:t>是组织参加</w:t>
      </w:r>
      <w:r>
        <w:rPr>
          <w:rFonts w:hint="default" w:ascii="仿宋_GB2312" w:hAnsi="仿宋_GB2312" w:eastAsia="仿宋_GB2312" w:cs="仿宋_GB2312"/>
          <w:sz w:val="32"/>
          <w:szCs w:val="32"/>
          <w:lang w:val="en-US" w:eastAsia="zh-CN"/>
        </w:rPr>
        <w:t>农技人员知识更新远程培训</w:t>
      </w:r>
      <w:r>
        <w:rPr>
          <w:rFonts w:hint="eastAsia" w:ascii="仿宋_GB2312" w:hAnsi="仿宋_GB2312" w:eastAsia="仿宋_GB2312" w:cs="仿宋_GB2312"/>
          <w:sz w:val="32"/>
          <w:szCs w:val="32"/>
          <w:lang w:val="en-US" w:eastAsia="zh-CN"/>
        </w:rPr>
        <w:t>。按照中央农广校要求，</w:t>
      </w:r>
      <w:r>
        <w:rPr>
          <w:rFonts w:hint="default" w:ascii="仿宋_GB2312" w:hAnsi="仿宋_GB2312" w:eastAsia="仿宋_GB2312" w:cs="仿宋_GB2312"/>
          <w:sz w:val="32"/>
          <w:szCs w:val="32"/>
          <w:lang w:val="en-US" w:eastAsia="zh-CN"/>
        </w:rPr>
        <w:t>组织全省各</w:t>
      </w:r>
      <w:r>
        <w:rPr>
          <w:rFonts w:hint="eastAsia" w:ascii="仿宋_GB2312" w:hAnsi="仿宋_GB2312" w:eastAsia="仿宋_GB2312" w:cs="仿宋_GB2312"/>
          <w:sz w:val="32"/>
          <w:szCs w:val="32"/>
          <w:lang w:val="en-US" w:eastAsia="zh-CN"/>
        </w:rPr>
        <w:t>市</w:t>
      </w:r>
      <w:r>
        <w:rPr>
          <w:rFonts w:hint="default" w:ascii="仿宋_GB2312" w:hAnsi="仿宋_GB2312" w:eastAsia="仿宋_GB2312" w:cs="仿宋_GB2312"/>
          <w:sz w:val="32"/>
          <w:szCs w:val="32"/>
          <w:lang w:val="en-US" w:eastAsia="zh-CN"/>
        </w:rPr>
        <w:t>州、县市区农业农村干部收看中央农广校</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农业科技人员知识更新远程培训班</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，先后组织参加</w:t>
      </w:r>
      <w:r>
        <w:rPr>
          <w:rFonts w:hint="eastAsia" w:ascii="仿宋_GB2312" w:hAnsi="仿宋_GB2312" w:eastAsia="仿宋_GB2312" w:cs="仿宋_GB2312"/>
          <w:sz w:val="32"/>
          <w:szCs w:val="32"/>
          <w:lang w:val="en-US" w:eastAsia="zh-CN"/>
        </w:rPr>
        <w:t>中央农广校</w:t>
      </w:r>
      <w:r>
        <w:rPr>
          <w:rFonts w:hint="default" w:ascii="仿宋_GB2312" w:hAnsi="仿宋_GB2312" w:eastAsia="仿宋_GB2312" w:cs="仿宋_GB2312"/>
          <w:sz w:val="32"/>
          <w:szCs w:val="32"/>
          <w:lang w:val="en-US" w:eastAsia="zh-CN"/>
        </w:rPr>
        <w:t>远程培训班</w:t>
      </w:r>
      <w:r>
        <w:rPr>
          <w:rFonts w:hint="eastAsia" w:ascii="仿宋_GB2312" w:hAnsi="仿宋_GB2312" w:eastAsia="仿宋_GB2312" w:cs="仿宋_GB2312"/>
          <w:sz w:val="32"/>
          <w:szCs w:val="32"/>
          <w:lang w:val="en-US" w:eastAsia="zh-CN"/>
        </w:rPr>
        <w:t>17</w:t>
      </w:r>
      <w:r>
        <w:rPr>
          <w:rFonts w:hint="default" w:ascii="仿宋_GB2312" w:hAnsi="仿宋_GB2312" w:eastAsia="仿宋_GB2312" w:cs="仿宋_GB2312"/>
          <w:sz w:val="32"/>
          <w:szCs w:val="32"/>
          <w:lang w:val="en-US" w:eastAsia="zh-CN"/>
        </w:rPr>
        <w:t>期，约有</w:t>
      </w:r>
      <w:r>
        <w:rPr>
          <w:rFonts w:hint="eastAsia" w:ascii="仿宋_GB2312" w:hAnsi="仿宋_GB2312" w:eastAsia="仿宋_GB2312" w:cs="仿宋_GB2312"/>
          <w:sz w:val="32"/>
          <w:szCs w:val="32"/>
          <w:lang w:val="en-US" w:eastAsia="zh-CN"/>
        </w:rPr>
        <w:t>30</w:t>
      </w:r>
      <w:r>
        <w:rPr>
          <w:rFonts w:hint="default" w:ascii="仿宋_GB2312" w:hAnsi="仿宋_GB2312" w:eastAsia="仿宋_GB2312" w:cs="仿宋_GB2312"/>
          <w:sz w:val="32"/>
          <w:szCs w:val="32"/>
          <w:lang w:val="en-US" w:eastAsia="zh-CN"/>
        </w:rPr>
        <w:t>00人参加远程培训。</w:t>
      </w:r>
    </w:p>
    <w:p>
      <w:pPr>
        <w:pStyle w:val="14"/>
        <w:keepNext w:val="0"/>
        <w:keepLines w:val="0"/>
        <w:pageBreakBefore w:val="0"/>
        <w:widowControl w:val="0"/>
        <w:numPr>
          <w:ilvl w:val="0"/>
          <w:numId w:val="2"/>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lang w:eastAsia="zh-CN"/>
        </w:rPr>
        <w:t>促进良好社会效应</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lang w:eastAsia="zh-CN"/>
        </w:rPr>
      </w:pPr>
      <w:r>
        <w:rPr>
          <w:rFonts w:hint="eastAsia" w:ascii="仿宋_GB2312" w:hAnsi="仿宋_GB2312" w:eastAsia="仿宋_GB2312" w:cs="仿宋_GB2312"/>
          <w:color w:val="auto"/>
          <w:sz w:val="32"/>
          <w:szCs w:val="32"/>
          <w:lang w:val="en-US" w:eastAsia="zh-CN"/>
        </w:rPr>
        <w:t>农体工作谱写新篇。今年以来，省农广校、省农民体协创新举办多次农民体育健身活动，全省农民体育健身工作迎来突破性发展局面，被中国农民体育协会评为“2023年度农民体育工作优秀单位”。一是举办全省首届农民趣味运动会。4月下旬在娄底市娄星区举办湖南省2023年和美乡村“闹春耕”农民趣味运动会，14个市州组队参加。二是参与承办首届湖南“村BA”大赛。8月中旬在辰溪县爱国村举办，全省15支队伍参赛，永兴县马田镇队、汨罗市川山坪镇队分别获得冠亚军，并代表湖南参加全国村BA东南大区赛，打进八强；辰溪县仙人湾瑶族乡队代表湖南参加全国农民丰收节农民篮球邀请赛，获得冠军。湖南“村BA”在网络火热出圈，相关话题40多次登上抖音、快手、微博等网络热搜，辐射全网超6亿人次。当地吸引客流超40余万人次，拉动消费5.8亿余元。三是举办全省农村基层社会体育指导员培训班。先后在娄底举办2期全省农村基层社会体育指导员（健身操舞）培训班，全省300多名农村基层社会指导员参加培训。四是组队参加全国农民体育赛事。组队参加全国和美乡村广场舞大赛，取得团体三等奖、规定套路三等奖、自选套路三等等6大奖项；组队参加全国第四届“和美乡村健康跑”，获男子组个人第6名和女子组个人第6名；组队参加2023年中国农民丰收节农民体育健身大赛，获团体二等奖、单项三等奖和优秀组织奖。</w:t>
      </w:r>
    </w:p>
    <w:p>
      <w:pPr>
        <w:pStyle w:val="14"/>
        <w:keepNext w:val="0"/>
        <w:keepLines w:val="0"/>
        <w:pageBreakBefore w:val="0"/>
        <w:widowControl w:val="0"/>
        <w:numPr>
          <w:ilvl w:val="0"/>
          <w:numId w:val="2"/>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lang w:eastAsia="zh-CN"/>
        </w:rPr>
        <w:t>增强可持续发展能力</w:t>
      </w:r>
    </w:p>
    <w:p>
      <w:pPr>
        <w:bidi w:val="0"/>
        <w:ind w:firstLine="640" w:firstLineChars="200"/>
        <w:jc w:val="left"/>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抓精农民教育培训，持续强化农民教育培训品牌建设。推动“农广助农”产业领军人才培训提质增效；推动“三农”干部走出去培训模式转变，由原来的到外省（市）各教学点流动学习，向集中学习与现场教学相结合转变；推动农民田间学校实用技术培训精品办学；加强农广体系上、下衔接，稳步推动中央农广校调训任务落实，引导基层农广校积极参与高素质农民培训、广泛开展冬春农民大培训；扎实抓好厅机关处室培训，调整培训工作小组，提升支撑服务能力和水平，加强联系对接，严格操作流程，规范办班行为；在条件具备的前提下，力争稳妥重启实施“优秀农民境外培训计划”；进一步做好全省农民体育健身活动组织，下气力延续农民趣味运动会、湖南“村BA”大赛的良好势头，做强两项赛事，做成品牌。</w:t>
      </w:r>
    </w:p>
    <w:p>
      <w:pPr>
        <w:pStyle w:val="14"/>
        <w:keepNext w:val="0"/>
        <w:keepLines w:val="0"/>
        <w:pageBreakBefore w:val="0"/>
        <w:widowControl w:val="0"/>
        <w:numPr>
          <w:ilvl w:val="0"/>
          <w:numId w:val="2"/>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lang w:eastAsia="zh-CN"/>
        </w:rPr>
        <w:t>提高服务对象满意度</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eastAsia="zh-CN"/>
        </w:rPr>
        <w:t>通过线上调查和实地访问的方式进行满意度调查，202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lang w:eastAsia="zh-CN"/>
        </w:rPr>
        <w:t>年，“农广助农”产业领军人才培训项目的服务对象满意度为9</w:t>
      </w:r>
      <w:r>
        <w:rPr>
          <w:rFonts w:hint="eastAsia" w:ascii="Times New Roman" w:hAnsi="Times New Roman" w:eastAsia="仿宋_GB2312"/>
          <w:color w:val="auto"/>
          <w:sz w:val="32"/>
          <w:szCs w:val="32"/>
          <w:lang w:val="en-US" w:eastAsia="zh-CN"/>
        </w:rPr>
        <w:t>9</w:t>
      </w:r>
      <w:r>
        <w:rPr>
          <w:rFonts w:hint="eastAsia" w:ascii="Times New Roman" w:hAnsi="Times New Roman" w:eastAsia="仿宋_GB2312"/>
          <w:color w:val="auto"/>
          <w:sz w:val="32"/>
          <w:szCs w:val="32"/>
          <w:lang w:eastAsia="zh-CN"/>
        </w:rPr>
        <w:t>%；“三农”干部走出去培训项目的服务对象满意度为9</w:t>
      </w:r>
      <w:r>
        <w:rPr>
          <w:rFonts w:hint="eastAsia" w:ascii="Times New Roman" w:hAnsi="Times New Roman" w:eastAsia="仿宋_GB2312"/>
          <w:color w:val="auto"/>
          <w:sz w:val="32"/>
          <w:szCs w:val="32"/>
          <w:lang w:val="en-US" w:eastAsia="zh-CN"/>
        </w:rPr>
        <w:t>9</w:t>
      </w:r>
      <w:r>
        <w:rPr>
          <w:rFonts w:hint="eastAsia" w:ascii="Times New Roman" w:hAnsi="Times New Roman" w:eastAsia="仿宋_GB2312"/>
          <w:color w:val="auto"/>
          <w:sz w:val="32"/>
          <w:szCs w:val="32"/>
          <w:lang w:eastAsia="zh-CN"/>
        </w:rPr>
        <w:t>%；厅机关培训项目的服务对象满意度为</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lang w:eastAsia="zh-CN"/>
        </w:rPr>
        <w:t>%；农民田间学校实用技术培训项目的服务对象满意度为</w:t>
      </w:r>
      <w:r>
        <w:rPr>
          <w:rFonts w:hint="eastAsia" w:ascii="Times New Roman" w:hAnsi="Times New Roman" w:eastAsia="仿宋_GB2312"/>
          <w:color w:val="auto"/>
          <w:sz w:val="32"/>
          <w:szCs w:val="32"/>
          <w:lang w:val="en-US" w:eastAsia="zh-CN"/>
        </w:rPr>
        <w:t>99</w:t>
      </w:r>
      <w:r>
        <w:rPr>
          <w:rFonts w:hint="eastAsia" w:ascii="Times New Roman" w:hAnsi="Times New Roman" w:eastAsia="仿宋_GB2312"/>
          <w:color w:val="auto"/>
          <w:sz w:val="32"/>
          <w:szCs w:val="32"/>
          <w:lang w:eastAsia="zh-CN"/>
        </w:rPr>
        <w:t>%。</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1、部分项目预算编制不精准。</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原因分析：一是预算编制前与业务科室沟通不充分；二是预算细化不足。</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2、部分项目预算执行率不高。</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color w:val="C00000"/>
          <w:sz w:val="32"/>
          <w:szCs w:val="32"/>
          <w:lang w:val="en-US" w:eastAsia="zh-CN"/>
        </w:rPr>
      </w:pPr>
      <w:r>
        <w:rPr>
          <w:rFonts w:hint="eastAsia" w:ascii="Times New Roman" w:hAnsi="Times New Roman" w:eastAsia="仿宋_GB2312"/>
          <w:sz w:val="32"/>
          <w:szCs w:val="32"/>
          <w:lang w:val="en-US" w:eastAsia="zh-CN"/>
        </w:rPr>
        <w:t>原因分析：一是厉行节约，在经费使用上有一定的压缩；二是部分项目为预算追加资金项目，且下达时间较晚。</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（四）下一步改进措施</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1、加强与各业务科室沟通，细化预算编制，确保</w:t>
      </w:r>
      <w:r>
        <w:rPr>
          <w:rFonts w:hint="default" w:ascii="Times New Roman" w:hAnsi="Times New Roman" w:eastAsia="仿宋_GB2312"/>
          <w:sz w:val="32"/>
          <w:szCs w:val="32"/>
          <w:lang w:val="en-US" w:eastAsia="zh-CN"/>
        </w:rPr>
        <w:t>预算编制</w:t>
      </w:r>
      <w:r>
        <w:rPr>
          <w:rFonts w:hint="eastAsia" w:ascii="Times New Roman" w:hAnsi="Times New Roman" w:eastAsia="仿宋_GB2312"/>
          <w:sz w:val="32"/>
          <w:szCs w:val="32"/>
          <w:lang w:val="en-US" w:eastAsia="zh-CN"/>
        </w:rPr>
        <w:t>的</w:t>
      </w:r>
      <w:r>
        <w:rPr>
          <w:rFonts w:hint="default" w:ascii="Times New Roman" w:hAnsi="Times New Roman" w:eastAsia="仿宋_GB2312"/>
          <w:sz w:val="32"/>
          <w:szCs w:val="32"/>
          <w:lang w:val="en-US" w:eastAsia="zh-CN"/>
        </w:rPr>
        <w:t>合理</w:t>
      </w:r>
      <w:r>
        <w:rPr>
          <w:rFonts w:hint="eastAsia" w:ascii="Times New Roman" w:hAnsi="Times New Roman" w:eastAsia="仿宋_GB2312"/>
          <w:sz w:val="32"/>
          <w:szCs w:val="32"/>
          <w:lang w:val="en-US" w:eastAsia="zh-CN"/>
        </w:rPr>
        <w:t>性、</w:t>
      </w:r>
      <w:r>
        <w:rPr>
          <w:rFonts w:hint="default" w:ascii="Times New Roman" w:hAnsi="Times New Roman" w:eastAsia="仿宋_GB2312"/>
          <w:sz w:val="32"/>
          <w:szCs w:val="32"/>
          <w:lang w:val="en-US" w:eastAsia="zh-CN"/>
        </w:rPr>
        <w:t>精准</w:t>
      </w:r>
      <w:r>
        <w:rPr>
          <w:rFonts w:hint="eastAsia" w:ascii="Times New Roman" w:hAnsi="Times New Roman" w:eastAsia="仿宋_GB2312"/>
          <w:sz w:val="32"/>
          <w:szCs w:val="32"/>
          <w:lang w:val="en-US" w:eastAsia="zh-CN"/>
        </w:rPr>
        <w:t>性、</w:t>
      </w:r>
      <w:r>
        <w:rPr>
          <w:rFonts w:hint="default" w:ascii="Times New Roman" w:hAnsi="Times New Roman" w:eastAsia="仿宋_GB2312"/>
          <w:sz w:val="32"/>
          <w:szCs w:val="32"/>
          <w:lang w:val="en-US" w:eastAsia="zh-CN"/>
        </w:rPr>
        <w:t>科学</w:t>
      </w:r>
      <w:r>
        <w:rPr>
          <w:rFonts w:hint="eastAsia" w:ascii="Times New Roman" w:hAnsi="Times New Roman" w:eastAsia="仿宋_GB2312"/>
          <w:sz w:val="32"/>
          <w:szCs w:val="32"/>
          <w:lang w:val="en-US" w:eastAsia="zh-CN"/>
        </w:rPr>
        <w:t>性。</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2、通过定期对项目实施和预算执行情况进行梳理，及时掌握项目进度，督促项目按时完成，提高预算执行率。</w:t>
      </w:r>
    </w:p>
    <w:p>
      <w:pPr>
        <w:pStyle w:val="14"/>
        <w:jc w:val="both"/>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both"/>
        <w:rPr>
          <w:rFonts w:hint="eastAsia" w:ascii="方正小标宋_GBK" w:hAnsi="方正小标宋_GBK" w:eastAsia="方正小标宋_GBK" w:cs="方正小标宋_GBK"/>
          <w:sz w:val="72"/>
          <w:szCs w:val="72"/>
        </w:rPr>
      </w:pPr>
    </w:p>
    <w:p>
      <w:pPr>
        <w:pStyle w:val="14"/>
        <w:jc w:val="both"/>
        <w:rPr>
          <w:rFonts w:hint="eastAsia" w:ascii="方正小标宋_GBK" w:hAnsi="方正小标宋_GBK" w:eastAsia="方正小标宋_GBK" w:cs="方正小标宋_GBK"/>
          <w:sz w:val="72"/>
          <w:szCs w:val="72"/>
        </w:rPr>
      </w:pPr>
    </w:p>
    <w:p>
      <w:pPr>
        <w:pStyle w:val="14"/>
        <w:jc w:val="both"/>
        <w:rPr>
          <w:rFonts w:hint="eastAsia" w:ascii="方正小标宋_GBK" w:hAnsi="方正小标宋_GBK" w:eastAsia="方正小标宋_GBK" w:cs="方正小标宋_GBK"/>
          <w:sz w:val="72"/>
          <w:szCs w:val="72"/>
        </w:rPr>
      </w:pPr>
    </w:p>
    <w:p>
      <w:pPr>
        <w:pStyle w:val="14"/>
        <w:jc w:val="both"/>
        <w:rPr>
          <w:rFonts w:hint="eastAsia" w:ascii="方正小标宋_GBK" w:hAnsi="方正小标宋_GBK" w:eastAsia="方正小标宋_GBK" w:cs="方正小标宋_GBK"/>
          <w:sz w:val="72"/>
          <w:szCs w:val="72"/>
        </w:rPr>
      </w:pPr>
    </w:p>
    <w:p>
      <w:pPr>
        <w:pStyle w:val="14"/>
        <w:jc w:val="both"/>
        <w:rPr>
          <w:rFonts w:hint="eastAsia" w:ascii="方正小标宋_GBK" w:hAnsi="方正小标宋_GBK" w:eastAsia="方正小标宋_GBK" w:cs="方正小标宋_GBK"/>
          <w:sz w:val="72"/>
          <w:szCs w:val="72"/>
        </w:rPr>
      </w:pPr>
    </w:p>
    <w:p>
      <w:pPr>
        <w:pStyle w:val="14"/>
        <w:jc w:val="both"/>
        <w:rPr>
          <w:rFonts w:hint="eastAsia" w:ascii="方正小标宋_GBK" w:hAnsi="方正小标宋_GBK" w:eastAsia="方正小标宋_GBK" w:cs="方正小标宋_GBK"/>
          <w:sz w:val="72"/>
          <w:szCs w:val="72"/>
        </w:rPr>
      </w:pPr>
    </w:p>
    <w:p>
      <w:pPr>
        <w:pStyle w:val="14"/>
        <w:jc w:val="both"/>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rPr>
          <w:rFonts w:hint="eastAsia" w:ascii="方正小标宋_GBK" w:hAnsi="方正小标宋_GBK" w:eastAsia="方正小标宋_GBK" w:cs="方正小标宋_GBK"/>
          <w:color w:val="000000"/>
          <w:kern w:val="0"/>
          <w:sz w:val="70"/>
          <w:szCs w:val="70"/>
        </w:rPr>
        <w:br w:type="page"/>
      </w:r>
    </w:p>
    <w:p>
      <w:pPr>
        <w:widowControl/>
        <w:ind w:firstLine="640" w:firstLineChars="200"/>
        <w:jc w:val="left"/>
        <w:rPr>
          <w:rFonts w:cs="黑体" w:asciiTheme="minorEastAsia" w:hAnsiTheme="minorEastAsia"/>
          <w:kern w:val="0"/>
          <w:sz w:val="32"/>
          <w:szCs w:val="32"/>
        </w:rPr>
      </w:pPr>
      <w:r>
        <w:rPr>
          <w:rFonts w:hint="eastAsia" w:cs="黑体" w:asciiTheme="minorEastAsia" w:hAnsiTheme="minorEastAsia"/>
          <w:kern w:val="0"/>
          <w:sz w:val="32"/>
          <w:szCs w:val="32"/>
          <w:lang w:eastAsia="zh-CN"/>
        </w:rPr>
        <w:t>一、</w:t>
      </w:r>
      <w:r>
        <w:rPr>
          <w:rFonts w:hint="eastAsia" w:cs="黑体" w:asciiTheme="minorEastAsia" w:hAnsiTheme="minorEastAsia"/>
          <w:kern w:val="0"/>
          <w:sz w:val="32"/>
          <w:szCs w:val="32"/>
        </w:rPr>
        <w:t>基本支出：指为保障机构正常运转、完成日常工作任务</w:t>
      </w:r>
      <w:r>
        <w:rPr>
          <w:rFonts w:cs="黑体" w:asciiTheme="minorEastAsia" w:hAnsiTheme="minorEastAsia"/>
          <w:kern w:val="0"/>
          <w:sz w:val="32"/>
          <w:szCs w:val="32"/>
        </w:rPr>
        <w:t xml:space="preserve">而发生的人员支出和公用支出。 </w:t>
      </w:r>
    </w:p>
    <w:p>
      <w:pPr>
        <w:widowControl/>
        <w:ind w:firstLine="640" w:firstLineChars="200"/>
        <w:jc w:val="left"/>
        <w:rPr>
          <w:rFonts w:cs="黑体" w:asciiTheme="minorEastAsia" w:hAnsiTheme="minorEastAsia"/>
          <w:kern w:val="0"/>
          <w:sz w:val="32"/>
          <w:szCs w:val="32"/>
        </w:rPr>
      </w:pPr>
      <w:r>
        <w:rPr>
          <w:rFonts w:hint="eastAsia" w:cs="黑体" w:asciiTheme="minorEastAsia" w:hAnsiTheme="minorEastAsia"/>
          <w:kern w:val="0"/>
          <w:sz w:val="32"/>
          <w:szCs w:val="32"/>
          <w:lang w:eastAsia="zh-CN"/>
        </w:rPr>
        <w:t>二、</w:t>
      </w:r>
      <w:r>
        <w:rPr>
          <w:rFonts w:cs="黑体" w:asciiTheme="minorEastAsia" w:hAnsiTheme="minorEastAsia"/>
          <w:kern w:val="0"/>
          <w:sz w:val="32"/>
          <w:szCs w:val="32"/>
        </w:rPr>
        <w:t xml:space="preserve">项目支出：指在基本支出之外为完成特定行政任务和事业发展目标所发生的支出。 </w:t>
      </w:r>
    </w:p>
    <w:p>
      <w:pPr>
        <w:pStyle w:val="14"/>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lang w:eastAsia="zh-CN"/>
        </w:rPr>
        <w:t>三、</w:t>
      </w:r>
      <w:r>
        <w:rPr>
          <w:rFonts w:hint="eastAsia" w:asciiTheme="minorEastAsia" w:hAnsiTheme="minorEastAsia" w:eastAsiaTheme="minorEastAsia"/>
          <w:color w:val="auto"/>
          <w:sz w:val="32"/>
          <w:szCs w:val="32"/>
        </w:rPr>
        <w:t>“三公”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rPr>
          <w:sz w:val="72"/>
          <w:szCs w:val="72"/>
        </w:rPr>
      </w:pPr>
      <w:r>
        <w:rPr>
          <w:sz w:val="72"/>
          <w:szCs w:val="72"/>
        </w:rPr>
        <w:br w:type="page"/>
      </w: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4"/>
        <w:jc w:val="center"/>
        <w:rPr>
          <w:rFonts w:hint="eastAsia" w:ascii="方正小标宋_GBK" w:hAnsi="方正小标宋_GBK" w:eastAsia="方正小标宋_GBK" w:cs="方正小标宋_GBK"/>
          <w:sz w:val="70"/>
          <w:szCs w:val="70"/>
        </w:rPr>
      </w:pPr>
    </w:p>
    <w:p>
      <w:pPr>
        <w:pStyle w:val="14"/>
        <w:jc w:val="center"/>
        <w:rPr>
          <w:rFonts w:hint="eastAsia" w:eastAsia="黑体"/>
          <w:sz w:val="72"/>
          <w:szCs w:val="72"/>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rPr>
          <w:sz w:val="72"/>
          <w:szCs w:val="72"/>
        </w:rPr>
      </w:pPr>
      <w:r>
        <w:rPr>
          <w:sz w:val="72"/>
          <w:szCs w:val="72"/>
        </w:rPr>
        <w:br w:type="page"/>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楷体" w:hAnsi="楷体" w:eastAsia="楷体" w:cs="楷体"/>
          <w:b/>
          <w:bCs/>
          <w:sz w:val="32"/>
          <w:szCs w:val="32"/>
          <w:lang w:eastAsia="zh-CN"/>
        </w:rPr>
        <w:t>一、</w:t>
      </w:r>
      <w:r>
        <w:rPr>
          <w:rFonts w:hint="eastAsia" w:ascii="Times New Roman" w:hAnsi="Times New Roman" w:eastAsia="仿宋_GB2312"/>
          <w:sz w:val="32"/>
          <w:szCs w:val="32"/>
          <w:lang w:val="en-US" w:eastAsia="zh-CN"/>
        </w:rPr>
        <w:t>2023年度单位整体支出绩效自评报告。</w:t>
      </w:r>
    </w:p>
    <w:p>
      <w:pPr>
        <w:jc w:val="both"/>
        <w:rPr>
          <w:rFonts w:hint="default" w:ascii="Times New Roman" w:hAnsi="Times New Roman" w:eastAsia="仿宋_GB2312" w:cs="Times New Roman"/>
          <w:sz w:val="22"/>
          <w:szCs w:val="22"/>
        </w:rPr>
      </w:pPr>
      <w:bookmarkStart w:id="3" w:name="_GoBack"/>
      <w:bookmarkEnd w:id="3"/>
    </w:p>
    <w:p>
      <w:pPr>
        <w:pStyle w:val="2"/>
        <w:ind w:firstLine="688" w:firstLineChars="200"/>
        <w:jc w:val="center"/>
        <w:rPr>
          <w:spacing w:val="-8"/>
          <w:sz w:val="36"/>
          <w:szCs w:val="36"/>
        </w:rPr>
      </w:pPr>
      <w:r>
        <w:rPr>
          <w:rFonts w:hint="eastAsia"/>
          <w:spacing w:val="-8"/>
          <w:sz w:val="36"/>
          <w:szCs w:val="36"/>
          <w:lang w:val="en-US" w:eastAsia="zh-CN"/>
        </w:rPr>
        <w:t>2023</w:t>
      </w:r>
      <w:r>
        <w:rPr>
          <w:spacing w:val="-8"/>
          <w:sz w:val="36"/>
          <w:szCs w:val="36"/>
        </w:rPr>
        <w:t>年度</w:t>
      </w:r>
      <w:r>
        <w:rPr>
          <w:rFonts w:hint="eastAsia"/>
          <w:spacing w:val="-8"/>
          <w:sz w:val="36"/>
          <w:szCs w:val="36"/>
          <w:lang w:val="en-US" w:eastAsia="zh-CN"/>
        </w:rPr>
        <w:t>湖南省农民科技教育培训中心</w:t>
      </w:r>
      <w:r>
        <w:rPr>
          <w:spacing w:val="-8"/>
          <w:sz w:val="36"/>
          <w:szCs w:val="36"/>
        </w:rPr>
        <w:t>整体支出绩效</w:t>
      </w:r>
    </w:p>
    <w:p>
      <w:pPr>
        <w:pStyle w:val="2"/>
        <w:ind w:firstLine="848" w:firstLineChars="200"/>
        <w:rPr>
          <w:spacing w:val="-8"/>
        </w:rPr>
      </w:pPr>
      <w:r>
        <w:rPr>
          <w:spacing w:val="-8"/>
        </w:rPr>
        <w:t>自评报告</w:t>
      </w:r>
    </w:p>
    <w:p>
      <w:pPr>
        <w:pStyle w:val="3"/>
        <w:spacing w:line="560" w:lineRule="atLeast"/>
      </w:pPr>
    </w:p>
    <w:p>
      <w:pPr>
        <w:pStyle w:val="3"/>
        <w:numPr>
          <w:ilvl w:val="0"/>
          <w:numId w:val="3"/>
        </w:numPr>
        <w:spacing w:line="560" w:lineRule="atLeast"/>
        <w:ind w:firstLine="640" w:firstLineChars="200"/>
        <w:rPr>
          <w:rFonts w:hint="eastAsia" w:ascii="华文细黑" w:hAnsi="华文细黑" w:eastAsia="华文细黑" w:cs="华文细黑"/>
          <w:sz w:val="32"/>
          <w:szCs w:val="32"/>
        </w:rPr>
      </w:pPr>
      <w:r>
        <w:rPr>
          <w:rFonts w:hint="eastAsia" w:ascii="华文细黑" w:hAnsi="华文细黑" w:eastAsia="华文细黑" w:cs="华文细黑"/>
          <w:sz w:val="32"/>
          <w:szCs w:val="32"/>
        </w:rPr>
        <w:t>部门（单位）基本情况</w:t>
      </w:r>
    </w:p>
    <w:p>
      <w:pPr>
        <w:widowControl/>
        <w:spacing w:line="600" w:lineRule="exact"/>
        <w:ind w:firstLine="640" w:firstLineChars="200"/>
        <w:jc w:val="left"/>
        <w:rPr>
          <w:rFonts w:hint="eastAsia"/>
        </w:rPr>
      </w:pPr>
      <w:r>
        <w:rPr>
          <w:rFonts w:hint="eastAsia" w:ascii="仿宋_GB2312" w:eastAsia="仿宋_GB2312"/>
          <w:color w:val="000000"/>
          <w:sz w:val="32"/>
          <w:szCs w:val="32"/>
        </w:rPr>
        <w:t>湖南省农广校（省农科教中心）直属省农业农村厅，正处级，财政全额预算管理单位（公益一类），现有编制35人，</w:t>
      </w:r>
      <w:r>
        <w:rPr>
          <w:rFonts w:hint="eastAsia" w:ascii="仿宋_GB2312" w:eastAsia="仿宋_GB2312"/>
          <w:color w:val="000000"/>
          <w:sz w:val="32"/>
          <w:szCs w:val="32"/>
          <w:lang w:val="en-US" w:eastAsia="zh-CN"/>
        </w:rPr>
        <w:t>截止2023年底</w:t>
      </w:r>
      <w:r>
        <w:rPr>
          <w:rFonts w:hint="eastAsia" w:ascii="仿宋_GB2312" w:eastAsia="仿宋_GB2312"/>
          <w:color w:val="000000"/>
          <w:sz w:val="32"/>
          <w:szCs w:val="32"/>
        </w:rPr>
        <w:t>有退休人员</w:t>
      </w:r>
      <w:r>
        <w:rPr>
          <w:rFonts w:hint="eastAsia" w:ascii="仿宋_GB2312" w:eastAsia="仿宋_GB2312"/>
          <w:color w:val="000000"/>
          <w:sz w:val="32"/>
          <w:szCs w:val="32"/>
          <w:lang w:val="en-US" w:eastAsia="zh-CN"/>
        </w:rPr>
        <w:t>22</w:t>
      </w:r>
      <w:r>
        <w:rPr>
          <w:rFonts w:hint="eastAsia" w:ascii="仿宋_GB2312" w:eastAsia="仿宋_GB2312"/>
          <w:color w:val="000000"/>
          <w:sz w:val="32"/>
          <w:szCs w:val="32"/>
        </w:rPr>
        <w:t>人，</w:t>
      </w:r>
      <w:r>
        <w:rPr>
          <w:rFonts w:hint="eastAsia" w:ascii="仿宋_GB2312" w:eastAsia="仿宋_GB2312"/>
          <w:color w:val="000000"/>
          <w:sz w:val="32"/>
          <w:szCs w:val="32"/>
          <w:lang w:val="en-US" w:eastAsia="zh-CN"/>
        </w:rPr>
        <w:t>在职26人，</w:t>
      </w:r>
      <w:r>
        <w:rPr>
          <w:rFonts w:hint="eastAsia" w:ascii="仿宋_GB2312" w:eastAsia="仿宋_GB2312"/>
          <w:color w:val="000000"/>
          <w:sz w:val="32"/>
          <w:szCs w:val="32"/>
        </w:rPr>
        <w:t>有127所市州县分校（农教办）。主要职责为组织实施省政府“优秀农民境外培训计划”；承担参与全省新型农业经营主体、高素质农民、农村基层干部等示范性高端教育培训；指导全省农民体育健身工作（加挂省农民体育协会牌子），落实“千万农民健身计划”；开展农业行业（特种）职业技能鉴定等。</w:t>
      </w:r>
    </w:p>
    <w:p>
      <w:pPr>
        <w:pStyle w:val="3"/>
        <w:spacing w:line="560" w:lineRule="atLeast"/>
        <w:ind w:firstLine="640" w:firstLineChars="200"/>
        <w:rPr>
          <w:rFonts w:hint="eastAsia" w:ascii="华文细黑" w:hAnsi="华文细黑" w:eastAsia="华文细黑" w:cs="华文细黑"/>
          <w:sz w:val="32"/>
          <w:szCs w:val="32"/>
        </w:rPr>
      </w:pPr>
      <w:r>
        <w:rPr>
          <w:rFonts w:hint="eastAsia" w:ascii="华文细黑" w:hAnsi="华文细黑" w:eastAsia="华文细黑" w:cs="华文细黑"/>
          <w:sz w:val="32"/>
          <w:szCs w:val="32"/>
        </w:rPr>
        <w:t>二、一般公共预算支出情况</w:t>
      </w:r>
    </w:p>
    <w:p>
      <w:pPr>
        <w:spacing w:line="56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（一）基本支出情况</w:t>
      </w:r>
    </w:p>
    <w:p>
      <w:pPr>
        <w:spacing w:line="560" w:lineRule="atLeas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2023年度基本支出806.47万元，与上年相比，增加110.3万元，主要是由于疫情管控取消，业务量增加。</w:t>
      </w:r>
    </w:p>
    <w:p>
      <w:pPr>
        <w:spacing w:line="56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（二）项目支出情况</w:t>
      </w:r>
    </w:p>
    <w:p>
      <w:pPr>
        <w:spacing w:line="560" w:lineRule="atLeas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2023年度项目支出910.58万元。省级资金方面</w:t>
      </w:r>
      <w:r>
        <w:rPr>
          <w:rFonts w:hint="eastAsia" w:ascii="仿宋_GB2312" w:hAnsi="仿宋_GB2312" w:eastAsia="仿宋_GB2312" w:cs="仿宋_GB2312"/>
          <w:sz w:val="32"/>
          <w:szCs w:val="32"/>
        </w:rPr>
        <w:t>：一是</w:t>
      </w:r>
      <w:r>
        <w:rPr>
          <w:rFonts w:hint="eastAsia" w:ascii="仿宋_GB2312" w:hAnsi="仿宋_GB2312" w:eastAsia="仿宋_GB2312" w:cs="仿宋_GB2312"/>
          <w:sz w:val="32"/>
          <w:szCs w:val="32"/>
          <w:lang w:val="en-US" w:eastAsia="zh-CN"/>
        </w:rPr>
        <w:t>2023年用于“厅培训计划”开支243.92万元，开展培训班31期，培训人数4731人次。二是“农业资源保护修复与利用”是2023年底已办完2期，开支9.18万元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其他项目资金方面：一是“农广助农”产业领军人才培训班47期开支455.16万元，培训人次6066，主要培训全省各市州、县市区农业产业领军人才、家庭农场主、合作社理事长等新型农业经营主体，二是开展“三农”干部走出去培训班6期，开支培训费102.24万元，主要是培训全省各市州、县市区“三农”战线的干部。三是农民田间学校实用技术培训班37期开支100.08万元，培训人数是2332人，主要是农业实用新技术的培训推广。</w:t>
      </w:r>
    </w:p>
    <w:p>
      <w:pPr>
        <w:pStyle w:val="3"/>
        <w:spacing w:line="560" w:lineRule="atLeast"/>
        <w:ind w:firstLine="640" w:firstLineChars="200"/>
        <w:rPr>
          <w:rFonts w:hint="eastAsia" w:ascii="华文细黑" w:hAnsi="华文细黑" w:eastAsia="华文细黑" w:cs="华文细黑"/>
          <w:sz w:val="32"/>
          <w:szCs w:val="32"/>
          <w:lang w:val="en-US" w:eastAsia="zh-CN"/>
        </w:rPr>
      </w:pPr>
      <w:r>
        <w:rPr>
          <w:rFonts w:hint="eastAsia" w:ascii="华文细黑" w:hAnsi="华文细黑" w:eastAsia="华文细黑" w:cs="华文细黑"/>
          <w:sz w:val="32"/>
          <w:szCs w:val="32"/>
          <w:lang w:val="en-US" w:eastAsia="zh-CN"/>
        </w:rPr>
        <w:t>三、部门整体支出绩效情况</w:t>
      </w:r>
    </w:p>
    <w:p>
      <w:pPr>
        <w:spacing w:line="560" w:lineRule="atLeas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积极发挥全省农广校体系优势，上下协同配合，共同努力，围绕农业农村中心工作，开展多形式、多层次农民教育培训。全年，省农广校牵头举办“农广助农”产业领军人才培训班、“三农”干部走出去培训班、厅机关培训班和农广校省级示范农民田间学校实用技术培训班</w:t>
      </w: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23期，培训</w:t>
      </w: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3550人次；引导全省农广校体系开展冬春农业科技大培训3653期，培训农民52.8万人次。</w:t>
      </w:r>
    </w:p>
    <w:p>
      <w:pPr>
        <w:spacing w:line="560" w:lineRule="atLeas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一是开展“</w:t>
      </w:r>
      <w:r>
        <w:rPr>
          <w:rFonts w:hint="default" w:ascii="仿宋_GB2312" w:hAnsi="仿宋_GB2312" w:eastAsia="仿宋_GB2312" w:cs="仿宋_GB2312"/>
          <w:sz w:val="32"/>
          <w:szCs w:val="32"/>
          <w:lang w:val="en-US" w:eastAsia="zh-CN"/>
        </w:rPr>
        <w:t>农广助农</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产业领军人才培训</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围绕全省农业主导产业、优势产业和特色产业，联合</w:t>
      </w:r>
      <w:r>
        <w:rPr>
          <w:rFonts w:hint="eastAsia" w:ascii="仿宋_GB2312" w:hAnsi="仿宋_GB2312" w:eastAsia="仿宋_GB2312" w:cs="仿宋_GB2312"/>
          <w:sz w:val="32"/>
          <w:szCs w:val="32"/>
          <w:lang w:val="en-US" w:eastAsia="zh-CN"/>
        </w:rPr>
        <w:t>基层农广校以及</w:t>
      </w:r>
      <w:r>
        <w:rPr>
          <w:rFonts w:hint="default" w:ascii="仿宋_GB2312" w:hAnsi="仿宋_GB2312" w:eastAsia="仿宋_GB2312" w:cs="仿宋_GB2312"/>
          <w:sz w:val="32"/>
          <w:szCs w:val="32"/>
          <w:lang w:val="en-US" w:eastAsia="zh-CN"/>
        </w:rPr>
        <w:t>省畜牧兽医研究所、省蚕科所等科研院所，面向产业生产经营主要从业人员，开展产业技术和经营管理知识</w:t>
      </w:r>
      <w:r>
        <w:rPr>
          <w:rFonts w:hint="eastAsia" w:ascii="仿宋_GB2312" w:hAnsi="仿宋_GB2312" w:eastAsia="仿宋_GB2312" w:cs="仿宋_GB2312"/>
          <w:sz w:val="32"/>
          <w:szCs w:val="32"/>
          <w:lang w:val="en-US" w:eastAsia="zh-CN"/>
        </w:rPr>
        <w:t>专项</w:t>
      </w:r>
      <w:r>
        <w:rPr>
          <w:rFonts w:hint="default" w:ascii="仿宋_GB2312" w:hAnsi="仿宋_GB2312" w:eastAsia="仿宋_GB2312" w:cs="仿宋_GB2312"/>
          <w:sz w:val="32"/>
          <w:szCs w:val="32"/>
          <w:lang w:val="en-US" w:eastAsia="zh-CN"/>
        </w:rPr>
        <w:t>培训，组织培训</w:t>
      </w:r>
      <w:r>
        <w:rPr>
          <w:rFonts w:hint="eastAsia" w:ascii="仿宋_GB2312" w:hAnsi="仿宋_GB2312" w:eastAsia="仿宋_GB2312" w:cs="仿宋_GB2312"/>
          <w:sz w:val="32"/>
          <w:szCs w:val="32"/>
          <w:lang w:val="en-US" w:eastAsia="zh-CN"/>
        </w:rPr>
        <w:t>47</w:t>
      </w:r>
      <w:r>
        <w:rPr>
          <w:rFonts w:hint="default" w:ascii="仿宋_GB2312" w:hAnsi="仿宋_GB2312" w:eastAsia="仿宋_GB2312" w:cs="仿宋_GB2312"/>
          <w:sz w:val="32"/>
          <w:szCs w:val="32"/>
          <w:lang w:val="en-US" w:eastAsia="zh-CN"/>
        </w:rPr>
        <w:t>期，培训</w:t>
      </w:r>
      <w:r>
        <w:rPr>
          <w:rFonts w:hint="eastAsia" w:ascii="仿宋_GB2312" w:hAnsi="仿宋_GB2312" w:eastAsia="仿宋_GB2312" w:cs="仿宋_GB2312"/>
          <w:sz w:val="32"/>
          <w:szCs w:val="32"/>
          <w:lang w:val="en-US" w:eastAsia="zh-CN"/>
        </w:rPr>
        <w:t>6066人次</w:t>
      </w:r>
      <w:r>
        <w:rPr>
          <w:rFonts w:hint="default" w:ascii="仿宋_GB2312" w:hAnsi="仿宋_GB2312" w:eastAsia="仿宋_GB2312" w:cs="仿宋_GB2312"/>
          <w:sz w:val="32"/>
          <w:szCs w:val="32"/>
          <w:lang w:val="en-US" w:eastAsia="zh-CN"/>
        </w:rPr>
        <w:t>。</w:t>
      </w:r>
    </w:p>
    <w:p>
      <w:pPr>
        <w:spacing w:line="560" w:lineRule="atLeas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二是开展“</w:t>
      </w:r>
      <w:r>
        <w:rPr>
          <w:rFonts w:hint="default" w:ascii="仿宋_GB2312" w:hAnsi="仿宋_GB2312" w:eastAsia="仿宋_GB2312" w:cs="仿宋_GB2312"/>
          <w:sz w:val="32"/>
          <w:szCs w:val="32"/>
          <w:lang w:val="en-US" w:eastAsia="zh-CN"/>
        </w:rPr>
        <w:t>三农</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干部走出去培训</w:t>
      </w:r>
      <w:r>
        <w:rPr>
          <w:rFonts w:hint="eastAsia" w:ascii="仿宋_GB2312" w:hAnsi="仿宋_GB2312" w:eastAsia="仿宋_GB2312" w:cs="仿宋_GB2312"/>
          <w:sz w:val="32"/>
          <w:szCs w:val="32"/>
          <w:lang w:val="en-US" w:eastAsia="zh-CN"/>
        </w:rPr>
        <w:t>。组织</w:t>
      </w:r>
      <w:r>
        <w:rPr>
          <w:rFonts w:hint="default" w:ascii="仿宋_GB2312" w:hAnsi="仿宋_GB2312" w:eastAsia="仿宋_GB2312" w:cs="仿宋_GB2312"/>
          <w:sz w:val="32"/>
          <w:szCs w:val="32"/>
          <w:lang w:val="en-US" w:eastAsia="zh-CN"/>
        </w:rPr>
        <w:t>全省</w:t>
      </w:r>
      <w:r>
        <w:rPr>
          <w:rFonts w:hint="eastAsia" w:ascii="仿宋_GB2312" w:hAnsi="仿宋_GB2312" w:eastAsia="仿宋_GB2312" w:cs="仿宋_GB2312"/>
          <w:sz w:val="32"/>
          <w:szCs w:val="32"/>
          <w:lang w:val="en-US" w:eastAsia="zh-CN"/>
        </w:rPr>
        <w:t>村级集体经济发展、农村人才培养等</w:t>
      </w:r>
      <w:r>
        <w:rPr>
          <w:rFonts w:hint="default" w:ascii="仿宋_GB2312" w:hAnsi="仿宋_GB2312" w:eastAsia="仿宋_GB2312" w:cs="仿宋_GB2312"/>
          <w:sz w:val="32"/>
          <w:szCs w:val="32"/>
          <w:lang w:val="en-US" w:eastAsia="zh-CN"/>
        </w:rPr>
        <w:t>领域的</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三农</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干部，实地</w:t>
      </w:r>
      <w:r>
        <w:rPr>
          <w:rFonts w:hint="eastAsia" w:ascii="仿宋_GB2312" w:hAnsi="仿宋_GB2312" w:eastAsia="仿宋_GB2312" w:cs="仿宋_GB2312"/>
          <w:sz w:val="32"/>
          <w:szCs w:val="32"/>
          <w:lang w:val="en-US" w:eastAsia="zh-CN"/>
        </w:rPr>
        <w:t>考察学习外省先进经验和做法。</w:t>
      </w:r>
      <w:r>
        <w:rPr>
          <w:rFonts w:hint="default" w:ascii="仿宋_GB2312" w:hAnsi="仿宋_GB2312" w:eastAsia="仿宋_GB2312" w:cs="仿宋_GB2312"/>
          <w:sz w:val="32"/>
          <w:szCs w:val="32"/>
          <w:lang w:val="en-US" w:eastAsia="zh-CN"/>
        </w:rPr>
        <w:t>全年</w:t>
      </w:r>
      <w:r>
        <w:rPr>
          <w:rFonts w:hint="eastAsia" w:ascii="仿宋_GB2312" w:hAnsi="仿宋_GB2312" w:eastAsia="仿宋_GB2312" w:cs="仿宋_GB2312"/>
          <w:sz w:val="32"/>
          <w:szCs w:val="32"/>
          <w:lang w:val="en-US" w:eastAsia="zh-CN"/>
        </w:rPr>
        <w:t>编班6</w:t>
      </w:r>
      <w:r>
        <w:rPr>
          <w:rFonts w:hint="default" w:ascii="仿宋_GB2312" w:hAnsi="仿宋_GB2312" w:eastAsia="仿宋_GB2312" w:cs="仿宋_GB2312"/>
          <w:sz w:val="32"/>
          <w:szCs w:val="32"/>
          <w:lang w:val="en-US" w:eastAsia="zh-CN"/>
        </w:rPr>
        <w:t>期，</w:t>
      </w:r>
      <w:r>
        <w:rPr>
          <w:rFonts w:hint="eastAsia" w:ascii="仿宋_GB2312" w:hAnsi="仿宋_GB2312" w:eastAsia="仿宋_GB2312" w:cs="仿宋_GB2312"/>
          <w:sz w:val="32"/>
          <w:szCs w:val="32"/>
          <w:lang w:val="en-US" w:eastAsia="zh-CN"/>
        </w:rPr>
        <w:t>现已全部完成，组织227名“三农”</w:t>
      </w:r>
      <w:r>
        <w:rPr>
          <w:rFonts w:hint="default" w:ascii="仿宋_GB2312" w:hAnsi="仿宋_GB2312" w:eastAsia="仿宋_GB2312" w:cs="仿宋_GB2312"/>
          <w:sz w:val="32"/>
          <w:szCs w:val="32"/>
          <w:lang w:val="en-US" w:eastAsia="zh-CN"/>
        </w:rPr>
        <w:t>干部赴江苏</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浙江</w:t>
      </w:r>
      <w:r>
        <w:rPr>
          <w:rFonts w:hint="eastAsia" w:ascii="仿宋_GB2312" w:hAnsi="仿宋_GB2312" w:eastAsia="仿宋_GB2312" w:cs="仿宋_GB2312"/>
          <w:sz w:val="32"/>
          <w:szCs w:val="32"/>
          <w:lang w:val="en-US" w:eastAsia="zh-CN"/>
        </w:rPr>
        <w:t>、上海以及北京、河北</w:t>
      </w:r>
      <w:r>
        <w:rPr>
          <w:rFonts w:hint="default" w:ascii="仿宋_GB2312" w:hAnsi="仿宋_GB2312" w:eastAsia="仿宋_GB2312" w:cs="仿宋_GB2312"/>
          <w:sz w:val="32"/>
          <w:szCs w:val="32"/>
          <w:lang w:val="en-US" w:eastAsia="zh-CN"/>
        </w:rPr>
        <w:t>等省</w:t>
      </w:r>
      <w:r>
        <w:rPr>
          <w:rFonts w:hint="eastAsia" w:ascii="仿宋_GB2312" w:hAnsi="仿宋_GB2312" w:eastAsia="仿宋_GB2312" w:cs="仿宋_GB2312"/>
          <w:sz w:val="32"/>
          <w:szCs w:val="32"/>
          <w:lang w:val="en-US" w:eastAsia="zh-CN"/>
        </w:rPr>
        <w:t>市</w:t>
      </w:r>
      <w:r>
        <w:rPr>
          <w:rFonts w:hint="default" w:ascii="仿宋_GB2312" w:hAnsi="仿宋_GB2312" w:eastAsia="仿宋_GB2312" w:cs="仿宋_GB2312"/>
          <w:sz w:val="32"/>
          <w:szCs w:val="32"/>
          <w:lang w:val="en-US" w:eastAsia="zh-CN"/>
        </w:rPr>
        <w:t>学习</w:t>
      </w:r>
      <w:r>
        <w:rPr>
          <w:rFonts w:hint="eastAsia" w:ascii="仿宋_GB2312" w:hAnsi="仿宋_GB2312" w:eastAsia="仿宋_GB2312" w:cs="仿宋_GB2312"/>
          <w:sz w:val="32"/>
          <w:szCs w:val="32"/>
          <w:lang w:val="en-US" w:eastAsia="zh-CN"/>
        </w:rPr>
        <w:t>交流</w:t>
      </w:r>
      <w:r>
        <w:rPr>
          <w:rFonts w:hint="default" w:ascii="仿宋_GB2312" w:hAnsi="仿宋_GB2312" w:eastAsia="仿宋_GB2312" w:cs="仿宋_GB2312"/>
          <w:sz w:val="32"/>
          <w:szCs w:val="32"/>
          <w:lang w:val="en-US" w:eastAsia="zh-CN"/>
        </w:rPr>
        <w:t>。</w:t>
      </w:r>
    </w:p>
    <w:p>
      <w:pPr>
        <w:spacing w:line="560" w:lineRule="atLeas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三是开展</w:t>
      </w:r>
      <w:r>
        <w:rPr>
          <w:rFonts w:hint="default" w:ascii="仿宋_GB2312" w:hAnsi="仿宋_GB2312" w:eastAsia="仿宋_GB2312" w:cs="仿宋_GB2312"/>
          <w:sz w:val="32"/>
          <w:szCs w:val="32"/>
          <w:lang w:val="en-US" w:eastAsia="zh-CN"/>
        </w:rPr>
        <w:t>省级农民田间学校实用技术培训</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围绕</w:t>
      </w:r>
      <w:r>
        <w:rPr>
          <w:rFonts w:hint="eastAsia" w:ascii="仿宋_GB2312" w:hAnsi="仿宋_GB2312" w:eastAsia="仿宋_GB2312" w:cs="仿宋_GB2312"/>
          <w:sz w:val="32"/>
          <w:szCs w:val="32"/>
          <w:lang w:val="en-US" w:eastAsia="zh-CN"/>
        </w:rPr>
        <w:t>区域</w:t>
      </w:r>
      <w:r>
        <w:rPr>
          <w:rFonts w:hint="default" w:ascii="仿宋_GB2312" w:hAnsi="仿宋_GB2312" w:eastAsia="仿宋_GB2312" w:cs="仿宋_GB2312"/>
          <w:sz w:val="32"/>
          <w:szCs w:val="32"/>
          <w:lang w:val="en-US" w:eastAsia="zh-CN"/>
        </w:rPr>
        <w:t>主导产业或特色产业，</w:t>
      </w:r>
      <w:r>
        <w:rPr>
          <w:rFonts w:hint="eastAsia" w:ascii="仿宋_GB2312" w:hAnsi="仿宋_GB2312" w:eastAsia="仿宋_GB2312" w:cs="仿宋_GB2312"/>
          <w:sz w:val="32"/>
          <w:szCs w:val="32"/>
          <w:lang w:val="en-US" w:eastAsia="zh-CN"/>
        </w:rPr>
        <w:t>依托省级农民田间学校</w:t>
      </w:r>
      <w:r>
        <w:rPr>
          <w:rFonts w:hint="default" w:ascii="仿宋_GB2312" w:hAnsi="仿宋_GB2312" w:eastAsia="仿宋_GB2312" w:cs="仿宋_GB2312"/>
          <w:sz w:val="32"/>
          <w:szCs w:val="32"/>
          <w:lang w:val="en-US" w:eastAsia="zh-CN"/>
        </w:rPr>
        <w:t>开展</w:t>
      </w:r>
      <w:r>
        <w:rPr>
          <w:rFonts w:hint="eastAsia" w:ascii="仿宋_GB2312" w:hAnsi="仿宋_GB2312" w:eastAsia="仿宋_GB2312" w:cs="仿宋_GB2312"/>
          <w:sz w:val="32"/>
          <w:szCs w:val="32"/>
          <w:lang w:val="en-US" w:eastAsia="zh-CN"/>
        </w:rPr>
        <w:t>短期</w:t>
      </w:r>
      <w:r>
        <w:rPr>
          <w:rFonts w:hint="default" w:ascii="仿宋_GB2312" w:hAnsi="仿宋_GB2312" w:eastAsia="仿宋_GB2312" w:cs="仿宋_GB2312"/>
          <w:sz w:val="32"/>
          <w:szCs w:val="32"/>
          <w:lang w:val="en-US" w:eastAsia="zh-CN"/>
        </w:rPr>
        <w:t>实用技术培训</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全年</w:t>
      </w:r>
      <w:r>
        <w:rPr>
          <w:rFonts w:hint="eastAsia" w:ascii="仿宋_GB2312" w:hAnsi="仿宋_GB2312" w:eastAsia="仿宋_GB2312" w:cs="仿宋_GB2312"/>
          <w:sz w:val="32"/>
          <w:szCs w:val="32"/>
          <w:lang w:val="en-US" w:eastAsia="zh-CN"/>
        </w:rPr>
        <w:t>共编班37期，全部按期完成</w:t>
      </w:r>
      <w:r>
        <w:rPr>
          <w:rFonts w:hint="default" w:ascii="仿宋_GB2312" w:hAnsi="仿宋_GB2312" w:eastAsia="仿宋_GB2312" w:cs="仿宋_GB2312"/>
          <w:sz w:val="32"/>
          <w:szCs w:val="32"/>
          <w:lang w:val="en-US" w:eastAsia="zh-CN"/>
        </w:rPr>
        <w:t>，培训</w:t>
      </w:r>
      <w:r>
        <w:rPr>
          <w:rFonts w:hint="eastAsia" w:ascii="仿宋_GB2312" w:hAnsi="仿宋_GB2312" w:eastAsia="仿宋_GB2312" w:cs="仿宋_GB2312"/>
          <w:sz w:val="32"/>
          <w:szCs w:val="32"/>
          <w:lang w:val="en-US" w:eastAsia="zh-CN"/>
        </w:rPr>
        <w:t>2332人次。</w:t>
      </w:r>
    </w:p>
    <w:p>
      <w:pPr>
        <w:spacing w:line="560" w:lineRule="atLeas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四是引导开展</w:t>
      </w:r>
      <w:r>
        <w:rPr>
          <w:rFonts w:hint="default" w:ascii="仿宋_GB2312" w:hAnsi="仿宋_GB2312" w:eastAsia="仿宋_GB2312" w:cs="仿宋_GB2312"/>
          <w:sz w:val="32"/>
          <w:szCs w:val="32"/>
          <w:lang w:val="en-US" w:eastAsia="zh-CN"/>
        </w:rPr>
        <w:t>冬春农民科技大培训</w:t>
      </w:r>
      <w:r>
        <w:rPr>
          <w:rFonts w:hint="eastAsia" w:ascii="仿宋_GB2312" w:hAnsi="仿宋_GB2312" w:eastAsia="仿宋_GB2312" w:cs="仿宋_GB2312"/>
          <w:sz w:val="32"/>
          <w:szCs w:val="32"/>
          <w:lang w:val="en-US" w:eastAsia="zh-CN"/>
        </w:rPr>
        <w:t>。根据中央农广校的统一部署，</w:t>
      </w:r>
      <w:r>
        <w:rPr>
          <w:rFonts w:hint="default" w:ascii="仿宋_GB2312" w:hAnsi="仿宋_GB2312" w:eastAsia="仿宋_GB2312" w:cs="仿宋_GB2312"/>
          <w:sz w:val="32"/>
          <w:szCs w:val="32"/>
          <w:lang w:val="en-US" w:eastAsia="zh-CN"/>
        </w:rPr>
        <w:t>2022-2023年冬春农闲季节，全举办各类培训班3653期（其中线上647期，线下3006期），培训农民52.8万余人。</w:t>
      </w:r>
    </w:p>
    <w:p>
      <w:pPr>
        <w:spacing w:line="560" w:lineRule="atLeas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五是组织参加</w:t>
      </w:r>
      <w:r>
        <w:rPr>
          <w:rFonts w:hint="default" w:ascii="仿宋_GB2312" w:hAnsi="仿宋_GB2312" w:eastAsia="仿宋_GB2312" w:cs="仿宋_GB2312"/>
          <w:sz w:val="32"/>
          <w:szCs w:val="32"/>
          <w:lang w:val="en-US" w:eastAsia="zh-CN"/>
        </w:rPr>
        <w:t>农技人员知识更新远程培训</w:t>
      </w:r>
      <w:r>
        <w:rPr>
          <w:rFonts w:hint="eastAsia" w:ascii="仿宋_GB2312" w:hAnsi="仿宋_GB2312" w:eastAsia="仿宋_GB2312" w:cs="仿宋_GB2312"/>
          <w:sz w:val="32"/>
          <w:szCs w:val="32"/>
          <w:lang w:val="en-US" w:eastAsia="zh-CN"/>
        </w:rPr>
        <w:t>。按照中央农广校要求，</w:t>
      </w:r>
      <w:r>
        <w:rPr>
          <w:rFonts w:hint="default" w:ascii="仿宋_GB2312" w:hAnsi="仿宋_GB2312" w:eastAsia="仿宋_GB2312" w:cs="仿宋_GB2312"/>
          <w:sz w:val="32"/>
          <w:szCs w:val="32"/>
          <w:lang w:val="en-US" w:eastAsia="zh-CN"/>
        </w:rPr>
        <w:t>组织全省各</w:t>
      </w:r>
      <w:r>
        <w:rPr>
          <w:rFonts w:hint="eastAsia" w:ascii="仿宋_GB2312" w:hAnsi="仿宋_GB2312" w:eastAsia="仿宋_GB2312" w:cs="仿宋_GB2312"/>
          <w:sz w:val="32"/>
          <w:szCs w:val="32"/>
          <w:lang w:val="en-US" w:eastAsia="zh-CN"/>
        </w:rPr>
        <w:t>市</w:t>
      </w:r>
      <w:r>
        <w:rPr>
          <w:rFonts w:hint="default" w:ascii="仿宋_GB2312" w:hAnsi="仿宋_GB2312" w:eastAsia="仿宋_GB2312" w:cs="仿宋_GB2312"/>
          <w:sz w:val="32"/>
          <w:szCs w:val="32"/>
          <w:lang w:val="en-US" w:eastAsia="zh-CN"/>
        </w:rPr>
        <w:t>州、县市区农业农村干部收看中央农广校</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农业科技人员知识更新远程培训班</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，先后组织参加</w:t>
      </w:r>
      <w:r>
        <w:rPr>
          <w:rFonts w:hint="eastAsia" w:ascii="仿宋_GB2312" w:hAnsi="仿宋_GB2312" w:eastAsia="仿宋_GB2312" w:cs="仿宋_GB2312"/>
          <w:sz w:val="32"/>
          <w:szCs w:val="32"/>
          <w:lang w:val="en-US" w:eastAsia="zh-CN"/>
        </w:rPr>
        <w:t>中央农广校</w:t>
      </w:r>
      <w:r>
        <w:rPr>
          <w:rFonts w:hint="default" w:ascii="仿宋_GB2312" w:hAnsi="仿宋_GB2312" w:eastAsia="仿宋_GB2312" w:cs="仿宋_GB2312"/>
          <w:sz w:val="32"/>
          <w:szCs w:val="32"/>
          <w:lang w:val="en-US" w:eastAsia="zh-CN"/>
        </w:rPr>
        <w:t>远程培训班</w:t>
      </w:r>
      <w:r>
        <w:rPr>
          <w:rFonts w:hint="eastAsia" w:ascii="仿宋_GB2312" w:hAnsi="仿宋_GB2312" w:eastAsia="仿宋_GB2312" w:cs="仿宋_GB2312"/>
          <w:sz w:val="32"/>
          <w:szCs w:val="32"/>
          <w:lang w:val="en-US" w:eastAsia="zh-CN"/>
        </w:rPr>
        <w:t>17</w:t>
      </w:r>
      <w:r>
        <w:rPr>
          <w:rFonts w:hint="default" w:ascii="仿宋_GB2312" w:hAnsi="仿宋_GB2312" w:eastAsia="仿宋_GB2312" w:cs="仿宋_GB2312"/>
          <w:sz w:val="32"/>
          <w:szCs w:val="32"/>
          <w:lang w:val="en-US" w:eastAsia="zh-CN"/>
        </w:rPr>
        <w:t>期，约有</w:t>
      </w:r>
      <w:r>
        <w:rPr>
          <w:rFonts w:hint="eastAsia" w:ascii="仿宋_GB2312" w:hAnsi="仿宋_GB2312" w:eastAsia="仿宋_GB2312" w:cs="仿宋_GB2312"/>
          <w:sz w:val="32"/>
          <w:szCs w:val="32"/>
          <w:lang w:val="en-US" w:eastAsia="zh-CN"/>
        </w:rPr>
        <w:t>30</w:t>
      </w:r>
      <w:r>
        <w:rPr>
          <w:rFonts w:hint="default" w:ascii="仿宋_GB2312" w:hAnsi="仿宋_GB2312" w:eastAsia="仿宋_GB2312" w:cs="仿宋_GB2312"/>
          <w:sz w:val="32"/>
          <w:szCs w:val="32"/>
          <w:lang w:val="en-US" w:eastAsia="zh-CN"/>
        </w:rPr>
        <w:t>00人参加远程培训。</w:t>
      </w:r>
    </w:p>
    <w:p>
      <w:pPr>
        <w:spacing w:line="560" w:lineRule="atLeas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六是认真组织实施</w:t>
      </w:r>
      <w:r>
        <w:rPr>
          <w:rFonts w:hint="default" w:ascii="仿宋_GB2312" w:hAnsi="仿宋_GB2312" w:eastAsia="仿宋_GB2312" w:cs="仿宋_GB2312"/>
          <w:sz w:val="32"/>
          <w:szCs w:val="32"/>
          <w:lang w:val="en-US" w:eastAsia="zh-CN"/>
        </w:rPr>
        <w:t>厅机关处室培训</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组建4个培训工作小组，分别对口服务</w:t>
      </w:r>
      <w:r>
        <w:rPr>
          <w:rFonts w:hint="eastAsia" w:ascii="仿宋_GB2312" w:hAnsi="仿宋_GB2312" w:eastAsia="仿宋_GB2312" w:cs="仿宋_GB2312"/>
          <w:sz w:val="32"/>
          <w:szCs w:val="32"/>
          <w:lang w:val="en-US" w:eastAsia="zh-CN"/>
        </w:rPr>
        <w:t>5—6</w:t>
      </w:r>
      <w:r>
        <w:rPr>
          <w:rFonts w:hint="default" w:ascii="仿宋_GB2312" w:hAnsi="仿宋_GB2312" w:eastAsia="仿宋_GB2312" w:cs="仿宋_GB2312"/>
          <w:sz w:val="32"/>
          <w:szCs w:val="32"/>
          <w:lang w:val="en-US" w:eastAsia="zh-CN"/>
        </w:rPr>
        <w:t>个</w:t>
      </w:r>
      <w:r>
        <w:rPr>
          <w:rFonts w:hint="eastAsia" w:ascii="仿宋_GB2312" w:hAnsi="仿宋_GB2312" w:eastAsia="仿宋_GB2312" w:cs="仿宋_GB2312"/>
          <w:sz w:val="32"/>
          <w:szCs w:val="32"/>
          <w:lang w:val="en-US" w:eastAsia="zh-CN"/>
        </w:rPr>
        <w:t>厅机关</w:t>
      </w:r>
      <w:r>
        <w:rPr>
          <w:rFonts w:hint="default" w:ascii="仿宋_GB2312" w:hAnsi="仿宋_GB2312" w:eastAsia="仿宋_GB2312" w:cs="仿宋_GB2312"/>
          <w:sz w:val="32"/>
          <w:szCs w:val="32"/>
          <w:lang w:val="en-US" w:eastAsia="zh-CN"/>
        </w:rPr>
        <w:t>处室</w:t>
      </w:r>
      <w:r>
        <w:rPr>
          <w:rFonts w:hint="eastAsia" w:ascii="仿宋_GB2312" w:hAnsi="仿宋_GB2312" w:eastAsia="仿宋_GB2312" w:cs="仿宋_GB2312"/>
          <w:sz w:val="32"/>
          <w:szCs w:val="32"/>
          <w:lang w:val="en-US" w:eastAsia="zh-CN"/>
        </w:rPr>
        <w:t>培训工作。全</w:t>
      </w:r>
      <w:r>
        <w:rPr>
          <w:rFonts w:hint="default" w:ascii="仿宋_GB2312" w:hAnsi="仿宋_GB2312" w:eastAsia="仿宋_GB2312" w:cs="仿宋_GB2312"/>
          <w:sz w:val="32"/>
          <w:szCs w:val="32"/>
          <w:lang w:val="en-US" w:eastAsia="zh-CN"/>
        </w:rPr>
        <w:t>年</w:t>
      </w:r>
      <w:r>
        <w:rPr>
          <w:rFonts w:hint="eastAsia" w:ascii="仿宋_GB2312" w:hAnsi="仿宋_GB2312" w:eastAsia="仿宋_GB2312" w:cs="仿宋_GB2312"/>
          <w:sz w:val="32"/>
          <w:szCs w:val="32"/>
          <w:lang w:val="en-US" w:eastAsia="zh-CN"/>
        </w:rPr>
        <w:t>厅下达计划42期，已完成34</w:t>
      </w:r>
      <w:r>
        <w:rPr>
          <w:rFonts w:hint="default" w:ascii="仿宋_GB2312" w:hAnsi="仿宋_GB2312" w:eastAsia="仿宋_GB2312" w:cs="仿宋_GB2312"/>
          <w:sz w:val="32"/>
          <w:szCs w:val="32"/>
          <w:lang w:val="en-US" w:eastAsia="zh-CN"/>
        </w:rPr>
        <w:t>期</w:t>
      </w:r>
      <w:r>
        <w:rPr>
          <w:rFonts w:hint="eastAsia" w:ascii="仿宋_GB2312" w:hAnsi="仿宋_GB2312" w:eastAsia="仿宋_GB2312" w:cs="仿宋_GB2312"/>
          <w:sz w:val="32"/>
          <w:szCs w:val="32"/>
          <w:lang w:val="en-US" w:eastAsia="zh-CN"/>
        </w:rPr>
        <w:t>（含整合2期），4680人参加培训</w:t>
      </w:r>
      <w:r>
        <w:rPr>
          <w:rFonts w:hint="default" w:ascii="仿宋_GB2312" w:hAnsi="仿宋_GB2312" w:eastAsia="仿宋_GB2312" w:cs="仿宋_GB2312"/>
          <w:sz w:val="32"/>
          <w:szCs w:val="32"/>
          <w:lang w:val="en-US" w:eastAsia="zh-CN"/>
        </w:rPr>
        <w:t>。</w:t>
      </w:r>
    </w:p>
    <w:p>
      <w:pPr>
        <w:spacing w:line="560" w:lineRule="atLeas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七是视听传播与时俱进。积极对接</w:t>
      </w:r>
      <w:r>
        <w:rPr>
          <w:rFonts w:hint="default" w:ascii="仿宋_GB2312" w:hAnsi="仿宋_GB2312" w:eastAsia="仿宋_GB2312" w:cs="仿宋_GB2312"/>
          <w:sz w:val="32"/>
          <w:szCs w:val="32"/>
          <w:lang w:val="en-US" w:eastAsia="zh-CN"/>
        </w:rPr>
        <w:t>中央</w:t>
      </w:r>
      <w:r>
        <w:rPr>
          <w:rFonts w:hint="eastAsia" w:ascii="仿宋_GB2312" w:hAnsi="仿宋_GB2312" w:eastAsia="仿宋_GB2312" w:cs="仿宋_GB2312"/>
          <w:sz w:val="32"/>
          <w:szCs w:val="32"/>
          <w:lang w:val="en-US" w:eastAsia="zh-CN"/>
        </w:rPr>
        <w:t>农广</w:t>
      </w:r>
      <w:r>
        <w:rPr>
          <w:rFonts w:hint="default" w:ascii="仿宋_GB2312" w:hAnsi="仿宋_GB2312" w:eastAsia="仿宋_GB2312" w:cs="仿宋_GB2312"/>
          <w:sz w:val="32"/>
          <w:szCs w:val="32"/>
          <w:lang w:val="en-US" w:eastAsia="zh-CN"/>
        </w:rPr>
        <w:t>校</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来抖音学农技</w:t>
      </w:r>
      <w:r>
        <w:rPr>
          <w:rFonts w:hint="eastAsia" w:ascii="仿宋_GB2312" w:hAnsi="仿宋_GB2312" w:eastAsia="仿宋_GB2312" w:cs="仿宋_GB2312"/>
          <w:sz w:val="32"/>
          <w:szCs w:val="32"/>
          <w:lang w:val="en-US" w:eastAsia="zh-CN"/>
        </w:rPr>
        <w:t>”网络短视频创作扶持</w:t>
      </w:r>
      <w:r>
        <w:rPr>
          <w:rFonts w:hint="default"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lang w:val="en-US" w:eastAsia="zh-CN"/>
        </w:rPr>
        <w:t>先后</w:t>
      </w:r>
      <w:r>
        <w:rPr>
          <w:rFonts w:hint="default" w:ascii="仿宋_GB2312" w:hAnsi="仿宋_GB2312" w:eastAsia="仿宋_GB2312" w:cs="仿宋_GB2312"/>
          <w:sz w:val="32"/>
          <w:szCs w:val="32"/>
          <w:lang w:val="en-US" w:eastAsia="zh-CN"/>
        </w:rPr>
        <w:t>组织</w:t>
      </w:r>
      <w:r>
        <w:rPr>
          <w:rFonts w:hint="eastAsia" w:ascii="仿宋_GB2312" w:hAnsi="仿宋_GB2312" w:eastAsia="仿宋_GB2312" w:cs="仿宋_GB2312"/>
          <w:sz w:val="32"/>
          <w:szCs w:val="32"/>
          <w:lang w:val="en-US" w:eastAsia="zh-CN"/>
        </w:rPr>
        <w:t>4批共75名农业技术人员</w:t>
      </w:r>
      <w:r>
        <w:rPr>
          <w:rFonts w:hint="default" w:ascii="仿宋_GB2312" w:hAnsi="仿宋_GB2312" w:eastAsia="仿宋_GB2312" w:cs="仿宋_GB2312"/>
          <w:sz w:val="32"/>
          <w:szCs w:val="32"/>
          <w:lang w:val="en-US" w:eastAsia="zh-CN"/>
        </w:rPr>
        <w:t>参与</w:t>
      </w:r>
      <w:r>
        <w:rPr>
          <w:rFonts w:hint="eastAsia" w:ascii="仿宋_GB2312" w:hAnsi="仿宋_GB2312" w:eastAsia="仿宋_GB2312" w:cs="仿宋_GB2312"/>
          <w:sz w:val="32"/>
          <w:szCs w:val="32"/>
          <w:lang w:val="en-US" w:eastAsia="zh-CN"/>
        </w:rPr>
        <w:t>短视频创作技能提升培训，并获得抖音平台流量扶持。麻阳</w:t>
      </w:r>
      <w:r>
        <w:rPr>
          <w:rFonts w:hint="default" w:ascii="仿宋_GB2312" w:hAnsi="仿宋_GB2312" w:eastAsia="仿宋_GB2312" w:cs="仿宋_GB2312"/>
          <w:sz w:val="32"/>
          <w:szCs w:val="32"/>
          <w:lang w:val="en-US" w:eastAsia="zh-CN"/>
        </w:rPr>
        <w:t>学员田海峰</w:t>
      </w:r>
      <w:r>
        <w:rPr>
          <w:rFonts w:hint="eastAsia" w:ascii="仿宋_GB2312" w:hAnsi="仿宋_GB2312" w:eastAsia="仿宋_GB2312" w:cs="仿宋_GB2312"/>
          <w:sz w:val="32"/>
          <w:szCs w:val="32"/>
          <w:lang w:val="en-US" w:eastAsia="zh-CN"/>
        </w:rPr>
        <w:t>获评</w:t>
      </w:r>
      <w:r>
        <w:rPr>
          <w:rFonts w:hint="default" w:ascii="仿宋_GB2312" w:hAnsi="仿宋_GB2312" w:eastAsia="仿宋_GB2312" w:cs="仿宋_GB2312"/>
          <w:sz w:val="32"/>
          <w:szCs w:val="32"/>
          <w:lang w:val="en-US" w:eastAsia="zh-CN"/>
        </w:rPr>
        <w:t>优秀农技短视频创作者</w:t>
      </w:r>
      <w:r>
        <w:rPr>
          <w:rFonts w:hint="eastAsia" w:ascii="仿宋_GB2312" w:hAnsi="仿宋_GB2312" w:eastAsia="仿宋_GB2312" w:cs="仿宋_GB2312"/>
          <w:sz w:val="32"/>
          <w:szCs w:val="32"/>
          <w:lang w:val="en-US" w:eastAsia="zh-CN"/>
        </w:rPr>
        <w:t>，我校获评</w:t>
      </w:r>
      <w:r>
        <w:rPr>
          <w:rFonts w:hint="default" w:ascii="仿宋_GB2312" w:hAnsi="仿宋_GB2312" w:eastAsia="仿宋_GB2312" w:cs="仿宋_GB2312"/>
          <w:sz w:val="32"/>
          <w:szCs w:val="32"/>
          <w:lang w:val="en-US" w:eastAsia="zh-CN"/>
        </w:rPr>
        <w:t>优秀组织单位</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李文伟</w:t>
      </w:r>
      <w:r>
        <w:rPr>
          <w:rFonts w:hint="eastAsia" w:ascii="仿宋_GB2312" w:hAnsi="仿宋_GB2312" w:eastAsia="仿宋_GB2312" w:cs="仿宋_GB2312"/>
          <w:sz w:val="32"/>
          <w:szCs w:val="32"/>
          <w:lang w:val="en-US" w:eastAsia="zh-CN"/>
        </w:rPr>
        <w:t>获评</w:t>
      </w:r>
      <w:r>
        <w:rPr>
          <w:rFonts w:hint="default" w:ascii="仿宋_GB2312" w:hAnsi="仿宋_GB2312" w:eastAsia="仿宋_GB2312" w:cs="仿宋_GB2312"/>
          <w:sz w:val="32"/>
          <w:szCs w:val="32"/>
          <w:lang w:val="en-US" w:eastAsia="zh-CN"/>
        </w:rPr>
        <w:t>优秀联络员</w:t>
      </w:r>
      <w:r>
        <w:rPr>
          <w:rFonts w:hint="eastAsia" w:ascii="仿宋_GB2312" w:hAnsi="仿宋_GB2312" w:eastAsia="仿宋_GB2312" w:cs="仿宋_GB2312"/>
          <w:sz w:val="32"/>
          <w:szCs w:val="32"/>
          <w:lang w:val="en-US" w:eastAsia="zh-CN"/>
        </w:rPr>
        <w:t>；同时，</w:t>
      </w:r>
      <w:r>
        <w:rPr>
          <w:rFonts w:hint="default" w:ascii="仿宋_GB2312" w:hAnsi="仿宋_GB2312" w:eastAsia="仿宋_GB2312" w:cs="仿宋_GB2312"/>
          <w:sz w:val="32"/>
          <w:szCs w:val="32"/>
          <w:lang w:val="en-US" w:eastAsia="zh-CN"/>
        </w:rPr>
        <w:t>组织</w:t>
      </w:r>
      <w:r>
        <w:rPr>
          <w:rFonts w:hint="eastAsia" w:ascii="仿宋_GB2312" w:hAnsi="仿宋_GB2312" w:eastAsia="仿宋_GB2312" w:cs="仿宋_GB2312"/>
          <w:sz w:val="32"/>
          <w:szCs w:val="32"/>
          <w:lang w:val="en-US" w:eastAsia="zh-CN"/>
        </w:rPr>
        <w:t>一批</w:t>
      </w:r>
      <w:r>
        <w:rPr>
          <w:rFonts w:hint="default" w:ascii="仿宋_GB2312" w:hAnsi="仿宋_GB2312" w:eastAsia="仿宋_GB2312" w:cs="仿宋_GB2312"/>
          <w:sz w:val="32"/>
          <w:szCs w:val="32"/>
          <w:lang w:val="en-US" w:eastAsia="zh-CN"/>
        </w:rPr>
        <w:t>农业技术人员参加</w:t>
      </w:r>
      <w:r>
        <w:rPr>
          <w:rFonts w:hint="eastAsia" w:ascii="仿宋_GB2312" w:hAnsi="仿宋_GB2312" w:eastAsia="仿宋_GB2312" w:cs="仿宋_GB2312"/>
          <w:sz w:val="32"/>
          <w:szCs w:val="32"/>
          <w:lang w:val="en-US" w:eastAsia="zh-CN"/>
        </w:rPr>
        <w:t>了“</w:t>
      </w:r>
      <w:r>
        <w:rPr>
          <w:rFonts w:hint="default" w:ascii="仿宋_GB2312" w:hAnsi="仿宋_GB2312" w:eastAsia="仿宋_GB2312" w:cs="仿宋_GB2312"/>
          <w:sz w:val="32"/>
          <w:szCs w:val="32"/>
          <w:lang w:val="en-US" w:eastAsia="zh-CN"/>
        </w:rPr>
        <w:t>中央农广校×乡村英才计划</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专项新媒体应用技能培训。</w:t>
      </w:r>
      <w:r>
        <w:rPr>
          <w:rFonts w:hint="eastAsia" w:ascii="仿宋_GB2312" w:hAnsi="仿宋_GB2312" w:eastAsia="仿宋_GB2312" w:cs="仿宋_GB2312"/>
          <w:sz w:val="32"/>
          <w:szCs w:val="32"/>
          <w:lang w:val="en-US" w:eastAsia="zh-CN"/>
        </w:rPr>
        <w:t>此外，</w:t>
      </w:r>
      <w:r>
        <w:rPr>
          <w:rFonts w:hint="default" w:ascii="仿宋_GB2312" w:hAnsi="仿宋_GB2312" w:eastAsia="仿宋_GB2312" w:cs="仿宋_GB2312"/>
          <w:sz w:val="32"/>
          <w:szCs w:val="32"/>
          <w:lang w:val="en-US" w:eastAsia="zh-CN"/>
        </w:rPr>
        <w:t>积极</w:t>
      </w:r>
      <w:r>
        <w:rPr>
          <w:rFonts w:hint="eastAsia" w:ascii="仿宋_GB2312" w:hAnsi="仿宋_GB2312" w:eastAsia="仿宋_GB2312" w:cs="仿宋_GB2312"/>
          <w:sz w:val="32"/>
          <w:szCs w:val="32"/>
          <w:lang w:val="en-US" w:eastAsia="zh-CN"/>
        </w:rPr>
        <w:t>参与</w:t>
      </w:r>
      <w:r>
        <w:rPr>
          <w:rFonts w:hint="default" w:ascii="仿宋_GB2312" w:hAnsi="仿宋_GB2312" w:eastAsia="仿宋_GB2312" w:cs="仿宋_GB2312"/>
          <w:sz w:val="32"/>
          <w:szCs w:val="32"/>
          <w:lang w:val="en-US" w:eastAsia="zh-CN"/>
        </w:rPr>
        <w:t>中央电视台《田间示范秀》专题</w:t>
      </w:r>
      <w:r>
        <w:rPr>
          <w:rFonts w:hint="eastAsia" w:ascii="仿宋_GB2312" w:hAnsi="仿宋_GB2312" w:eastAsia="仿宋_GB2312" w:cs="仿宋_GB2312"/>
          <w:sz w:val="32"/>
          <w:szCs w:val="32"/>
          <w:lang w:val="en-US" w:eastAsia="zh-CN"/>
        </w:rPr>
        <w:t>栏目</w:t>
      </w:r>
      <w:r>
        <w:rPr>
          <w:rFonts w:hint="default" w:ascii="仿宋_GB2312" w:hAnsi="仿宋_GB2312" w:eastAsia="仿宋_GB2312" w:cs="仿宋_GB2312"/>
          <w:sz w:val="32"/>
          <w:szCs w:val="32"/>
          <w:lang w:val="en-US" w:eastAsia="zh-CN"/>
        </w:rPr>
        <w:t>摄制</w:t>
      </w:r>
      <w:r>
        <w:rPr>
          <w:rFonts w:hint="eastAsia" w:ascii="仿宋_GB2312" w:hAnsi="仿宋_GB2312" w:eastAsia="仿宋_GB2312" w:cs="仿宋_GB2312"/>
          <w:sz w:val="32"/>
          <w:szCs w:val="32"/>
          <w:lang w:val="en-US" w:eastAsia="zh-CN"/>
        </w:rPr>
        <w:t>，抓好对接，跟进选题申报、摄制筹备等工作；组织基层校积极制作和推荐农民教育培训优秀视听作品。省农广校被中央农广校中国农民体协评为“2023年度广播电视教育工作综合贡献奖”单位。</w:t>
      </w:r>
    </w:p>
    <w:p>
      <w:pPr>
        <w:spacing w:line="560" w:lineRule="atLeas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八是农体工作谱写新篇。</w:t>
      </w:r>
      <w:r>
        <w:rPr>
          <w:rFonts w:hint="default" w:ascii="仿宋_GB2312" w:hAnsi="仿宋_GB2312" w:eastAsia="仿宋_GB2312" w:cs="仿宋_GB2312"/>
          <w:sz w:val="32"/>
          <w:szCs w:val="32"/>
          <w:lang w:val="en-US" w:eastAsia="zh-CN"/>
        </w:rPr>
        <w:t>今年</w:t>
      </w:r>
      <w:r>
        <w:rPr>
          <w:rFonts w:hint="eastAsia" w:ascii="仿宋_GB2312" w:hAnsi="仿宋_GB2312" w:eastAsia="仿宋_GB2312" w:cs="仿宋_GB2312"/>
          <w:sz w:val="32"/>
          <w:szCs w:val="32"/>
          <w:lang w:val="en-US" w:eastAsia="zh-CN"/>
        </w:rPr>
        <w:t>以来</w:t>
      </w:r>
      <w:r>
        <w:rPr>
          <w:rFonts w:hint="default" w:ascii="仿宋_GB2312" w:hAnsi="仿宋_GB2312" w:eastAsia="仿宋_GB2312" w:cs="仿宋_GB2312"/>
          <w:sz w:val="32"/>
          <w:szCs w:val="32"/>
          <w:lang w:val="en-US" w:eastAsia="zh-CN"/>
        </w:rPr>
        <w:t>，省农广校、省农民体协</w:t>
      </w:r>
      <w:r>
        <w:rPr>
          <w:rFonts w:hint="eastAsia" w:ascii="仿宋_GB2312" w:hAnsi="仿宋_GB2312" w:eastAsia="仿宋_GB2312" w:cs="仿宋_GB2312"/>
          <w:sz w:val="32"/>
          <w:szCs w:val="32"/>
          <w:lang w:val="en-US" w:eastAsia="zh-CN"/>
        </w:rPr>
        <w:t>创新</w:t>
      </w:r>
      <w:r>
        <w:rPr>
          <w:rFonts w:hint="default" w:ascii="仿宋_GB2312" w:hAnsi="仿宋_GB2312" w:eastAsia="仿宋_GB2312" w:cs="仿宋_GB2312"/>
          <w:sz w:val="32"/>
          <w:szCs w:val="32"/>
          <w:lang w:val="en-US" w:eastAsia="zh-CN"/>
        </w:rPr>
        <w:t>举办</w:t>
      </w:r>
      <w:r>
        <w:rPr>
          <w:rFonts w:hint="eastAsia" w:ascii="仿宋_GB2312" w:hAnsi="仿宋_GB2312" w:eastAsia="仿宋_GB2312" w:cs="仿宋_GB2312"/>
          <w:sz w:val="32"/>
          <w:szCs w:val="32"/>
          <w:lang w:val="en-US" w:eastAsia="zh-CN"/>
        </w:rPr>
        <w:t>多次农民体育健身活动，全省农民体育健身工作迎来突破性发展局面，被中国农民体育协会评为“2023年度农民体育工作优秀单位”。一是举办全省首届农民趣味运动会。4月下旬在娄底市娄星区举办湖南省2023年和美乡村“闹春耕”农民趣味运动会，14个市州组队参加。二是参与承办首届湖南“村BA”大赛。8月中旬在辰溪县爱国村举办，全省15支队伍参赛，永兴县马田镇队、汨罗市川山坪镇队分别获得冠亚军，并代表湖南参加全国村BA东南大区赛，打进八强；辰溪县仙人湾瑶族乡队代表湖南参加全国农民丰收节农民篮球邀请赛，获得冠军。湖南“村BA”在网络火热出圈，相关话题40多次登上抖音、快手、微博等网络热搜，辐射全网超6亿人次。当地吸引客流超40余万人次，拉动消费5.8亿余元。三是举办全省农村基层社会体育指导员培训班。先后在娄底举办2期全省农村基层社会体育指导员（健身操舞）培训班，全省300多名农村基层社会指导员参加培训。四是组队参加全国农民体育赛事。组队参加全国和美乡村广场舞大赛，取得团体三等奖、规定套路三等奖、自选套路三等等6大奖项；组队参加全国第四届“和美乡村健康跑”，获男子组个人第6名和女子组个人第6名；组队参加2023年中国农民丰收节农民体育健身大赛，获团体二等奖、单项三等奖和优秀组织奖。省校被中央农广校、中国农民体协评为“2023年度农民体育工作优秀单位”。</w:t>
      </w:r>
    </w:p>
    <w:p>
      <w:pPr>
        <w:pStyle w:val="3"/>
        <w:spacing w:line="560" w:lineRule="atLeast"/>
        <w:ind w:firstLine="640" w:firstLineChars="200"/>
        <w:rPr>
          <w:rFonts w:hint="eastAsia" w:ascii="仿宋_GB2312" w:hAnsi="仿宋_GB2312" w:eastAsia="仿宋_GB2312" w:cs="仿宋_GB2312"/>
          <w:bCs w:val="0"/>
          <w:kern w:val="2"/>
          <w:sz w:val="32"/>
          <w:szCs w:val="32"/>
          <w:lang w:val="en-US" w:eastAsia="zh-CN" w:bidi="ar-SA"/>
        </w:rPr>
      </w:pPr>
      <w:r>
        <w:rPr>
          <w:rFonts w:hint="eastAsia" w:ascii="仿宋_GB2312" w:hAnsi="仿宋_GB2312" w:eastAsia="仿宋_GB2312" w:cs="仿宋_GB2312"/>
          <w:bCs w:val="0"/>
          <w:kern w:val="2"/>
          <w:sz w:val="32"/>
          <w:szCs w:val="32"/>
          <w:lang w:val="en-US" w:eastAsia="zh-CN" w:bidi="ar-SA"/>
        </w:rPr>
        <w:t>四、存在的问题及原因分析</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1、部分项目预算编制不精准。</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原因分析：一是预算编制前与业务科室沟通不充分；二是预算细化不足。</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2、部分项目预算执行率不高。</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原因分析：一是厉行节约，在经费使用上有一定的压缩；二是部分项目为预算追加资金项目，且下达时间较晚。</w:t>
      </w: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both"/>
        <w:rPr>
          <w:sz w:val="72"/>
          <w:szCs w:val="72"/>
        </w:rPr>
      </w:pPr>
    </w:p>
    <w:p>
      <w:pPr>
        <w:spacing w:after="120" w:afterLines="50" w:line="600" w:lineRule="exact"/>
        <w:ind w:firstLine="720" w:firstLineChars="200"/>
        <w:jc w:val="center"/>
        <w:rPr>
          <w:rFonts w:hint="default" w:ascii="Times New Roman" w:hAnsi="Times New Roman" w:eastAsia="仿宋_GB2312" w:cs="Times New Roman"/>
          <w:sz w:val="24"/>
        </w:rPr>
      </w:pPr>
      <w:r>
        <w:rPr>
          <w:rFonts w:hint="default" w:ascii="Times New Roman" w:hAnsi="Times New Roman" w:eastAsia="方正小标宋_GBK" w:cs="Times New Roman"/>
          <w:sz w:val="36"/>
          <w:szCs w:val="36"/>
        </w:rPr>
        <w:t>202</w:t>
      </w:r>
      <w:r>
        <w:rPr>
          <w:rFonts w:hint="eastAsia" w:ascii="Times New Roman" w:hAnsi="Times New Roman" w:eastAsia="方正小标宋_GBK" w:cs="Times New Roman"/>
          <w:sz w:val="36"/>
          <w:szCs w:val="36"/>
          <w:lang w:val="en-US" w:eastAsia="zh-CN"/>
        </w:rPr>
        <w:t>3</w:t>
      </w:r>
      <w:r>
        <w:rPr>
          <w:rFonts w:hint="default" w:ascii="Times New Roman" w:hAnsi="Times New Roman" w:eastAsia="方正小标宋_GBK" w:cs="Times New Roman"/>
          <w:sz w:val="36"/>
          <w:szCs w:val="36"/>
        </w:rPr>
        <w:t>年</w:t>
      </w:r>
      <w:r>
        <w:rPr>
          <w:rFonts w:hint="eastAsia" w:ascii="Times New Roman" w:hAnsi="Times New Roman" w:eastAsia="方正小标宋_GBK" w:cs="Times New Roman"/>
          <w:sz w:val="36"/>
          <w:szCs w:val="36"/>
          <w:lang w:eastAsia="zh-CN"/>
        </w:rPr>
        <w:t>度</w:t>
      </w:r>
      <w:r>
        <w:rPr>
          <w:rFonts w:hint="default" w:ascii="Times New Roman" w:hAnsi="Times New Roman" w:eastAsia="方正小标宋_GBK" w:cs="Times New Roman"/>
          <w:sz w:val="36"/>
          <w:szCs w:val="36"/>
        </w:rPr>
        <w:t>部门整体支出绩效评价基础数据表</w:t>
      </w:r>
    </w:p>
    <w:tbl>
      <w:tblPr>
        <w:tblStyle w:val="10"/>
        <w:tblW w:w="9673" w:type="dxa"/>
        <w:jc w:val="center"/>
        <w:tblInd w:w="0" w:type="dxa"/>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Layout w:type="fixed"/>
          <w:tblCellMar>
            <w:top w:w="0" w:type="dxa"/>
            <w:left w:w="108" w:type="dxa"/>
            <w:bottom w:w="0" w:type="dxa"/>
            <w:right w:w="108" w:type="dxa"/>
          </w:tblCellMar>
        </w:tblPrEx>
        <w:trPr>
          <w:trHeight w:val="0"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控制率</w:t>
            </w:r>
          </w:p>
        </w:tc>
      </w:tr>
      <w:tr>
        <w:tblPrEx>
          <w:tblLayout w:type="fixed"/>
          <w:tblCellMar>
            <w:top w:w="0" w:type="dxa"/>
            <w:left w:w="108" w:type="dxa"/>
            <w:bottom w:w="0" w:type="dxa"/>
            <w:right w:w="108" w:type="dxa"/>
          </w:tblCellMar>
        </w:tblPrEx>
        <w:trPr>
          <w:trHeight w:val="290"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35</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26</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74%</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2</w:t>
            </w:r>
            <w:r>
              <w:rPr>
                <w:rFonts w:hint="default" w:ascii="Times New Roman" w:hAnsi="Times New Roman" w:eastAsia="仿宋_GB2312" w:cs="Times New Roman"/>
                <w:b/>
                <w:bCs/>
                <w:sz w:val="20"/>
                <w:szCs w:val="20"/>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年决算数</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三公经费</w:t>
            </w:r>
            <w:r>
              <w:rPr>
                <w:rFonts w:hint="eastAsia" w:ascii="Times New Roman" w:hAnsi="Times New Roman" w:eastAsia="仿宋_GB2312" w:cs="Times New Roman"/>
                <w:sz w:val="20"/>
                <w:szCs w:val="20"/>
                <w:lang w:val="en-US" w:eastAsia="zh-CN"/>
              </w:rPr>
              <w:t>:</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1.87万元</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4万元</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rPr>
            </w:pPr>
            <w:r>
              <w:rPr>
                <w:rFonts w:hint="eastAsia" w:ascii="Times New Roman" w:hAnsi="Times New Roman" w:eastAsia="仿宋_GB2312" w:cs="Times New Roman"/>
                <w:sz w:val="20"/>
                <w:szCs w:val="20"/>
                <w:lang w:val="en-US" w:eastAsia="zh-CN"/>
              </w:rPr>
              <w:t>2.90万元</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1.87万元</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4万元</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2.90万元</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850.56万元</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936.39万元</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910.58万元</w:t>
            </w: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42.78万元</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41.26万元</w:t>
            </w: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626.49万元</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619.27万元</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616.22万元</w:t>
            </w: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rPr>
            </w:pPr>
            <w:r>
              <w:rPr>
                <w:rFonts w:hint="eastAsia" w:ascii="Times New Roman" w:hAnsi="Times New Roman" w:eastAsia="仿宋_GB2312" w:cs="Times New Roman"/>
                <w:sz w:val="20"/>
                <w:szCs w:val="20"/>
                <w:lang w:val="en-US" w:eastAsia="zh-CN"/>
              </w:rPr>
              <w:t>一般行政管理事务</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626.49万元</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619.27万元</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616.22万元</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3、省级专项资金（</w:t>
            </w:r>
            <w:r>
              <w:rPr>
                <w:rFonts w:hint="eastAsia" w:ascii="Times New Roman" w:hAnsi="Times New Roman" w:eastAsia="仿宋_GB2312" w:cs="Times New Roman"/>
                <w:sz w:val="20"/>
                <w:szCs w:val="20"/>
                <w:lang w:eastAsia="zh-CN"/>
              </w:rPr>
              <w:t>每</w:t>
            </w:r>
            <w:r>
              <w:rPr>
                <w:rFonts w:hint="default" w:ascii="Times New Roman" w:hAnsi="Times New Roman" w:eastAsia="仿宋_GB2312" w:cs="Times New Roman"/>
                <w:sz w:val="20"/>
                <w:szCs w:val="20"/>
              </w:rPr>
              <w:t>个专项一行）</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224.07万元</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274.33万元</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253.1万元</w:t>
            </w: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农业资源保护修复与利用</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19.59万元</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30.41万元</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9.18万元</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其他农业农村支出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56.08万元</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243.92万元</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243.92万元</w:t>
            </w:r>
          </w:p>
        </w:tc>
      </w:tr>
      <w:tr>
        <w:tblPrEx>
          <w:tblLayout w:type="fixed"/>
          <w:tblCellMar>
            <w:top w:w="0" w:type="dxa"/>
            <w:left w:w="108" w:type="dxa"/>
            <w:bottom w:w="0" w:type="dxa"/>
            <w:right w:w="108" w:type="dxa"/>
          </w:tblCellMar>
        </w:tblPrEx>
        <w:trPr>
          <w:trHeight w:val="30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农业生产发展</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148.4万元</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138.29万元</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137.2万元</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137.11万元</w:t>
            </w: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7.62万元</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lang w:eastAsia="zh-CN"/>
              </w:rPr>
            </w:pPr>
            <w:r>
              <w:rPr>
                <w:rFonts w:hint="eastAsia" w:ascii="Times New Roman" w:hAnsi="Times New Roman" w:eastAsia="仿宋_GB2312" w:cs="Times New Roman"/>
                <w:color w:val="auto"/>
                <w:sz w:val="20"/>
                <w:szCs w:val="20"/>
                <w:lang w:val="en-US" w:eastAsia="zh-CN"/>
              </w:rPr>
              <w:t>6.7万元</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6.7万元</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10.07万元</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lang w:eastAsia="zh-CN"/>
              </w:rPr>
            </w:pPr>
            <w:r>
              <w:rPr>
                <w:rFonts w:hint="eastAsia" w:ascii="Times New Roman" w:hAnsi="Times New Roman" w:eastAsia="仿宋_GB2312" w:cs="Times New Roman"/>
                <w:color w:val="auto"/>
                <w:sz w:val="20"/>
                <w:szCs w:val="20"/>
                <w:lang w:val="en-US" w:eastAsia="zh-CN"/>
              </w:rPr>
              <w:t>12万元</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10.24万元</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lang w:eastAsia="zh-CN"/>
              </w:rPr>
            </w:pPr>
            <w:r>
              <w:rPr>
                <w:rFonts w:hint="eastAsia" w:ascii="Times New Roman" w:hAnsi="Times New Roman" w:eastAsia="仿宋_GB2312" w:cs="Times New Roman"/>
                <w:color w:val="auto"/>
                <w:sz w:val="20"/>
                <w:szCs w:val="20"/>
                <w:lang w:val="en-US" w:eastAsia="zh-CN"/>
              </w:rPr>
              <w:t>4万元</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0.49万元</w:t>
            </w:r>
            <w:r>
              <w:rPr>
                <w:rFonts w:hint="default" w:ascii="Times New Roman" w:hAnsi="Times New Roman" w:eastAsia="仿宋_GB2312" w:cs="Times New Roman"/>
                <w:color w:val="auto"/>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855" w:hRule="atLeast"/>
          <w:jc w:val="center"/>
        </w:trPr>
        <w:tc>
          <w:tcPr>
            <w:tcW w:w="3354" w:type="dxa"/>
            <w:vMerge w:val="restart"/>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楼堂馆所控制情况</w:t>
            </w:r>
            <w:r>
              <w:rPr>
                <w:rFonts w:hint="default" w:ascii="Times New Roman" w:hAnsi="Times New Roman" w:eastAsia="仿宋_GB2312" w:cs="Times New Roman"/>
                <w:sz w:val="20"/>
                <w:szCs w:val="20"/>
              </w:rPr>
              <w:br w:type="textWrapping"/>
            </w:r>
            <w:r>
              <w:rPr>
                <w:rFonts w:hint="default" w:ascii="Times New Roman" w:hAnsi="Times New Roman" w:eastAsia="仿宋_GB2312" w:cs="Times New Roman"/>
                <w:sz w:val="20"/>
                <w:szCs w:val="20"/>
              </w:rPr>
              <w:t>（202</w:t>
            </w:r>
            <w:r>
              <w:rPr>
                <w:rFonts w:hint="eastAsia" w:ascii="Times New Roman" w:hAnsi="Times New Roman" w:eastAsia="仿宋_GB2312" w:cs="Times New Roman"/>
                <w:sz w:val="20"/>
                <w:szCs w:val="20"/>
                <w:lang w:val="en-US" w:eastAsia="zh-CN"/>
              </w:rPr>
              <w:t>3</w:t>
            </w:r>
            <w:r>
              <w:rPr>
                <w:rFonts w:hint="default" w:ascii="Times New Roman" w:hAnsi="Times New Roman" w:eastAsia="仿宋_GB2312" w:cs="Times New Roman"/>
                <w:sz w:val="20"/>
                <w:szCs w:val="20"/>
              </w:rPr>
              <w:t>年完工项目）</w:t>
            </w: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批复规模</w:t>
            </w:r>
            <w:r>
              <w:rPr>
                <w:rFonts w:hint="default" w:ascii="Times New Roman" w:hAnsi="Times New Roman" w:eastAsia="仿宋_GB2312" w:cs="Times New Roman"/>
                <w:bCs/>
                <w:sz w:val="20"/>
                <w:szCs w:val="20"/>
              </w:rPr>
              <w:br w:type="textWrapping"/>
            </w:r>
            <w:r>
              <w:rPr>
                <w:rFonts w:hint="default" w:ascii="Times New Roman" w:hAnsi="Times New Roman" w:eastAsia="仿宋_GB2312" w:cs="Times New Roman"/>
                <w:bCs/>
                <w:sz w:val="20"/>
                <w:szCs w:val="20"/>
              </w:rPr>
              <w:t>（</w:t>
            </w:r>
            <w:r>
              <w:rPr>
                <w:rFonts w:hint="default" w:ascii="Times New Roman" w:hAnsi="Times New Roman" w:cs="Times New Roman"/>
                <w:bCs/>
                <w:sz w:val="20"/>
                <w:szCs w:val="20"/>
              </w:rPr>
              <w:t>㎡</w:t>
            </w:r>
            <w:r>
              <w:rPr>
                <w:rFonts w:hint="default" w:ascii="Times New Roman" w:hAnsi="Times New Roman" w:eastAsia="仿宋_GB2312" w:cs="Times New Roman"/>
                <w:bCs/>
                <w:sz w:val="20"/>
                <w:szCs w:val="20"/>
              </w:rPr>
              <w:t>）</w:t>
            </w:r>
          </w:p>
        </w:tc>
        <w:tc>
          <w:tcPr>
            <w:tcW w:w="84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实际规模（</w:t>
            </w:r>
            <w:r>
              <w:rPr>
                <w:rFonts w:hint="default" w:ascii="Times New Roman" w:hAnsi="Times New Roman" w:cs="Times New Roman"/>
                <w:bCs/>
                <w:sz w:val="20"/>
                <w:szCs w:val="20"/>
              </w:rPr>
              <w:t>㎡</w:t>
            </w:r>
            <w:r>
              <w:rPr>
                <w:rFonts w:hint="default" w:ascii="Times New Roman" w:hAnsi="Times New Roman" w:eastAsia="仿宋_GB2312" w:cs="Times New Roman"/>
                <w:bCs/>
                <w:sz w:val="20"/>
                <w:szCs w:val="20"/>
              </w:rPr>
              <w:t>）</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规模控制率</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预算投资（万元）</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实际投资（万元）</w:t>
            </w:r>
          </w:p>
        </w:tc>
        <w:tc>
          <w:tcPr>
            <w:tcW w:w="960"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投资概算控制率</w:t>
            </w:r>
          </w:p>
        </w:tc>
      </w:tr>
      <w:tr>
        <w:tblPrEx>
          <w:tblLayout w:type="fixed"/>
          <w:tblCellMar>
            <w:top w:w="0" w:type="dxa"/>
            <w:left w:w="108" w:type="dxa"/>
            <w:bottom w:w="0" w:type="dxa"/>
            <w:right w:w="108" w:type="dxa"/>
          </w:tblCellMar>
        </w:tblPrEx>
        <w:trPr>
          <w:trHeight w:val="300"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Times New Roman" w:hAnsi="Times New Roman" w:eastAsia="仿宋_GB2312" w:cs="Times New Roman"/>
                <w:sz w:val="20"/>
                <w:szCs w:val="20"/>
                <w:lang w:eastAsia="zh-CN"/>
              </w:rPr>
            </w:pPr>
            <w:r>
              <w:rPr>
                <w:rFonts w:hint="eastAsia" w:ascii="Times New Roman" w:hAnsi="Times New Roman" w:eastAsia="仿宋_GB2312" w:cs="Times New Roman"/>
                <w:sz w:val="20"/>
                <w:szCs w:val="20"/>
                <w:lang w:val="en-US" w:eastAsia="zh-CN"/>
              </w:rPr>
              <w:t>0</w:t>
            </w:r>
          </w:p>
        </w:tc>
        <w:tc>
          <w:tcPr>
            <w:tcW w:w="849"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w:t>
            </w:r>
          </w:p>
        </w:tc>
        <w:tc>
          <w:tcPr>
            <w:tcW w:w="960"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w:t>
            </w:r>
          </w:p>
        </w:tc>
      </w:tr>
      <w:tr>
        <w:tblPrEx>
          <w:tblLayout w:type="fixed"/>
          <w:tblCellMar>
            <w:top w:w="0" w:type="dxa"/>
            <w:left w:w="108" w:type="dxa"/>
            <w:bottom w:w="0" w:type="dxa"/>
            <w:right w:w="108" w:type="dxa"/>
          </w:tblCellMar>
        </w:tblPrEx>
        <w:trPr>
          <w:trHeight w:val="295"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监督检查与制度建设</w:t>
            </w:r>
            <w:r>
              <w:rPr>
                <w:rFonts w:hint="default" w:ascii="Times New Roman" w:hAnsi="Times New Roman" w:eastAsia="仿宋_GB2312" w:cs="Times New Roman"/>
                <w:sz w:val="20"/>
                <w:szCs w:val="20"/>
              </w:rPr>
              <w:t>　</w:t>
            </w:r>
          </w:p>
        </w:tc>
      </w:tr>
    </w:tbl>
    <w:p>
      <w:pPr>
        <w:widowControl/>
        <w:spacing w:afterLines="0" w:line="400" w:lineRule="exact"/>
        <w:ind w:firstLine="440" w:firstLineChars="200"/>
        <w:jc w:val="left"/>
        <w:rPr>
          <w:rFonts w:hint="default" w:ascii="Times New Roman" w:hAnsi="Times New Roman" w:eastAsia="仿宋_GB2312" w:cs="Times New Roman"/>
          <w:sz w:val="22"/>
        </w:rPr>
      </w:pPr>
      <w:r>
        <w:rPr>
          <w:rFonts w:hint="default" w:ascii="Times New Roman" w:hAnsi="Times New Roman" w:eastAsia="仿宋_GB2312" w:cs="Times New Roman"/>
          <w:sz w:val="22"/>
          <w:szCs w:val="22"/>
        </w:rPr>
        <w:t>说明：“项目支出”需要填报基本支出以外的所有项目支出情况，“公用经费”填报基本支出中的一般商品和服务支出。</w:t>
      </w:r>
    </w:p>
    <w:p>
      <w:pPr>
        <w:widowControl/>
        <w:spacing w:after="0" w:afterLines="0" w:line="400" w:lineRule="exact"/>
        <w:jc w:val="left"/>
        <w:rPr>
          <w:rFonts w:hint="eastAsia" w:ascii="Times New Roman" w:hAnsi="Times New Roman" w:eastAsia="黑体" w:cs="Times New Roman"/>
          <w:sz w:val="32"/>
          <w:szCs w:val="32"/>
          <w:lang w:eastAsia="zh-CN"/>
        </w:rPr>
      </w:pPr>
      <w:r>
        <w:rPr>
          <w:rFonts w:hint="default" w:ascii="Times New Roman" w:hAnsi="Times New Roman" w:eastAsia="仿宋_GB2312" w:cs="Times New Roman"/>
          <w:sz w:val="22"/>
        </w:rPr>
        <w:t>填表人：</w:t>
      </w:r>
      <w:r>
        <w:rPr>
          <w:rFonts w:hint="eastAsia" w:ascii="Times New Roman" w:hAnsi="Times New Roman" w:eastAsia="仿宋_GB2312" w:cs="Times New Roman"/>
          <w:sz w:val="22"/>
          <w:lang w:val="en-US" w:eastAsia="zh-CN"/>
        </w:rPr>
        <w:t>朱玲艳</w:t>
      </w:r>
      <w:r>
        <w:rPr>
          <w:rFonts w:hint="default" w:ascii="Times New Roman" w:hAnsi="Times New Roman" w:eastAsia="仿宋_GB2312" w:cs="Times New Roman"/>
          <w:sz w:val="22"/>
        </w:rPr>
        <w:t xml:space="preserve"> 填报日期：</w:t>
      </w:r>
      <w:r>
        <w:rPr>
          <w:rFonts w:hint="eastAsia" w:ascii="Times New Roman" w:hAnsi="Times New Roman" w:eastAsia="仿宋_GB2312" w:cs="Times New Roman"/>
          <w:sz w:val="22"/>
          <w:lang w:val="en-US" w:eastAsia="zh-CN"/>
        </w:rPr>
        <w:t>2024年4月22日</w:t>
      </w:r>
      <w:r>
        <w:rPr>
          <w:rFonts w:hint="default" w:ascii="Times New Roman" w:hAnsi="Times New Roman" w:eastAsia="仿宋_GB2312" w:cs="Times New Roman"/>
          <w:sz w:val="22"/>
        </w:rPr>
        <w:t xml:space="preserve"> 联系电话：</w:t>
      </w:r>
      <w:r>
        <w:rPr>
          <w:rFonts w:hint="eastAsia" w:ascii="Times New Roman" w:hAnsi="Times New Roman" w:eastAsia="仿宋_GB2312" w:cs="Times New Roman"/>
          <w:sz w:val="22"/>
          <w:lang w:val="en-US" w:eastAsia="zh-CN"/>
        </w:rPr>
        <w:t>18973972107</w:t>
      </w:r>
      <w:r>
        <w:rPr>
          <w:rFonts w:hint="default" w:ascii="Times New Roman" w:hAnsi="Times New Roman" w:eastAsia="仿宋_GB2312" w:cs="Times New Roman"/>
          <w:sz w:val="22"/>
        </w:rPr>
        <w:t>单位负责人签字：</w:t>
      </w:r>
      <w:r>
        <w:rPr>
          <w:rFonts w:hint="default" w:ascii="Times New Roman" w:hAnsi="Times New Roman" w:eastAsia="仿宋_GB2312" w:cs="Times New Roman"/>
          <w:sz w:val="22"/>
        </w:rPr>
        <w:br w:type="page"/>
      </w:r>
    </w:p>
    <w:p>
      <w:pPr>
        <w:widowControl/>
        <w:spacing w:after="120" w:afterLines="50"/>
        <w:ind w:firstLine="720" w:firstLineChars="200"/>
        <w:jc w:val="center"/>
        <w:rPr>
          <w:rFonts w:hint="default" w:ascii="Times New Roman" w:hAnsi="Times New Roman" w:eastAsia="方正小标宋_GBK" w:cs="Times New Roman"/>
          <w:color w:val="000000"/>
          <w:sz w:val="36"/>
          <w:szCs w:val="36"/>
        </w:rPr>
      </w:pPr>
      <w:r>
        <w:rPr>
          <w:rFonts w:hint="default" w:ascii="Times New Roman" w:hAnsi="Times New Roman" w:eastAsia="方正小标宋_GBK" w:cs="Times New Roman"/>
          <w:color w:val="000000"/>
          <w:sz w:val="36"/>
          <w:szCs w:val="36"/>
        </w:rPr>
        <w:t>202</w:t>
      </w:r>
      <w:r>
        <w:rPr>
          <w:rFonts w:hint="eastAsia" w:ascii="Times New Roman" w:hAnsi="Times New Roman" w:eastAsia="方正小标宋_GBK" w:cs="Times New Roman"/>
          <w:color w:val="000000"/>
          <w:sz w:val="36"/>
          <w:szCs w:val="36"/>
          <w:lang w:val="en-US" w:eastAsia="zh-CN"/>
        </w:rPr>
        <w:t>3</w:t>
      </w:r>
      <w:r>
        <w:rPr>
          <w:rFonts w:hint="default" w:ascii="Times New Roman" w:hAnsi="Times New Roman" w:eastAsia="方正小标宋_GBK" w:cs="Times New Roman"/>
          <w:color w:val="000000"/>
          <w:sz w:val="36"/>
          <w:szCs w:val="36"/>
        </w:rPr>
        <w:t>年</w:t>
      </w:r>
      <w:r>
        <w:rPr>
          <w:rFonts w:hint="eastAsia" w:ascii="Times New Roman" w:hAnsi="Times New Roman" w:eastAsia="方正小标宋_GBK" w:cs="Times New Roman"/>
          <w:color w:val="000000"/>
          <w:sz w:val="36"/>
          <w:szCs w:val="36"/>
          <w:lang w:eastAsia="zh-CN"/>
        </w:rPr>
        <w:t>度</w:t>
      </w:r>
      <w:r>
        <w:rPr>
          <w:rFonts w:hint="default" w:ascii="Times New Roman" w:hAnsi="Times New Roman" w:eastAsia="方正小标宋_GBK" w:cs="Times New Roman"/>
          <w:color w:val="000000"/>
          <w:sz w:val="36"/>
          <w:szCs w:val="36"/>
        </w:rPr>
        <w:t>部门整体支出绩效自评表</w:t>
      </w:r>
    </w:p>
    <w:tbl>
      <w:tblPr>
        <w:tblStyle w:val="10"/>
        <w:tblW w:w="10079" w:type="dxa"/>
        <w:jc w:val="center"/>
        <w:tblInd w:w="0" w:type="dxa"/>
        <w:tblLayout w:type="fixed"/>
        <w:tblCellMar>
          <w:top w:w="0" w:type="dxa"/>
          <w:left w:w="108" w:type="dxa"/>
          <w:bottom w:w="0" w:type="dxa"/>
          <w:right w:w="108" w:type="dxa"/>
        </w:tblCellMar>
      </w:tblPr>
      <w:tblGrid>
        <w:gridCol w:w="1080"/>
        <w:gridCol w:w="1080"/>
        <w:gridCol w:w="1135"/>
        <w:gridCol w:w="1290"/>
        <w:gridCol w:w="1350"/>
        <w:gridCol w:w="1380"/>
        <w:gridCol w:w="585"/>
        <w:gridCol w:w="733"/>
        <w:gridCol w:w="1446"/>
      </w:tblGrid>
      <w:tr>
        <w:tblPrEx>
          <w:tblLayout w:type="fixed"/>
          <w:tblCellMar>
            <w:top w:w="0" w:type="dxa"/>
            <w:left w:w="108" w:type="dxa"/>
            <w:bottom w:w="0" w:type="dxa"/>
            <w:right w:w="108" w:type="dxa"/>
          </w:tblCellMar>
        </w:tblPrEx>
        <w:trPr>
          <w:jc w:val="center"/>
        </w:trPr>
        <w:tc>
          <w:tcPr>
            <w:tcW w:w="3295"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省级预算部门</w:t>
            </w:r>
            <w:r>
              <w:rPr>
                <w:rFonts w:hint="eastAsia" w:ascii="Times New Roman" w:hAnsi="Times New Roman" w:eastAsia="仿宋_GB2312" w:cs="Times New Roman"/>
                <w:color w:val="000000"/>
                <w:sz w:val="20"/>
                <w:szCs w:val="20"/>
                <w:lang w:eastAsia="zh-CN"/>
              </w:rPr>
              <w:t>、单位</w:t>
            </w:r>
            <w:r>
              <w:rPr>
                <w:rFonts w:hint="default" w:ascii="Times New Roman" w:hAnsi="Times New Roman" w:eastAsia="仿宋_GB2312" w:cs="Times New Roman"/>
                <w:color w:val="000000"/>
                <w:sz w:val="20"/>
                <w:szCs w:val="20"/>
              </w:rPr>
              <w:t>名称</w:t>
            </w:r>
          </w:p>
        </w:tc>
        <w:tc>
          <w:tcPr>
            <w:tcW w:w="6784"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湖南省农民科技教育培训中心</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ind w:firstLine="400" w:firstLineChars="200"/>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年度预</w:t>
            </w:r>
          </w:p>
          <w:p>
            <w:pPr>
              <w:widowControl/>
              <w:spacing w:line="240" w:lineRule="exact"/>
              <w:ind w:firstLine="400" w:firstLineChars="200"/>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算申请</w:t>
            </w:r>
            <w:r>
              <w:rPr>
                <w:rFonts w:hint="default" w:ascii="Times New Roman" w:hAnsi="Times New Roman" w:eastAsia="仿宋_GB2312" w:cs="Times New Roman"/>
                <w:color w:val="000000"/>
                <w:sz w:val="20"/>
                <w:szCs w:val="20"/>
              </w:rPr>
              <w:br w:type="textWrapping"/>
            </w:r>
            <w:r>
              <w:rPr>
                <w:rFonts w:hint="default" w:ascii="Times New Roman" w:hAnsi="Times New Roman" w:eastAsia="仿宋_GB2312" w:cs="Times New Roman"/>
                <w:color w:val="000000"/>
                <w:sz w:val="20"/>
                <w:szCs w:val="20"/>
              </w:rPr>
              <w:t>（万元）</w:t>
            </w:r>
          </w:p>
        </w:tc>
        <w:tc>
          <w:tcPr>
            <w:tcW w:w="2215"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p>
        </w:tc>
        <w:tc>
          <w:tcPr>
            <w:tcW w:w="1290"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年初预算数</w:t>
            </w:r>
          </w:p>
        </w:tc>
        <w:tc>
          <w:tcPr>
            <w:tcW w:w="1350"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全年预算数</w:t>
            </w:r>
          </w:p>
        </w:tc>
        <w:tc>
          <w:tcPr>
            <w:tcW w:w="1380"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全年执行数</w:t>
            </w:r>
          </w:p>
        </w:tc>
        <w:tc>
          <w:tcPr>
            <w:tcW w:w="585"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分值</w:t>
            </w:r>
          </w:p>
        </w:tc>
        <w:tc>
          <w:tcPr>
            <w:tcW w:w="733"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执行率</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eastAsia="zh-CN"/>
              </w:rPr>
              <w:t>自</w:t>
            </w:r>
            <w:r>
              <w:rPr>
                <w:rFonts w:hint="default" w:ascii="Times New Roman" w:hAnsi="Times New Roman" w:eastAsia="仿宋_GB2312" w:cs="Times New Roman"/>
                <w:sz w:val="20"/>
                <w:szCs w:val="20"/>
              </w:rPr>
              <w:t>得</w:t>
            </w:r>
            <w:r>
              <w:rPr>
                <w:rFonts w:hint="eastAsia" w:ascii="Times New Roman" w:hAnsi="Times New Roman" w:eastAsia="仿宋_GB2312" w:cs="Times New Roman"/>
                <w:sz w:val="20"/>
                <w:szCs w:val="20"/>
                <w:lang w:val="en-US" w:eastAsia="zh-CN"/>
              </w:rPr>
              <w:t>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2215"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color w:val="000000"/>
                <w:sz w:val="20"/>
                <w:szCs w:val="20"/>
              </w:rPr>
              <w:t>年度资金总额</w:t>
            </w:r>
          </w:p>
        </w:tc>
        <w:tc>
          <w:tcPr>
            <w:tcW w:w="1290"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1742.86万</w:t>
            </w:r>
          </w:p>
        </w:tc>
        <w:tc>
          <w:tcPr>
            <w:tcW w:w="1350"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2046.02万</w:t>
            </w:r>
          </w:p>
        </w:tc>
        <w:tc>
          <w:tcPr>
            <w:tcW w:w="1380"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1814.95</w:t>
            </w:r>
          </w:p>
        </w:tc>
        <w:tc>
          <w:tcPr>
            <w:tcW w:w="585"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b/>
                <w:bCs/>
                <w:sz w:val="20"/>
                <w:szCs w:val="20"/>
              </w:rPr>
              <w:t>10</w:t>
            </w:r>
          </w:p>
        </w:tc>
        <w:tc>
          <w:tcPr>
            <w:tcW w:w="733"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88%</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8.8分</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85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按收入性质分：</w:t>
            </w:r>
          </w:p>
        </w:tc>
        <w:tc>
          <w:tcPr>
            <w:tcW w:w="414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按支出性质分：</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85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xml:space="preserve">  其中：  一般公共预算：</w:t>
            </w:r>
            <w:r>
              <w:rPr>
                <w:rFonts w:hint="eastAsia" w:ascii="Times New Roman" w:hAnsi="Times New Roman" w:eastAsia="仿宋_GB2312" w:cs="Times New Roman"/>
                <w:color w:val="000000"/>
                <w:sz w:val="20"/>
                <w:szCs w:val="20"/>
                <w:lang w:val="en-US" w:eastAsia="zh-CN"/>
              </w:rPr>
              <w:t>1548.47</w:t>
            </w:r>
          </w:p>
        </w:tc>
        <w:tc>
          <w:tcPr>
            <w:tcW w:w="414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其中：基本支出：</w:t>
            </w:r>
            <w:r>
              <w:rPr>
                <w:rFonts w:hint="eastAsia" w:ascii="Times New Roman" w:hAnsi="Times New Roman" w:eastAsia="仿宋_GB2312" w:cs="Times New Roman"/>
                <w:color w:val="000000"/>
                <w:sz w:val="20"/>
                <w:szCs w:val="20"/>
                <w:lang w:val="en-US" w:eastAsia="zh-CN"/>
              </w:rPr>
              <w:t>806.47</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855" w:type="dxa"/>
            <w:gridSpan w:val="4"/>
            <w:tcBorders>
              <w:top w:val="nil"/>
              <w:left w:val="nil"/>
              <w:bottom w:val="single" w:color="auto" w:sz="4" w:space="0"/>
              <w:right w:val="single" w:color="auto" w:sz="4" w:space="0"/>
            </w:tcBorders>
            <w:noWrap w:val="0"/>
            <w:vAlign w:val="center"/>
          </w:tcPr>
          <w:p>
            <w:pPr>
              <w:widowControl/>
              <w:spacing w:line="240" w:lineRule="exact"/>
              <w:ind w:firstLine="800" w:firstLineChars="400"/>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政府性基金拨款：</w:t>
            </w:r>
            <w:r>
              <w:rPr>
                <w:rFonts w:hint="eastAsia" w:ascii="Times New Roman" w:hAnsi="Times New Roman" w:eastAsia="仿宋_GB2312" w:cs="Times New Roman"/>
                <w:color w:val="000000"/>
                <w:sz w:val="20"/>
                <w:szCs w:val="20"/>
                <w:lang w:val="en-US" w:eastAsia="zh-CN"/>
              </w:rPr>
              <w:t>0</w:t>
            </w:r>
          </w:p>
        </w:tc>
        <w:tc>
          <w:tcPr>
            <w:tcW w:w="4144" w:type="dxa"/>
            <w:gridSpan w:val="4"/>
            <w:tcBorders>
              <w:top w:val="nil"/>
              <w:left w:val="nil"/>
              <w:bottom w:val="single" w:color="auto" w:sz="4" w:space="0"/>
              <w:right w:val="single" w:color="auto" w:sz="4" w:space="0"/>
            </w:tcBorders>
            <w:noWrap w:val="0"/>
            <w:vAlign w:val="center"/>
          </w:tcPr>
          <w:p>
            <w:pPr>
              <w:widowControl/>
              <w:spacing w:line="240" w:lineRule="exact"/>
              <w:ind w:firstLine="600" w:firstLineChars="300"/>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项目支出：</w:t>
            </w:r>
            <w:r>
              <w:rPr>
                <w:rFonts w:hint="eastAsia" w:ascii="Times New Roman" w:hAnsi="Times New Roman" w:eastAsia="仿宋_GB2312" w:cs="Times New Roman"/>
                <w:color w:val="000000"/>
                <w:sz w:val="20"/>
                <w:szCs w:val="20"/>
                <w:lang w:val="en-US" w:eastAsia="zh-CN"/>
              </w:rPr>
              <w:t>936.39</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85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纳入专户管理的非税收入拨款：</w:t>
            </w:r>
            <w:r>
              <w:rPr>
                <w:rFonts w:hint="eastAsia" w:ascii="Times New Roman" w:hAnsi="Times New Roman" w:eastAsia="仿宋_GB2312" w:cs="Times New Roman"/>
                <w:color w:val="000000"/>
                <w:sz w:val="20"/>
                <w:szCs w:val="20"/>
                <w:lang w:val="en-US" w:eastAsia="zh-CN"/>
              </w:rPr>
              <w:t>27.27</w:t>
            </w:r>
          </w:p>
        </w:tc>
        <w:tc>
          <w:tcPr>
            <w:tcW w:w="414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855" w:type="dxa"/>
            <w:gridSpan w:val="4"/>
            <w:tcBorders>
              <w:top w:val="nil"/>
              <w:left w:val="nil"/>
              <w:bottom w:val="single" w:color="auto" w:sz="4" w:space="0"/>
              <w:right w:val="single" w:color="auto" w:sz="4" w:space="0"/>
            </w:tcBorders>
            <w:noWrap w:val="0"/>
            <w:vAlign w:val="center"/>
          </w:tcPr>
          <w:p>
            <w:pPr>
              <w:widowControl/>
              <w:spacing w:line="240" w:lineRule="exact"/>
              <w:ind w:firstLine="1400" w:firstLineChars="700"/>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其他资金：</w:t>
            </w:r>
            <w:r>
              <w:rPr>
                <w:rFonts w:hint="eastAsia" w:ascii="Times New Roman" w:hAnsi="Times New Roman" w:eastAsia="仿宋_GB2312" w:cs="Times New Roman"/>
                <w:color w:val="000000"/>
                <w:sz w:val="20"/>
                <w:szCs w:val="20"/>
                <w:lang w:val="en-US" w:eastAsia="zh-CN"/>
              </w:rPr>
              <w:t>167.12</w:t>
            </w:r>
          </w:p>
        </w:tc>
        <w:tc>
          <w:tcPr>
            <w:tcW w:w="414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年度总体目标</w:t>
            </w:r>
          </w:p>
        </w:tc>
        <w:tc>
          <w:tcPr>
            <w:tcW w:w="4855"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预期目标</w:t>
            </w:r>
          </w:p>
        </w:tc>
        <w:tc>
          <w:tcPr>
            <w:tcW w:w="414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实际完成情况　</w:t>
            </w:r>
          </w:p>
        </w:tc>
      </w:tr>
      <w:tr>
        <w:tblPrEx>
          <w:tblLayout w:type="fixed"/>
          <w:tblCellMar>
            <w:top w:w="0" w:type="dxa"/>
            <w:left w:w="108" w:type="dxa"/>
            <w:bottom w:w="0" w:type="dxa"/>
            <w:right w:w="108" w:type="dxa"/>
          </w:tblCellMar>
        </w:tblPrEx>
        <w:trPr>
          <w:trHeight w:val="735"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855"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需完成农广助农计划培训班47期，三农干部走出去完成6期，厅培训计划41期，农业资源保护与利用2期，需培训人数达1万人</w:t>
            </w:r>
          </w:p>
        </w:tc>
        <w:tc>
          <w:tcPr>
            <w:tcW w:w="414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实际完成了农广助农培训班47期，三农干部走出去完成6期，厅培训计划31期，农业资源保护与利用2期，实际培训人数1.35万人</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ind w:firstLine="400" w:firstLineChars="200"/>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绩</w:t>
            </w:r>
          </w:p>
          <w:p>
            <w:pPr>
              <w:widowControl/>
              <w:spacing w:line="240" w:lineRule="exact"/>
              <w:ind w:firstLine="400" w:firstLineChars="200"/>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w:t>
            </w:r>
          </w:p>
          <w:p>
            <w:pPr>
              <w:widowControl/>
              <w:spacing w:line="240" w:lineRule="exact"/>
              <w:ind w:firstLine="400" w:firstLineChars="200"/>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w:t>
            </w:r>
          </w:p>
          <w:p>
            <w:pPr>
              <w:widowControl/>
              <w:spacing w:line="240" w:lineRule="exact"/>
              <w:ind w:firstLine="400" w:firstLineChars="200"/>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标</w:t>
            </w:r>
          </w:p>
          <w:p>
            <w:pPr>
              <w:widowControl/>
              <w:spacing w:line="240" w:lineRule="exact"/>
              <w:jc w:val="center"/>
              <w:rPr>
                <w:rFonts w:hint="default" w:ascii="Times New Roman" w:hAnsi="Times New Roman" w:eastAsia="仿宋_GB2312" w:cs="Times New Roman"/>
                <w:color w:val="000000"/>
                <w:sz w:val="20"/>
                <w:szCs w:val="20"/>
              </w:rPr>
            </w:pP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一级指标</w:t>
            </w:r>
          </w:p>
        </w:tc>
        <w:tc>
          <w:tcPr>
            <w:tcW w:w="113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二级指标</w:t>
            </w:r>
          </w:p>
        </w:tc>
        <w:tc>
          <w:tcPr>
            <w:tcW w:w="129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三级指标</w:t>
            </w:r>
          </w:p>
        </w:tc>
        <w:tc>
          <w:tcPr>
            <w:tcW w:w="1350"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年度指标值</w:t>
            </w:r>
          </w:p>
        </w:tc>
        <w:tc>
          <w:tcPr>
            <w:tcW w:w="1380" w:type="dxa"/>
            <w:tcBorders>
              <w:top w:val="nil"/>
              <w:left w:val="nil"/>
              <w:bottom w:val="single" w:color="auto" w:sz="4" w:space="0"/>
              <w:right w:val="single" w:color="auto" w:sz="4" w:space="0"/>
            </w:tcBorders>
            <w:noWrap w:val="0"/>
            <w:vAlign w:val="center"/>
          </w:tcPr>
          <w:p>
            <w:pPr>
              <w:widowControl/>
              <w:spacing w:line="240" w:lineRule="exac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实际完成值</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分值</w:t>
            </w:r>
          </w:p>
        </w:tc>
        <w:tc>
          <w:tcPr>
            <w:tcW w:w="733"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eastAsia="zh-CN"/>
              </w:rPr>
              <w:t>自评</w:t>
            </w:r>
            <w:r>
              <w:rPr>
                <w:rFonts w:hint="default" w:ascii="Times New Roman" w:hAnsi="Times New Roman" w:eastAsia="仿宋_GB2312" w:cs="Times New Roman"/>
                <w:color w:val="000000"/>
                <w:sz w:val="20"/>
                <w:szCs w:val="20"/>
              </w:rPr>
              <w:t>得分</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偏差原因分析及改进措施</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400" w:firstLineChars="200"/>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产出指标</w:t>
            </w:r>
          </w:p>
          <w:p>
            <w:pPr>
              <w:widowControl/>
              <w:spacing w:line="240" w:lineRule="exact"/>
              <w:jc w:val="center"/>
              <w:rPr>
                <w:rFonts w:hint="default" w:ascii="Times New Roman" w:hAnsi="Times New Roman" w:eastAsia="仿宋_GB2312" w:cs="Times New Roman"/>
                <w:color w:val="000000"/>
                <w:sz w:val="20"/>
                <w:szCs w:val="20"/>
              </w:rPr>
            </w:pPr>
          </w:p>
          <w:p>
            <w:pPr>
              <w:widowControl/>
              <w:spacing w:line="240" w:lineRule="exact"/>
              <w:ind w:firstLine="400" w:firstLineChars="200"/>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(50分)</w:t>
            </w:r>
          </w:p>
        </w:tc>
        <w:tc>
          <w:tcPr>
            <w:tcW w:w="113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数量指标</w:t>
            </w:r>
          </w:p>
        </w:tc>
        <w:tc>
          <w:tcPr>
            <w:tcW w:w="129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培训期数</w:t>
            </w:r>
          </w:p>
        </w:tc>
        <w:tc>
          <w:tcPr>
            <w:tcW w:w="135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96</w:t>
            </w:r>
          </w:p>
        </w:tc>
        <w:tc>
          <w:tcPr>
            <w:tcW w:w="138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86</w:t>
            </w:r>
          </w:p>
        </w:tc>
        <w:tc>
          <w:tcPr>
            <w:tcW w:w="58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73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9</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13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color w:val="000000"/>
                <w:sz w:val="20"/>
                <w:szCs w:val="20"/>
              </w:rPr>
            </w:pPr>
          </w:p>
        </w:tc>
        <w:tc>
          <w:tcPr>
            <w:tcW w:w="129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培训人数</w:t>
            </w:r>
          </w:p>
        </w:tc>
        <w:tc>
          <w:tcPr>
            <w:tcW w:w="135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10000</w:t>
            </w:r>
            <w:r>
              <w:rPr>
                <w:rFonts w:hint="default" w:ascii="Times New Roman" w:hAnsi="Times New Roman" w:eastAsia="仿宋_GB2312" w:cs="Times New Roman"/>
                <w:color w:val="000000"/>
                <w:sz w:val="20"/>
                <w:szCs w:val="20"/>
              </w:rPr>
              <w:t>　</w:t>
            </w:r>
          </w:p>
        </w:tc>
        <w:tc>
          <w:tcPr>
            <w:tcW w:w="138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13500</w:t>
            </w:r>
          </w:p>
        </w:tc>
        <w:tc>
          <w:tcPr>
            <w:tcW w:w="58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73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10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质量指标</w:t>
            </w:r>
          </w:p>
        </w:tc>
        <w:tc>
          <w:tcPr>
            <w:tcW w:w="129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培训合格率</w:t>
            </w:r>
          </w:p>
        </w:tc>
        <w:tc>
          <w:tcPr>
            <w:tcW w:w="135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100%</w:t>
            </w:r>
          </w:p>
        </w:tc>
        <w:tc>
          <w:tcPr>
            <w:tcW w:w="138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100%</w:t>
            </w:r>
          </w:p>
        </w:tc>
        <w:tc>
          <w:tcPr>
            <w:tcW w:w="58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73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10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40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时效指标</w:t>
            </w:r>
          </w:p>
        </w:tc>
        <w:tc>
          <w:tcPr>
            <w:tcW w:w="129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培训完成时间</w:t>
            </w:r>
          </w:p>
        </w:tc>
        <w:tc>
          <w:tcPr>
            <w:tcW w:w="135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按时完成</w:t>
            </w:r>
          </w:p>
        </w:tc>
        <w:tc>
          <w:tcPr>
            <w:tcW w:w="138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按时完成90%</w:t>
            </w:r>
          </w:p>
        </w:tc>
        <w:tc>
          <w:tcPr>
            <w:tcW w:w="58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73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9</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31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成本指标</w:t>
            </w:r>
          </w:p>
        </w:tc>
        <w:tc>
          <w:tcPr>
            <w:tcW w:w="129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培训资金使用情况</w:t>
            </w:r>
          </w:p>
        </w:tc>
        <w:tc>
          <w:tcPr>
            <w:tcW w:w="135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936.39万</w:t>
            </w:r>
          </w:p>
        </w:tc>
        <w:tc>
          <w:tcPr>
            <w:tcW w:w="138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910.58万</w:t>
            </w:r>
          </w:p>
        </w:tc>
        <w:tc>
          <w:tcPr>
            <w:tcW w:w="58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b/>
                <w:bCs/>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73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9.7</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122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400" w:firstLineChars="200"/>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效益指标</w:t>
            </w:r>
          </w:p>
          <w:p>
            <w:pPr>
              <w:widowControl/>
              <w:spacing w:line="240" w:lineRule="exact"/>
              <w:jc w:val="left"/>
              <w:rPr>
                <w:rFonts w:hint="default" w:ascii="Times New Roman" w:hAnsi="Times New Roman" w:eastAsia="仿宋_GB2312" w:cs="Times New Roman"/>
                <w:color w:val="000000"/>
                <w:sz w:val="20"/>
                <w:szCs w:val="20"/>
              </w:rPr>
            </w:pPr>
          </w:p>
          <w:p>
            <w:pPr>
              <w:widowControl/>
              <w:spacing w:line="240" w:lineRule="exact"/>
              <w:ind w:firstLine="400" w:firstLineChars="200"/>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（30分）</w:t>
            </w:r>
          </w:p>
          <w:p>
            <w:pPr>
              <w:widowControl/>
              <w:spacing w:line="240" w:lineRule="exact"/>
              <w:ind w:firstLine="400" w:firstLineChars="200"/>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1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400" w:firstLineChars="200"/>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经济效</w:t>
            </w:r>
          </w:p>
          <w:p>
            <w:pPr>
              <w:widowControl/>
              <w:spacing w:line="240" w:lineRule="exact"/>
              <w:ind w:firstLine="400" w:firstLineChars="200"/>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129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摸清农业家底，开展收集保护，发掘一批优异新资源</w:t>
            </w:r>
          </w:p>
        </w:tc>
        <w:tc>
          <w:tcPr>
            <w:tcW w:w="13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摸清农业家底，开展收集保护，发掘一批优异新资源。</w:t>
            </w:r>
          </w:p>
        </w:tc>
        <w:tc>
          <w:tcPr>
            <w:tcW w:w="1380" w:type="dxa"/>
            <w:tcBorders>
              <w:top w:val="nil"/>
              <w:left w:val="nil"/>
              <w:bottom w:val="single" w:color="auto" w:sz="4" w:space="0"/>
              <w:right w:val="single" w:color="auto" w:sz="4" w:space="0"/>
            </w:tcBorders>
            <w:noWrap w:val="0"/>
            <w:vAlign w:val="top"/>
          </w:tcPr>
          <w:p>
            <w:pPr>
              <w:widowControl/>
              <w:spacing w:line="240" w:lineRule="exact"/>
              <w:jc w:val="center"/>
              <w:rPr>
                <w:rFonts w:hint="default" w:ascii="Times New Roman" w:hAnsi="Times New Roman" w:eastAsia="仿宋_GB2312" w:cs="Times New Roman"/>
                <w:color w:val="000000"/>
                <w:sz w:val="20"/>
                <w:szCs w:val="20"/>
                <w:lang w:val="en-US" w:eastAsia="en-US"/>
              </w:rPr>
            </w:pPr>
            <w:r>
              <w:rPr>
                <w:rFonts w:hint="eastAsia" w:ascii="Times New Roman" w:hAnsi="Times New Roman" w:eastAsia="仿宋_GB2312" w:cs="Times New Roman"/>
                <w:color w:val="000000"/>
                <w:sz w:val="20"/>
                <w:szCs w:val="20"/>
                <w:lang w:val="en-US" w:eastAsia="zh-CN"/>
              </w:rPr>
              <w:t>摸清了农业家底，发掘了一批优异新资源，取得明显成效。</w:t>
            </w:r>
          </w:p>
        </w:tc>
        <w:tc>
          <w:tcPr>
            <w:tcW w:w="58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73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118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400" w:firstLineChars="200"/>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社会效</w:t>
            </w:r>
          </w:p>
          <w:p>
            <w:pPr>
              <w:widowControl/>
              <w:spacing w:line="240" w:lineRule="exact"/>
              <w:ind w:firstLine="400" w:firstLineChars="200"/>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129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为打好种业翻身仗、打造农业创新高地奠定了良好基础。</w:t>
            </w:r>
          </w:p>
        </w:tc>
        <w:tc>
          <w:tcPr>
            <w:tcW w:w="13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为打好种业翻身仗、打造农业创新高地奠定了良好基础。</w:t>
            </w:r>
          </w:p>
        </w:tc>
        <w:tc>
          <w:tcPr>
            <w:tcW w:w="138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为打好种业翻身仗、打造农业创新高地奠定了良好基础。</w:t>
            </w:r>
          </w:p>
        </w:tc>
        <w:tc>
          <w:tcPr>
            <w:tcW w:w="58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73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955"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400" w:firstLineChars="200"/>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生态效</w:t>
            </w:r>
          </w:p>
          <w:p>
            <w:pPr>
              <w:widowControl/>
              <w:spacing w:line="240" w:lineRule="exact"/>
              <w:ind w:firstLine="400" w:firstLineChars="200"/>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1290" w:type="dxa"/>
            <w:tcBorders>
              <w:top w:val="nil"/>
              <w:left w:val="nil"/>
              <w:bottom w:val="single" w:color="auto" w:sz="4" w:space="0"/>
              <w:right w:val="single" w:color="auto" w:sz="4" w:space="0"/>
            </w:tcBorders>
            <w:noWrap w:val="0"/>
            <w:vAlign w:val="top"/>
          </w:tcPr>
          <w:p>
            <w:pPr>
              <w:widowControl/>
              <w:spacing w:line="240" w:lineRule="exact"/>
              <w:jc w:val="both"/>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保护生物多样性，开展抢救性收集保护资源。</w:t>
            </w:r>
          </w:p>
        </w:tc>
        <w:tc>
          <w:tcPr>
            <w:tcW w:w="13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保护生物多样性，开展抢救性收集保护资源。</w:t>
            </w:r>
          </w:p>
        </w:tc>
        <w:tc>
          <w:tcPr>
            <w:tcW w:w="138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en-US"/>
              </w:rPr>
            </w:pPr>
            <w:r>
              <w:rPr>
                <w:rFonts w:hint="eastAsia" w:ascii="Times New Roman" w:hAnsi="Times New Roman" w:eastAsia="仿宋_GB2312" w:cs="Times New Roman"/>
                <w:color w:val="000000"/>
                <w:sz w:val="20"/>
                <w:szCs w:val="20"/>
                <w:lang w:val="en-US" w:eastAsia="zh-CN"/>
              </w:rPr>
              <w:t>保护了生物多样性，开展抢救性收集保护资源。</w:t>
            </w:r>
          </w:p>
        </w:tc>
        <w:tc>
          <w:tcPr>
            <w:tcW w:w="585"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73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625" w:hRule="atLeast"/>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可持续影响指标</w:t>
            </w:r>
          </w:p>
        </w:tc>
        <w:tc>
          <w:tcPr>
            <w:tcW w:w="1290"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exact"/>
              <w:jc w:val="both"/>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推动农业农村高质量发展。</w:t>
            </w:r>
          </w:p>
        </w:tc>
        <w:tc>
          <w:tcPr>
            <w:tcW w:w="135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200" w:firstLineChars="100"/>
              <w:jc w:val="both"/>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推动农业农村高质量发展。</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推动农业农村高质量发展。</w:t>
            </w:r>
          </w:p>
        </w:tc>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73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400" w:firstLineChars="200"/>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满意度</w:t>
            </w:r>
          </w:p>
          <w:p>
            <w:pPr>
              <w:widowControl/>
              <w:spacing w:line="240" w:lineRule="exact"/>
              <w:ind w:firstLine="400" w:firstLineChars="200"/>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指标</w:t>
            </w:r>
          </w:p>
          <w:p>
            <w:pPr>
              <w:widowControl/>
              <w:spacing w:line="240" w:lineRule="exact"/>
              <w:ind w:firstLine="400" w:firstLineChars="200"/>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（10分）</w:t>
            </w:r>
          </w:p>
        </w:tc>
        <w:tc>
          <w:tcPr>
            <w:tcW w:w="11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服务对象满意度指标</w:t>
            </w:r>
          </w:p>
        </w:tc>
        <w:tc>
          <w:tcPr>
            <w:tcW w:w="1290" w:type="dxa"/>
            <w:tcBorders>
              <w:top w:val="nil"/>
              <w:left w:val="nil"/>
              <w:bottom w:val="single" w:color="auto" w:sz="4" w:space="0"/>
              <w:right w:val="single" w:color="auto" w:sz="4" w:space="0"/>
            </w:tcBorders>
            <w:noWrap w:val="0"/>
            <w:vAlign w:val="top"/>
          </w:tcPr>
          <w:p>
            <w:pPr>
              <w:widowControl/>
              <w:spacing w:line="240" w:lineRule="exact"/>
              <w:jc w:val="both"/>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参与培训人员满意度</w:t>
            </w:r>
          </w:p>
        </w:tc>
        <w:tc>
          <w:tcPr>
            <w:tcW w:w="1350" w:type="dxa"/>
            <w:tcBorders>
              <w:top w:val="nil"/>
              <w:left w:val="nil"/>
              <w:bottom w:val="single" w:color="auto" w:sz="4" w:space="0"/>
              <w:right w:val="single" w:color="auto" w:sz="4" w:space="0"/>
            </w:tcBorders>
            <w:noWrap w:val="0"/>
            <w:vAlign w:val="top"/>
          </w:tcPr>
          <w:p>
            <w:pPr>
              <w:widowControl/>
              <w:spacing w:line="240" w:lineRule="exact"/>
              <w:jc w:val="center"/>
              <w:rPr>
                <w:rFonts w:hint="eastAsia" w:ascii="Times New Roman" w:hAnsi="Times New Roman" w:eastAsia="仿宋_GB2312" w:cs="Times New Roman"/>
                <w:color w:val="000000"/>
                <w:sz w:val="20"/>
                <w:szCs w:val="20"/>
                <w:lang w:val="en-US" w:eastAsia="zh-CN"/>
              </w:rPr>
            </w:pPr>
          </w:p>
          <w:p>
            <w:pPr>
              <w:widowControl/>
              <w:spacing w:line="240" w:lineRule="exact"/>
              <w:ind w:firstLine="400" w:firstLineChars="200"/>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1380" w:type="dxa"/>
            <w:tcBorders>
              <w:top w:val="nil"/>
              <w:left w:val="nil"/>
              <w:bottom w:val="single" w:color="auto" w:sz="4" w:space="0"/>
              <w:right w:val="single" w:color="auto" w:sz="4" w:space="0"/>
            </w:tcBorders>
            <w:noWrap w:val="0"/>
            <w:vAlign w:val="top"/>
          </w:tcPr>
          <w:p>
            <w:pPr>
              <w:widowControl/>
              <w:spacing w:line="240" w:lineRule="exact"/>
              <w:jc w:val="center"/>
              <w:rPr>
                <w:rFonts w:hint="eastAsia" w:ascii="Times New Roman" w:hAnsi="Times New Roman" w:eastAsia="仿宋_GB2312" w:cs="Times New Roman"/>
                <w:color w:val="000000"/>
                <w:sz w:val="20"/>
                <w:szCs w:val="20"/>
                <w:lang w:val="en-US" w:eastAsia="zh-CN"/>
              </w:rPr>
            </w:pPr>
          </w:p>
          <w:p>
            <w:pPr>
              <w:widowControl/>
              <w:spacing w:line="240" w:lineRule="exact"/>
              <w:ind w:firstLine="400" w:firstLineChars="200"/>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58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73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270" w:hRule="atLeast"/>
          <w:jc w:val="center"/>
        </w:trPr>
        <w:tc>
          <w:tcPr>
            <w:tcW w:w="7315"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总分</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100</w:t>
            </w:r>
          </w:p>
        </w:tc>
        <w:tc>
          <w:tcPr>
            <w:tcW w:w="73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96.5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bl>
    <w:p>
      <w:pPr>
        <w:widowControl/>
        <w:adjustRightInd/>
        <w:snapToGrid/>
        <w:spacing w:line="240" w:lineRule="auto"/>
        <w:ind w:firstLine="440" w:firstLineChars="200"/>
        <w:jc w:val="left"/>
        <w:rPr>
          <w:kern w:val="0"/>
          <w:sz w:val="22"/>
          <w:szCs w:val="22"/>
        </w:rPr>
      </w:pPr>
      <w:r>
        <w:rPr>
          <w:kern w:val="0"/>
          <w:sz w:val="22"/>
          <w:szCs w:val="22"/>
        </w:rPr>
        <w:t>说明：本表由农业农村厅部门本级和直属单位填写，市、县农业农村局不需填写。</w:t>
      </w:r>
    </w:p>
    <w:p>
      <w:pPr>
        <w:ind w:firstLine="440" w:firstLineChars="200"/>
        <w:jc w:val="both"/>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填表人：</w:t>
      </w:r>
      <w:r>
        <w:rPr>
          <w:rFonts w:hint="eastAsia" w:ascii="Times New Roman" w:hAnsi="Times New Roman" w:eastAsia="仿宋_GB2312" w:cs="Times New Roman"/>
          <w:sz w:val="22"/>
          <w:szCs w:val="22"/>
          <w:lang w:val="en-US" w:eastAsia="zh-CN"/>
        </w:rPr>
        <w:t xml:space="preserve">朱玲艳 </w:t>
      </w:r>
      <w:r>
        <w:rPr>
          <w:rFonts w:hint="default" w:ascii="Times New Roman" w:hAnsi="Times New Roman" w:eastAsia="仿宋_GB2312" w:cs="Times New Roman"/>
          <w:sz w:val="22"/>
          <w:szCs w:val="22"/>
        </w:rPr>
        <w:t>填报日期：</w:t>
      </w:r>
      <w:r>
        <w:rPr>
          <w:rFonts w:hint="eastAsia" w:ascii="Times New Roman" w:hAnsi="Times New Roman" w:eastAsia="仿宋_GB2312" w:cs="Times New Roman"/>
          <w:sz w:val="22"/>
          <w:szCs w:val="22"/>
          <w:lang w:val="en-US" w:eastAsia="zh-CN"/>
        </w:rPr>
        <w:t>2024年4月22日</w:t>
      </w:r>
      <w:r>
        <w:rPr>
          <w:rFonts w:hint="default" w:ascii="Times New Roman" w:hAnsi="Times New Roman" w:eastAsia="仿宋_GB2312" w:cs="Times New Roman"/>
          <w:sz w:val="22"/>
          <w:szCs w:val="22"/>
        </w:rPr>
        <w:t>联系电话：</w:t>
      </w:r>
      <w:r>
        <w:rPr>
          <w:rFonts w:hint="eastAsia" w:ascii="Times New Roman" w:hAnsi="Times New Roman" w:eastAsia="仿宋_GB2312" w:cs="Times New Roman"/>
          <w:sz w:val="22"/>
          <w:szCs w:val="22"/>
          <w:lang w:val="en-US" w:eastAsia="zh-CN"/>
        </w:rPr>
        <w:t>18973972107</w:t>
      </w:r>
      <w:r>
        <w:rPr>
          <w:rFonts w:hint="default" w:ascii="Times New Roman" w:hAnsi="Times New Roman" w:eastAsia="仿宋_GB2312" w:cs="Times New Roman"/>
          <w:sz w:val="22"/>
          <w:szCs w:val="22"/>
        </w:rPr>
        <w:t>单位负责人签字：</w:t>
      </w:r>
    </w:p>
    <w:p>
      <w:pPr>
        <w:jc w:val="both"/>
        <w:rPr>
          <w:rFonts w:hint="default" w:ascii="Times New Roman" w:hAnsi="Times New Roman" w:eastAsia="仿宋_GB2312" w:cs="Times New Roman"/>
          <w:sz w:val="22"/>
          <w:szCs w:val="22"/>
        </w:rPr>
      </w:pPr>
    </w:p>
    <w:p>
      <w:pPr>
        <w:jc w:val="both"/>
        <w:rPr>
          <w:rFonts w:hint="default" w:ascii="Times New Roman" w:hAnsi="Times New Roman" w:eastAsia="仿宋_GB2312" w:cs="Times New Roman"/>
          <w:sz w:val="22"/>
          <w:szCs w:val="22"/>
        </w:rPr>
      </w:pPr>
    </w:p>
    <w:p>
      <w:pPr>
        <w:jc w:val="both"/>
        <w:rPr>
          <w:rFonts w:hint="default" w:ascii="Times New Roman" w:hAnsi="Times New Roman" w:eastAsia="仿宋_GB2312" w:cs="Times New Roman"/>
          <w:sz w:val="22"/>
          <w:szCs w:val="22"/>
        </w:rPr>
      </w:pPr>
    </w:p>
    <w:p>
      <w:pPr>
        <w:pStyle w:val="14"/>
        <w:jc w:val="center"/>
        <w:rPr>
          <w:sz w:val="72"/>
          <w:szCs w:val="72"/>
        </w:rPr>
      </w:pPr>
    </w:p>
    <w:p>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8483A77-C282-4358-8980-CC3141AE09A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仿宋_GB2312"/>
    <w:panose1 w:val="03000509000000000000"/>
    <w:charset w:val="86"/>
    <w:family w:val="auto"/>
    <w:pitch w:val="default"/>
    <w:sig w:usb0="00000000" w:usb1="00000000" w:usb2="00000000" w:usb3="00000000" w:csb0="00040000" w:csb1="00000000"/>
  </w:font>
  <w:font w:name="方正小标宋_GBK">
    <w:panose1 w:val="02000000000000000000"/>
    <w:charset w:val="86"/>
    <w:family w:val="script"/>
    <w:pitch w:val="default"/>
    <w:sig w:usb0="00000000" w:usb1="00000000" w:usb2="00000000" w:usb3="00000000" w:csb0="00000000" w:csb1="00000000"/>
    <w:embedRegular r:id="rId2" w:fontKey="{15D6DD7B-5ACC-4945-9762-DEB474FA7419}"/>
  </w:font>
  <w:font w:name="仿宋_GB2312">
    <w:panose1 w:val="02010609030101010101"/>
    <w:charset w:val="86"/>
    <w:family w:val="modern"/>
    <w:pitch w:val="default"/>
    <w:sig w:usb0="00000000" w:usb1="00000000" w:usb2="00000000" w:usb3="00000000" w:csb0="00000000" w:csb1="00000000"/>
    <w:embedRegular r:id="rId3" w:fontKey="{9513A80E-FDF7-4740-B6C5-C4E27C705BB4}"/>
  </w:font>
  <w:font w:name="华文中宋">
    <w:panose1 w:val="02010600040101010101"/>
    <w:charset w:val="86"/>
    <w:family w:val="auto"/>
    <w:pitch w:val="default"/>
    <w:sig w:usb0="00000287" w:usb1="080F0000" w:usb2="00000000" w:usb3="00000000" w:csb0="0004009F" w:csb1="DFD70000"/>
    <w:embedRegular r:id="rId4" w:fontKey="{2A434842-F12A-44F5-981F-3A69645312AD}"/>
  </w:font>
  <w:font w:name="楷体">
    <w:panose1 w:val="02010609060101010101"/>
    <w:charset w:val="86"/>
    <w:family w:val="auto"/>
    <w:pitch w:val="default"/>
    <w:sig w:usb0="800002BF" w:usb1="38CF7CFA" w:usb2="00000016" w:usb3="00000000" w:csb0="00040001" w:csb1="00000000"/>
    <w:embedRegular r:id="rId5" w:fontKey="{D49D1CE1-289E-46C1-95A9-067545F8B669}"/>
  </w:font>
  <w:font w:name="华文细黑">
    <w:panose1 w:val="02010600040101010101"/>
    <w:charset w:val="86"/>
    <w:family w:val="auto"/>
    <w:pitch w:val="default"/>
    <w:sig w:usb0="00000287" w:usb1="080F0000" w:usb2="00000000" w:usb3="00000000" w:csb0="0004009F" w:csb1="DFD70000"/>
    <w:embedRegular r:id="rId6" w:fontKey="{2DF8169C-AA83-4781-9CAF-AF7DC1239659}"/>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214C1C"/>
    <w:multiLevelType w:val="singleLevel"/>
    <w:tmpl w:val="AB214C1C"/>
    <w:lvl w:ilvl="0" w:tentative="0">
      <w:start w:val="1"/>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F1864A8"/>
    <w:multiLevelType w:val="singleLevel"/>
    <w:tmpl w:val="4F1864A8"/>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iYTIxNTg3MTM0YTdmZDk3ZjE1Njc1ODc2NzIwM2M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502"/>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EE5E5A"/>
    <w:rsid w:val="04355978"/>
    <w:rsid w:val="04F05A45"/>
    <w:rsid w:val="083C2BF1"/>
    <w:rsid w:val="0891556F"/>
    <w:rsid w:val="0D5F4E0B"/>
    <w:rsid w:val="0FF46A25"/>
    <w:rsid w:val="119F1642"/>
    <w:rsid w:val="14747C74"/>
    <w:rsid w:val="15EB3634"/>
    <w:rsid w:val="19F6209A"/>
    <w:rsid w:val="1D385D84"/>
    <w:rsid w:val="1D97DEFF"/>
    <w:rsid w:val="1DFF72E5"/>
    <w:rsid w:val="1EFC6F07"/>
    <w:rsid w:val="1F560A0B"/>
    <w:rsid w:val="1F94518D"/>
    <w:rsid w:val="1F9B4FEA"/>
    <w:rsid w:val="27F31225"/>
    <w:rsid w:val="2FDF85B8"/>
    <w:rsid w:val="2FFFEE04"/>
    <w:rsid w:val="31140B8A"/>
    <w:rsid w:val="32DA54BB"/>
    <w:rsid w:val="34DF85B0"/>
    <w:rsid w:val="38C05043"/>
    <w:rsid w:val="3A654115"/>
    <w:rsid w:val="3B3D2A8B"/>
    <w:rsid w:val="3B8F36BC"/>
    <w:rsid w:val="3D790D18"/>
    <w:rsid w:val="40D7128C"/>
    <w:rsid w:val="41B23F38"/>
    <w:rsid w:val="4450350F"/>
    <w:rsid w:val="446A2417"/>
    <w:rsid w:val="491FF225"/>
    <w:rsid w:val="4A69564B"/>
    <w:rsid w:val="4BDF66DB"/>
    <w:rsid w:val="4BE3142D"/>
    <w:rsid w:val="4BE93881"/>
    <w:rsid w:val="4E8F4A87"/>
    <w:rsid w:val="4FFD214C"/>
    <w:rsid w:val="51A516CE"/>
    <w:rsid w:val="52A564D1"/>
    <w:rsid w:val="52D94D9F"/>
    <w:rsid w:val="551E5284"/>
    <w:rsid w:val="56893DB0"/>
    <w:rsid w:val="5777D4F5"/>
    <w:rsid w:val="59DD8326"/>
    <w:rsid w:val="5CF34A7D"/>
    <w:rsid w:val="5DEF592A"/>
    <w:rsid w:val="5FC6BB1E"/>
    <w:rsid w:val="5FF720F1"/>
    <w:rsid w:val="62B86D17"/>
    <w:rsid w:val="66B617C0"/>
    <w:rsid w:val="67CE42FC"/>
    <w:rsid w:val="67FF5C0B"/>
    <w:rsid w:val="68882CE8"/>
    <w:rsid w:val="6B0A6968"/>
    <w:rsid w:val="6D667370"/>
    <w:rsid w:val="6EFC0924"/>
    <w:rsid w:val="6FB74722"/>
    <w:rsid w:val="6FEF8B7E"/>
    <w:rsid w:val="71A6591B"/>
    <w:rsid w:val="71C34D91"/>
    <w:rsid w:val="737D59BA"/>
    <w:rsid w:val="73B9644B"/>
    <w:rsid w:val="7585185D"/>
    <w:rsid w:val="76B37ACA"/>
    <w:rsid w:val="77C37683"/>
    <w:rsid w:val="785F73A9"/>
    <w:rsid w:val="79886846"/>
    <w:rsid w:val="79AF233D"/>
    <w:rsid w:val="79FF515B"/>
    <w:rsid w:val="7DC105C1"/>
    <w:rsid w:val="7E557545"/>
    <w:rsid w:val="7E9E1962"/>
    <w:rsid w:val="7E9F11B4"/>
    <w:rsid w:val="7F3736A3"/>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9"/>
    <w:pPr>
      <w:keepNext/>
      <w:keepLines/>
      <w:spacing w:line="700" w:lineRule="exact"/>
      <w:ind w:firstLine="0" w:firstLineChars="0"/>
      <w:jc w:val="center"/>
      <w:outlineLvl w:val="0"/>
    </w:pPr>
    <w:rPr>
      <w:rFonts w:eastAsia="方正小标宋简体"/>
      <w:bCs/>
      <w:kern w:val="44"/>
      <w:sz w:val="44"/>
      <w:szCs w:val="44"/>
    </w:rPr>
  </w:style>
  <w:style w:type="paragraph" w:styleId="3">
    <w:name w:val="heading 2"/>
    <w:basedOn w:val="1"/>
    <w:next w:val="1"/>
    <w:qFormat/>
    <w:uiPriority w:val="0"/>
    <w:pPr>
      <w:outlineLvl w:val="1"/>
    </w:pPr>
    <w:rPr>
      <w:rFonts w:eastAsia="黑体"/>
      <w:bCs/>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Indent"/>
    <w:basedOn w:val="1"/>
    <w:next w:val="5"/>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First Indent 2"/>
    <w:basedOn w:val="4"/>
    <w:next w:val="1"/>
    <w:unhideWhenUsed/>
    <w:qFormat/>
    <w:uiPriority w:val="99"/>
    <w:pPr>
      <w:ind w:firstLine="420" w:firstLineChars="200"/>
    </w:pPr>
  </w:style>
  <w:style w:type="paragraph" w:styleId="6">
    <w:name w:val="Balloon Text"/>
    <w:basedOn w:val="1"/>
    <w:link w:val="16"/>
    <w:semiHidden/>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next w:val="5"/>
    <w:semiHidden/>
    <w:qFormat/>
    <w:uiPriority w:val="0"/>
    <w:pPr>
      <w:snapToGrid w:val="0"/>
      <w:jc w:val="left"/>
    </w:pPr>
    <w:rPr>
      <w:sz w:val="18"/>
      <w:szCs w:val="18"/>
    </w:rPr>
  </w:style>
  <w:style w:type="character" w:customStyle="1" w:styleId="12">
    <w:name w:val="页眉 Char"/>
    <w:basedOn w:val="11"/>
    <w:link w:val="8"/>
    <w:qFormat/>
    <w:uiPriority w:val="99"/>
    <w:rPr>
      <w:sz w:val="18"/>
      <w:szCs w:val="18"/>
    </w:rPr>
  </w:style>
  <w:style w:type="character" w:customStyle="1" w:styleId="13">
    <w:name w:val="页脚 Char"/>
    <w:basedOn w:val="11"/>
    <w:link w:val="7"/>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6"/>
    <w:semiHidden/>
    <w:qFormat/>
    <w:uiPriority w:val="99"/>
    <w:rPr>
      <w:sz w:val="18"/>
      <w:szCs w:val="18"/>
    </w:rPr>
  </w:style>
  <w:style w:type="character" w:customStyle="1" w:styleId="17">
    <w:name w:val="font01"/>
    <w:basedOn w:val="11"/>
    <w:qFormat/>
    <w:uiPriority w:val="0"/>
    <w:rPr>
      <w:rFonts w:hint="eastAsia" w:ascii="宋体" w:hAnsi="宋体" w:eastAsia="宋体" w:cs="宋体"/>
      <w:color w:val="000000"/>
      <w:sz w:val="22"/>
      <w:szCs w:val="22"/>
      <w:u w:val="none"/>
    </w:rPr>
  </w:style>
  <w:style w:type="character" w:customStyle="1" w:styleId="18">
    <w:name w:val="font21"/>
    <w:basedOn w:val="11"/>
    <w:qFormat/>
    <w:uiPriority w:val="0"/>
    <w:rPr>
      <w:rFonts w:hint="eastAsia" w:ascii="宋体" w:hAnsi="宋体" w:eastAsia="宋体" w:cs="宋体"/>
      <w:color w:val="000000"/>
      <w:sz w:val="24"/>
      <w:szCs w:val="24"/>
      <w:u w:val="none"/>
    </w:rPr>
  </w:style>
  <w:style w:type="character" w:customStyle="1" w:styleId="19">
    <w:name w:val="font1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7.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33</Pages>
  <Words>10201</Words>
  <Characters>11160</Characters>
  <Lines>63</Lines>
  <Paragraphs>18</Paragraphs>
  <TotalTime>0</TotalTime>
  <ScaleCrop>false</ScaleCrop>
  <LinksUpToDate>false</LinksUpToDate>
  <CharactersWithSpaces>11294</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lenovo</cp:lastModifiedBy>
  <cp:lastPrinted>2024-08-08T10:20:00Z</cp:lastPrinted>
  <dcterms:modified xsi:type="dcterms:W3CDTF">2024-09-06T07:28:33Z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1FF52CC07F5844618979EC64AA79D11D_13</vt:lpwstr>
  </property>
</Properties>
</file>