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jc w:val="center"/>
        <w:rPr>
          <w:sz w:val="56"/>
          <w:szCs w:val="56"/>
        </w:rPr>
      </w:pPr>
      <w:r>
        <w:rPr>
          <w:sz w:val="56"/>
        </w:rPr>
        <mc:AlternateContent>
          <mc:Choice Requires="wps">
            <w:drawing>
              <wp:anchor distT="0" distB="0" distL="114300" distR="114300" simplePos="0" relativeHeight="251659264" behindDoc="0" locked="0" layoutInCell="1" allowOverlap="1">
                <wp:simplePos x="0" y="0"/>
                <wp:positionH relativeFrom="column">
                  <wp:posOffset>-236220</wp:posOffset>
                </wp:positionH>
                <wp:positionV relativeFrom="paragraph">
                  <wp:posOffset>-297180</wp:posOffset>
                </wp:positionV>
                <wp:extent cx="1523365" cy="517525"/>
                <wp:effectExtent l="0" t="0" r="635" b="15875"/>
                <wp:wrapNone/>
                <wp:docPr id="1" name="文本框 1"/>
                <wp:cNvGraphicFramePr/>
                <a:graphic xmlns:a="http://schemas.openxmlformats.org/drawingml/2006/main">
                  <a:graphicData uri="http://schemas.microsoft.com/office/word/2010/wordprocessingShape">
                    <wps:wsp>
                      <wps:cNvSpPr txBox="1"/>
                      <wps:spPr>
                        <a:xfrm>
                          <a:off x="1799590" y="935990"/>
                          <a:ext cx="1523365" cy="51752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ascii="楷体" w:hAnsi="楷体" w:eastAsia="楷体" w:cs="楷体"/>
                                <w:sz w:val="30"/>
                                <w:szCs w:val="30"/>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8.6pt;margin-top:-23.4pt;height:40.75pt;width:119.95pt;z-index:251659264;mso-width-relative:page;mso-height-relative:page;" fillcolor="#FFFFFF [3201]" filled="t" stroked="f" coordsize="21600,21600" o:gfxdata="UEsDBAoAAAAAAIdO4kAAAAAAAAAAAAAAAAAEAAAAZHJzL1BLAwQUAAAACACHTuJAcvAmUNYAAAAK&#10;AQAADwAAAGRycy9kb3ducmV2LnhtbE2Py2rDMBBF94X+g5hAd4lkx8TBtZxFodtCkzRrxVItE2lk&#10;JOX59Z2u2t0Mc7hzbru5eccuJqYxoIRiIYAZ7IMecZCw373P18BSVqiVC2gk3E2CTff81KpGhyt+&#10;mss2D4xCMDVKgs15ajhPvTVepUWYDNLtO0SvMq1x4DqqK4V7x0shVtyrEemDVZN5s6Y/bc9ewmHw&#10;j8NXMUWrvavw43Hf7cMo5cusEK/AsrnlPxh+9UkdOnI6hjPqxJyE+bIuCaWhWlEHIkpR1sCOEpZV&#10;Dbxr+f8K3Q9QSwMEFAAAAAgAh07iQEMql486AgAATAQAAA4AAABkcnMvZTJvRG9jLnhtbK1Uy67a&#10;MBDdV+o/WN6X8Ao0iHBFuaKqhHqvRKuujeOQSI7HtQ0J/YD2D7rqpvt+F9/RsRMu9LGqysKMPYcz&#10;c+bB/K6pJDkKY0tQKR30+pQIxSEr1T6l79+tX7ykxDqmMiZBiZSehKV3i+fP5rWeiSEUIDNhCJIo&#10;O6t1Sgvn9CyKLC9ExWwPtFDozMFUzOHV7KPMsBrZKxkN+/1JVIPJtAEurMXX+9ZJF4E/zwV3D3lu&#10;hSMypZibC6cJ586f0WLOZnvDdFHyLg32D1lUrFQY9InqnjlGDqb8g6oquQELuetxqCLI85KLoAHV&#10;DPq/qdkWTIugBYtj9VOZ7P+j5W+Pj4aUGfaOEsUqbNH565fztx/n75/JwJen1naGqK1GnGteQeOh&#10;3bvFR6+6yU3lv1EP8f5pksQJlvuU0mQUJ2iGOovGEe798XA0msSUcATEg2k8jD0guhJpY91rARXx&#10;RkoN9jGUlx031rXQC8THtSDLbF1KGS5mv1tJQ44Me74On479F5hUpE7pZBT3A7MC//uWWipMxutu&#10;9XnLNbsGnd7cQXbCWhhoh8lqvi4xyw2z7pEZnB4UjhvhHvDIJWAQ6CxKCjCf/vbu8dhU9FJS4zSm&#10;1H48MCMokW8UtjsZjMd+fMNlHE+HeDG3nt2tRx2qFaB4bClmF0yPd/Ji5gaqD7g4Sx8VXUxxjJ1S&#10;dzFXrt0RXDwulssAwoHVzG3UVnNP7UutYHlwkJehJdfadNXDkQ1N7dbL78TtPaCufwKLn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HLwJlDWAAAACgEAAA8AAAAAAAAAAQAgAAAAIgAAAGRycy9kb3du&#10;cmV2LnhtbFBLAQIUABQAAAAIAIdO4kBDKpePOgIAAEwEAAAOAAAAAAAAAAEAIAAAACUBAABkcnMv&#10;ZTJvRG9jLnhtbFBLBQYAAAAABgAGAFkBAADRBQAAAAA=&#10;">
                <v:fill on="t" focussize="0,0"/>
                <v:stroke on="f" weight="0.5pt"/>
                <v:imagedata o:title=""/>
                <o:lock v:ext="edit" aspectratio="f"/>
                <v:textbox>
                  <w:txbxContent>
                    <w:p>
                      <w:pPr>
                        <w:rPr>
                          <w:rFonts w:hint="eastAsia" w:ascii="楷体" w:hAnsi="楷体" w:eastAsia="楷体" w:cs="楷体"/>
                          <w:sz w:val="30"/>
                          <w:szCs w:val="30"/>
                          <w:lang w:val="en-US" w:eastAsia="zh-CN"/>
                        </w:rPr>
                      </w:pPr>
                    </w:p>
                  </w:txbxContent>
                </v:textbox>
              </v:shape>
            </w:pict>
          </mc:Fallback>
        </mc:AlternateContent>
      </w:r>
    </w:p>
    <w:p>
      <w:pPr>
        <w:pStyle w:val="14"/>
        <w:jc w:val="center"/>
        <w:rPr>
          <w:sz w:val="56"/>
          <w:szCs w:val="56"/>
        </w:rPr>
      </w:pPr>
    </w:p>
    <w:p>
      <w:pPr>
        <w:pStyle w:val="14"/>
        <w:jc w:val="center"/>
        <w:rPr>
          <w:sz w:val="84"/>
          <w:szCs w:val="84"/>
        </w:rPr>
      </w:pPr>
    </w:p>
    <w:p>
      <w:pPr>
        <w:pStyle w:val="14"/>
        <w:jc w:val="center"/>
        <w:rPr>
          <w:sz w:val="84"/>
          <w:szCs w:val="84"/>
        </w:rPr>
      </w:pP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val="en-US" w:eastAsia="zh-CN"/>
        </w:rPr>
        <w:t>湖南省农垦管理服务站单位</w:t>
      </w:r>
      <w:r>
        <w:rPr>
          <w:rFonts w:hint="eastAsia" w:ascii="方正小标宋_GBK" w:hAnsi="方正小标宋_GBK" w:eastAsia="方正小标宋_GBK" w:cs="方正小标宋_GBK"/>
          <w:sz w:val="84"/>
          <w:szCs w:val="84"/>
        </w:rPr>
        <w:t>决算</w:t>
      </w:r>
    </w:p>
    <w:p>
      <w:pPr>
        <w:pStyle w:val="14"/>
        <w:jc w:val="center"/>
        <w:rPr>
          <w:rFonts w:hint="eastAsia" w:ascii="方正小标宋_GBK" w:hAnsi="方正小标宋_GBK" w:eastAsia="方正小标宋_GBK" w:cs="方正小标宋_GBK"/>
          <w:sz w:val="56"/>
          <w:szCs w:val="56"/>
        </w:rPr>
      </w:pPr>
    </w:p>
    <w:p>
      <w:pPr>
        <w:pStyle w:val="14"/>
        <w:jc w:val="center"/>
        <w:rPr>
          <w:sz w:val="56"/>
          <w:szCs w:val="56"/>
        </w:rPr>
      </w:pPr>
    </w:p>
    <w:p>
      <w:pPr>
        <w:pStyle w:val="14"/>
        <w:jc w:val="center"/>
        <w:rPr>
          <w:sz w:val="56"/>
          <w:szCs w:val="56"/>
        </w:rPr>
      </w:pPr>
    </w:p>
    <w:p>
      <w:pPr>
        <w:pStyle w:val="14"/>
        <w:jc w:val="center"/>
        <w:rPr>
          <w:sz w:val="56"/>
          <w:szCs w:val="56"/>
        </w:rPr>
      </w:pPr>
    </w:p>
    <w:p>
      <w:pPr>
        <w:pStyle w:val="14"/>
        <w:jc w:val="center"/>
        <w:rPr>
          <w:sz w:val="32"/>
          <w:szCs w:val="32"/>
        </w:rPr>
      </w:pPr>
    </w:p>
    <w:p>
      <w:pPr>
        <w:pStyle w:val="14"/>
        <w:jc w:val="center"/>
        <w:rPr>
          <w:sz w:val="32"/>
          <w:szCs w:val="32"/>
        </w:rPr>
      </w:pPr>
    </w:p>
    <w:p>
      <w:pPr>
        <w:pStyle w:val="14"/>
        <w:spacing w:line="500" w:lineRule="exact"/>
        <w:jc w:val="both"/>
        <w:rPr>
          <w:b/>
          <w:sz w:val="36"/>
          <w:szCs w:val="28"/>
        </w:rPr>
      </w:pPr>
    </w:p>
    <w:p>
      <w:pPr>
        <w:pStyle w:val="14"/>
        <w:spacing w:line="500" w:lineRule="exact"/>
        <w:jc w:val="both"/>
        <w:rPr>
          <w:b/>
          <w:sz w:val="36"/>
          <w:szCs w:val="28"/>
        </w:rPr>
      </w:pPr>
    </w:p>
    <w:p>
      <w:pPr>
        <w:pStyle w:val="14"/>
        <w:spacing w:line="500" w:lineRule="exact"/>
        <w:jc w:val="center"/>
        <w:rPr>
          <w:b/>
          <w:sz w:val="36"/>
          <w:szCs w:val="28"/>
        </w:rPr>
      </w:pPr>
      <w:r>
        <w:rPr>
          <w:rFonts w:hint="eastAsia"/>
          <w:b/>
          <w:sz w:val="36"/>
          <w:szCs w:val="28"/>
        </w:rPr>
        <w:t>目录</w:t>
      </w:r>
    </w:p>
    <w:p>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val="en-US" w:eastAsia="zh-CN"/>
        </w:rPr>
        <w:t>湖南省农垦管理服务站</w:t>
      </w:r>
      <w:r>
        <w:rPr>
          <w:rFonts w:hint="eastAsia" w:ascii="黑体" w:hAnsi="黑体" w:eastAsia="黑体" w:cs="黑体"/>
          <w:b w:val="0"/>
          <w:bCs/>
          <w:sz w:val="28"/>
          <w:szCs w:val="28"/>
        </w:rPr>
        <w:t>单位概况</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七、财政拨款三公经费支出决算情况说明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八、政府性基金预算收入支出决算情况</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九、关于机关运行经费支出说明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十一、关于政府采购支出说明</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十二、关于国有资产占用情况说明</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pPr>
        <w:pStyle w:val="14"/>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pPr>
        <w:pStyle w:val="14"/>
        <w:spacing w:line="500" w:lineRule="exact"/>
        <w:rPr>
          <w:rFonts w:hint="eastAsia" w:ascii="黑体" w:hAnsi="黑体" w:eastAsia="黑体" w:cs="黑体"/>
          <w:b w:val="0"/>
          <w:bCs/>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pStyle w:val="14"/>
        <w:jc w:val="center"/>
        <w:rPr>
          <w:rFonts w:hint="eastAsia" w:ascii="方正小标宋_GBK" w:hAnsi="方正小标宋_GBK" w:eastAsia="方正小标宋_GBK" w:cs="方正小标宋_GBK"/>
          <w:sz w:val="84"/>
          <w:szCs w:val="84"/>
        </w:rPr>
      </w:pP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val="en-US" w:eastAsia="zh-CN"/>
        </w:rPr>
        <w:t>湖南省农垦管理服务站</w:t>
      </w:r>
      <w:r>
        <w:rPr>
          <w:rFonts w:hint="eastAsia" w:ascii="方正小标宋_GBK" w:hAnsi="方正小标宋_GBK" w:eastAsia="方正小标宋_GBK" w:cs="方正小标宋_GBK"/>
          <w:sz w:val="84"/>
          <w:szCs w:val="84"/>
        </w:rPr>
        <w:t>单位概况</w:t>
      </w:r>
    </w:p>
    <w:p>
      <w:pPr>
        <w:jc w:val="center"/>
        <w:rPr>
          <w:rFonts w:hint="eastAsia" w:ascii="方正小标宋_GBK" w:hAnsi="方正小标宋_GBK" w:eastAsia="方正小标宋_GBK" w:cs="方正小标宋_GBK"/>
          <w:sz w:val="72"/>
          <w:szCs w:val="72"/>
        </w:rPr>
      </w:pPr>
    </w:p>
    <w:p>
      <w:pPr>
        <w:jc w:val="center"/>
        <w:rPr>
          <w:rFonts w:hint="eastAsia" w:ascii="方正小标宋_GBK" w:hAnsi="方正小标宋_GBK" w:eastAsia="方正小标宋_GBK" w:cs="方正小标宋_GBK"/>
          <w:sz w:val="72"/>
          <w:szCs w:val="72"/>
        </w:rPr>
      </w:pPr>
    </w:p>
    <w:p>
      <w:pPr>
        <w:jc w:val="both"/>
        <w:rPr>
          <w:sz w:val="72"/>
          <w:szCs w:val="72"/>
        </w:rPr>
      </w:pPr>
    </w:p>
    <w:p>
      <w:pPr>
        <w:pStyle w:val="15"/>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pPr>
        <w:pStyle w:val="15"/>
        <w:ind w:firstLine="640"/>
        <w:rPr>
          <w:rFonts w:hint="eastAsia" w:ascii="Times New Roman" w:hAnsi="Times New Roman" w:eastAsia="仿宋_GB2312" w:cs="仿宋_GB2312"/>
          <w:sz w:val="32"/>
          <w:szCs w:val="32"/>
        </w:rPr>
      </w:pPr>
      <w:r>
        <w:rPr>
          <w:rFonts w:hint="eastAsia" w:ascii="黑体" w:hAnsi="黑体" w:eastAsia="黑体" w:cs="黑体"/>
          <w:b w:val="0"/>
          <w:bCs w:val="0"/>
          <w:sz w:val="32"/>
          <w:szCs w:val="32"/>
          <w:lang w:val="en-US" w:eastAsia="zh-CN"/>
        </w:rPr>
        <w:t xml:space="preserve">    </w:t>
      </w:r>
      <w:r>
        <w:rPr>
          <w:rFonts w:hint="eastAsia" w:ascii="仿宋" w:hAnsi="仿宋" w:eastAsia="仿宋"/>
          <w:sz w:val="32"/>
          <w:szCs w:val="32"/>
        </w:rPr>
        <w:t>湖南省农垦管理服务站为湖南省农业农村厅管理的公益一类事业单位，宗旨和业务范围是为农田建设与农垦处拟制全省农垦经济和社会发展中长期规划及年度计划并组织监督实施以及指导、协调全省垦区的财务、统计、科研、文化、教育、卫生事业、社会公益事业，为工农业生产及第三产业的发展做好基础性、服务性工作。</w:t>
      </w:r>
    </w:p>
    <w:p>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pPr>
        <w:widowControl/>
        <w:spacing w:line="600" w:lineRule="exact"/>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w:t>
      </w:r>
      <w:r>
        <w:rPr>
          <w:rFonts w:hint="eastAsia" w:ascii="仿宋" w:hAnsi="仿宋" w:eastAsia="仿宋"/>
          <w:sz w:val="32"/>
          <w:szCs w:val="32"/>
        </w:rPr>
        <w:t>湖南省农垦管理服务站</w:t>
      </w:r>
      <w:r>
        <w:rPr>
          <w:rFonts w:hint="eastAsia" w:ascii="Times New Roman" w:hAnsi="Times New Roman" w:eastAsia="仿宋_GB2312" w:cs="仿宋_GB2312"/>
          <w:bCs/>
          <w:kern w:val="0"/>
          <w:sz w:val="32"/>
          <w:szCs w:val="32"/>
        </w:rPr>
        <w:t>内设机构包括：</w:t>
      </w:r>
      <w:r>
        <w:rPr>
          <w:rFonts w:hint="eastAsia" w:ascii="仿宋" w:hAnsi="仿宋" w:eastAsia="仿宋"/>
          <w:sz w:val="32"/>
          <w:szCs w:val="32"/>
        </w:rPr>
        <w:t>办公室、计划财务办公室、农垦经济办公室、垦区社会事务办公室四个副处级办室。</w:t>
      </w:r>
    </w:p>
    <w:p>
      <w:pPr>
        <w:widowControl/>
        <w:spacing w:line="600" w:lineRule="exact"/>
        <w:rPr>
          <w:rFonts w:hint="eastAsia" w:ascii="Times New Roman" w:hAnsi="Times New Roman" w:eastAsia="仿宋_GB2312" w:cs="仿宋_GB2312"/>
          <w:bCs/>
          <w:kern w:val="0"/>
          <w:sz w:val="32"/>
          <w:szCs w:val="32"/>
          <w:lang w:val="en-US" w:eastAsia="zh-CN"/>
        </w:rPr>
      </w:pPr>
      <w:r>
        <w:rPr>
          <w:rFonts w:hint="eastAsia" w:ascii="Times New Roman" w:hAnsi="Times New Roman" w:eastAsia="仿宋_GB2312" w:cs="仿宋_GB2312"/>
          <w:bCs/>
          <w:kern w:val="0"/>
          <w:sz w:val="32"/>
          <w:szCs w:val="32"/>
        </w:rPr>
        <w:t>（二）决算单位构成。</w:t>
      </w:r>
      <w:r>
        <w:rPr>
          <w:rFonts w:hint="eastAsia" w:ascii="仿宋" w:hAnsi="仿宋" w:eastAsia="仿宋"/>
          <w:sz w:val="32"/>
          <w:szCs w:val="32"/>
        </w:rPr>
        <w:t>湖南省农垦管理服务站</w:t>
      </w:r>
      <w:r>
        <w:rPr>
          <w:rFonts w:hint="eastAsia" w:ascii="Times New Roman" w:hAnsi="Times New Roman" w:eastAsia="仿宋_GB2312" w:cs="仿宋_GB2312"/>
          <w:bCs/>
          <w:kern w:val="0"/>
          <w:sz w:val="32"/>
          <w:szCs w:val="32"/>
        </w:rPr>
        <w:t>2023年部门决算汇总公开单位构成包括：</w:t>
      </w:r>
      <w:r>
        <w:rPr>
          <w:rFonts w:hint="eastAsia" w:ascii="仿宋" w:hAnsi="仿宋" w:eastAsia="仿宋"/>
          <w:sz w:val="32"/>
          <w:szCs w:val="32"/>
        </w:rPr>
        <w:t>湖南省农垦管理服务站</w:t>
      </w:r>
      <w:r>
        <w:rPr>
          <w:rFonts w:hint="eastAsia" w:ascii="Times New Roman" w:hAnsi="Times New Roman" w:eastAsia="仿宋_GB2312" w:cs="仿宋_GB2312"/>
          <w:bCs/>
          <w:kern w:val="0"/>
          <w:sz w:val="32"/>
          <w:szCs w:val="32"/>
        </w:rPr>
        <w:t>单位本级</w:t>
      </w:r>
      <w:r>
        <w:rPr>
          <w:rFonts w:hint="eastAsia" w:ascii="Times New Roman" w:hAnsi="Times New Roman" w:eastAsia="仿宋_GB2312" w:cs="仿宋_GB2312"/>
          <w:bCs/>
          <w:kern w:val="0"/>
          <w:sz w:val="32"/>
          <w:szCs w:val="32"/>
          <w:lang w:eastAsia="zh-CN"/>
        </w:rPr>
        <w:t>。</w:t>
      </w: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4"/>
        <w:jc w:val="center"/>
        <w:rPr>
          <w:rFonts w:hint="eastAsia" w:ascii="方正小标宋_GBK" w:hAnsi="方正小标宋_GBK" w:eastAsia="方正小标宋_GBK" w:cs="方正小标宋_GBK"/>
          <w:sz w:val="84"/>
          <w:szCs w:val="84"/>
        </w:rPr>
      </w:pP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4"/>
        <w:jc w:val="center"/>
        <w:rPr>
          <w:rFonts w:hint="eastAsia" w:ascii="方正小标宋_GBK" w:hAnsi="方正小标宋_GBK" w:eastAsia="方正小标宋_GBK" w:cs="方正小标宋_GBK"/>
          <w:sz w:val="84"/>
          <w:szCs w:val="84"/>
        </w:rPr>
      </w:pP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tbl>
      <w:tblPr>
        <w:tblStyle w:val="10"/>
        <w:tblW w:w="15428" w:type="dxa"/>
        <w:tblInd w:w="0" w:type="dxa"/>
        <w:tblLayout w:type="fixed"/>
        <w:tblCellMar>
          <w:top w:w="0" w:type="dxa"/>
          <w:left w:w="0" w:type="dxa"/>
          <w:bottom w:w="0" w:type="dxa"/>
          <w:right w:w="0" w:type="dxa"/>
        </w:tblCellMar>
      </w:tblPr>
      <w:tblGrid>
        <w:gridCol w:w="298"/>
        <w:gridCol w:w="694"/>
        <w:gridCol w:w="3739"/>
        <w:gridCol w:w="1693"/>
        <w:gridCol w:w="1843"/>
        <w:gridCol w:w="1511"/>
        <w:gridCol w:w="1210"/>
        <w:gridCol w:w="1329"/>
        <w:gridCol w:w="1864"/>
        <w:gridCol w:w="1247"/>
      </w:tblGrid>
      <w:tr>
        <w:tblPrEx>
          <w:tblLayout w:type="fixed"/>
          <w:tblCellMar>
            <w:top w:w="0" w:type="dxa"/>
            <w:left w:w="0" w:type="dxa"/>
            <w:bottom w:w="0" w:type="dxa"/>
            <w:right w:w="0" w:type="dxa"/>
          </w:tblCellMar>
        </w:tblPrEx>
        <w:trPr>
          <w:trHeight w:val="435" w:hRule="atLeast"/>
        </w:trPr>
        <w:tc>
          <w:tcPr>
            <w:tcW w:w="15428" w:type="dxa"/>
            <w:gridSpan w:val="10"/>
            <w:tcBorders>
              <w:top w:val="nil"/>
              <w:left w:val="nil"/>
              <w:bottom w:val="nil"/>
              <w:right w:val="nil"/>
            </w:tcBorders>
            <w:shd w:val="clear" w:color="auto" w:fill="auto"/>
            <w:noWrap/>
            <w:tcMar>
              <w:top w:w="15" w:type="dxa"/>
              <w:left w:w="15" w:type="dxa"/>
              <w:bottom w:w="0" w:type="dxa"/>
              <w:right w:w="15" w:type="dxa"/>
            </w:tcMar>
            <w:vAlign w:val="center"/>
          </w:tcPr>
          <w:tbl>
            <w:tblPr>
              <w:tblStyle w:val="10"/>
              <w:tblW w:w="15173" w:type="dxa"/>
              <w:tblInd w:w="-2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605"/>
              <w:gridCol w:w="504"/>
              <w:gridCol w:w="1899"/>
              <w:gridCol w:w="5332"/>
              <w:gridCol w:w="236"/>
              <w:gridCol w:w="346"/>
              <w:gridCol w:w="225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cantSplit/>
                <w:trHeight w:val="115" w:hRule="atLeast"/>
              </w:trPr>
              <w:tc>
                <w:tcPr>
                  <w:tcW w:w="4605" w:type="dxa"/>
                  <w:tcBorders>
                    <w:top w:val="nil"/>
                    <w:left w:val="nil"/>
                    <w:bottom w:val="nil"/>
                    <w:right w:val="nil"/>
                  </w:tcBorders>
                  <w:shd w:val="clear" w:color="auto" w:fill="auto"/>
                  <w:noWrap/>
                  <w:vAlign w:val="center"/>
                </w:tcPr>
                <w:p>
                  <w:pPr>
                    <w:jc w:val="left"/>
                    <w:rPr>
                      <w:rFonts w:hint="eastAsia" w:ascii="黑体" w:hAnsi="宋体" w:eastAsia="黑体" w:cs="黑体"/>
                      <w:i w:val="0"/>
                      <w:color w:val="000000"/>
                      <w:sz w:val="24"/>
                      <w:szCs w:val="24"/>
                      <w:highlight w:val="none"/>
                      <w:u w:val="none"/>
                    </w:rPr>
                  </w:pPr>
                </w:p>
              </w:tc>
              <w:tc>
                <w:tcPr>
                  <w:tcW w:w="504" w:type="dxa"/>
                  <w:tcBorders>
                    <w:top w:val="nil"/>
                    <w:left w:val="nil"/>
                    <w:bottom w:val="nil"/>
                    <w:right w:val="nil"/>
                  </w:tcBorders>
                  <w:shd w:val="clear" w:color="auto" w:fill="auto"/>
                  <w:noWrap/>
                  <w:vAlign w:val="center"/>
                </w:tcPr>
                <w:p>
                  <w:pPr>
                    <w:jc w:val="right"/>
                    <w:rPr>
                      <w:rFonts w:hint="eastAsia" w:ascii="宋体" w:hAnsi="宋体" w:eastAsia="宋体" w:cs="宋体"/>
                      <w:i w:val="0"/>
                      <w:color w:val="000000"/>
                      <w:sz w:val="24"/>
                      <w:szCs w:val="24"/>
                      <w:highlight w:val="none"/>
                      <w:u w:val="none"/>
                    </w:rPr>
                  </w:pPr>
                </w:p>
              </w:tc>
              <w:tc>
                <w:tcPr>
                  <w:tcW w:w="1899" w:type="dxa"/>
                  <w:tcBorders>
                    <w:top w:val="nil"/>
                    <w:left w:val="nil"/>
                    <w:bottom w:val="nil"/>
                    <w:right w:val="nil"/>
                  </w:tcBorders>
                  <w:shd w:val="clear" w:color="auto" w:fill="auto"/>
                  <w:noWrap/>
                  <w:vAlign w:val="center"/>
                </w:tcPr>
                <w:p>
                  <w:pPr>
                    <w:jc w:val="right"/>
                    <w:rPr>
                      <w:rFonts w:hint="eastAsia" w:ascii="宋体" w:hAnsi="宋体" w:eastAsia="宋体" w:cs="宋体"/>
                      <w:i w:val="0"/>
                      <w:color w:val="000000"/>
                      <w:sz w:val="24"/>
                      <w:szCs w:val="24"/>
                      <w:highlight w:val="none"/>
                      <w:u w:val="none"/>
                    </w:rPr>
                  </w:pPr>
                </w:p>
              </w:tc>
              <w:tc>
                <w:tcPr>
                  <w:tcW w:w="5332" w:type="dxa"/>
                  <w:tcBorders>
                    <w:top w:val="nil"/>
                    <w:left w:val="nil"/>
                    <w:bottom w:val="nil"/>
                    <w:right w:val="nil"/>
                  </w:tcBorders>
                  <w:shd w:val="clear" w:color="auto" w:fill="auto"/>
                  <w:noWrap/>
                  <w:vAlign w:val="center"/>
                </w:tcPr>
                <w:p>
                  <w:pPr>
                    <w:jc w:val="right"/>
                    <w:rPr>
                      <w:rFonts w:hint="eastAsia" w:ascii="宋体" w:hAnsi="宋体" w:eastAsia="宋体" w:cs="宋体"/>
                      <w:i w:val="0"/>
                      <w:color w:val="000000"/>
                      <w:sz w:val="24"/>
                      <w:szCs w:val="24"/>
                      <w:highlight w:val="none"/>
                      <w:u w:val="none"/>
                    </w:rPr>
                  </w:pPr>
                </w:p>
              </w:tc>
              <w:tc>
                <w:tcPr>
                  <w:tcW w:w="236" w:type="dxa"/>
                  <w:tcBorders>
                    <w:top w:val="nil"/>
                    <w:left w:val="nil"/>
                    <w:bottom w:val="nil"/>
                    <w:right w:val="nil"/>
                  </w:tcBorders>
                  <w:shd w:val="clear" w:color="auto" w:fill="auto"/>
                  <w:noWrap/>
                  <w:vAlign w:val="center"/>
                </w:tcPr>
                <w:p>
                  <w:pPr>
                    <w:jc w:val="right"/>
                    <w:rPr>
                      <w:rFonts w:hint="eastAsia" w:ascii="宋体" w:hAnsi="宋体" w:eastAsia="宋体" w:cs="宋体"/>
                      <w:i w:val="0"/>
                      <w:color w:val="000000"/>
                      <w:sz w:val="24"/>
                      <w:szCs w:val="24"/>
                      <w:highlight w:val="none"/>
                      <w:u w:val="none"/>
                    </w:rPr>
                  </w:pPr>
                </w:p>
              </w:tc>
              <w:tc>
                <w:tcPr>
                  <w:tcW w:w="2597" w:type="dxa"/>
                  <w:gridSpan w:val="2"/>
                  <w:tcBorders>
                    <w:top w:val="nil"/>
                    <w:left w:val="nil"/>
                    <w:bottom w:val="nil"/>
                    <w:right w:val="nil"/>
                  </w:tcBorders>
                  <w:shd w:val="clear" w:color="auto" w:fill="auto"/>
                  <w:noWrap/>
                  <w:vAlign w:val="center"/>
                </w:tcPr>
                <w:p>
                  <w:pPr>
                    <w:jc w:val="right"/>
                    <w:rPr>
                      <w:rFonts w:hint="eastAsia" w:ascii="黑体" w:hAnsi="宋体" w:eastAsia="黑体" w:cs="黑体"/>
                      <w:i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229" w:hRule="atLeast"/>
              </w:trPr>
              <w:tc>
                <w:tcPr>
                  <w:tcW w:w="15173" w:type="dxa"/>
                  <w:gridSpan w:val="7"/>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华文中宋" w:hAnsi="华文中宋" w:eastAsia="华文中宋" w:cs="华文中宋"/>
                      <w:i w:val="0"/>
                      <w:color w:val="000000"/>
                      <w:sz w:val="32"/>
                      <w:szCs w:val="32"/>
                      <w:highlight w:val="none"/>
                      <w:u w:val="none"/>
                    </w:rPr>
                  </w:pPr>
                  <w:r>
                    <w:rPr>
                      <w:rFonts w:hint="eastAsia" w:ascii="华文中宋" w:hAnsi="华文中宋" w:eastAsia="华文中宋" w:cs="华文中宋"/>
                      <w:i w:val="0"/>
                      <w:color w:val="000000"/>
                      <w:kern w:val="0"/>
                      <w:sz w:val="32"/>
                      <w:szCs w:val="32"/>
                      <w:highlight w:val="none"/>
                      <w:u w:val="none"/>
                      <w:lang w:val="en-US" w:eastAsia="zh-CN" w:bidi="ar"/>
                    </w:rPr>
                    <w:t>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cantSplit/>
                <w:trHeight w:val="255" w:hRule="exact"/>
              </w:trPr>
              <w:tc>
                <w:tcPr>
                  <w:tcW w:w="4605" w:type="dxa"/>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18"/>
                      <w:szCs w:val="18"/>
                      <w:highlight w:val="none"/>
                      <w:u w:val="none"/>
                    </w:rPr>
                  </w:pPr>
                </w:p>
              </w:tc>
              <w:tc>
                <w:tcPr>
                  <w:tcW w:w="504" w:type="dxa"/>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18"/>
                      <w:szCs w:val="18"/>
                      <w:highlight w:val="none"/>
                      <w:u w:val="none"/>
                    </w:rPr>
                  </w:pPr>
                </w:p>
              </w:tc>
              <w:tc>
                <w:tcPr>
                  <w:tcW w:w="1899" w:type="dxa"/>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18"/>
                      <w:szCs w:val="18"/>
                      <w:highlight w:val="none"/>
                      <w:u w:val="none"/>
                    </w:rPr>
                  </w:pPr>
                </w:p>
              </w:tc>
              <w:tc>
                <w:tcPr>
                  <w:tcW w:w="5332" w:type="dxa"/>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18"/>
                      <w:szCs w:val="18"/>
                      <w:highlight w:val="none"/>
                      <w:u w:val="none"/>
                    </w:rPr>
                  </w:pPr>
                </w:p>
              </w:tc>
              <w:tc>
                <w:tcPr>
                  <w:tcW w:w="236" w:type="dxa"/>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18"/>
                      <w:szCs w:val="18"/>
                      <w:highlight w:val="none"/>
                      <w:u w:val="none"/>
                    </w:rPr>
                  </w:pPr>
                </w:p>
              </w:tc>
              <w:tc>
                <w:tcPr>
                  <w:tcW w:w="2597" w:type="dxa"/>
                  <w:gridSpan w:val="2"/>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公开01表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255" w:hRule="exact"/>
              </w:trPr>
              <w:tc>
                <w:tcPr>
                  <w:tcW w:w="4605" w:type="dxa"/>
                  <w:tcBorders>
                    <w:top w:val="nil"/>
                    <w:left w:val="nil"/>
                    <w:bottom w:val="nil"/>
                    <w:right w:val="nil"/>
                  </w:tcBorders>
                  <w:shd w:val="clear" w:color="auto" w:fill="FFFFFF"/>
                  <w:noWrap/>
                  <w:vAlign w:val="center"/>
                </w:tcPr>
                <w:p>
                  <w:pPr>
                    <w:keepNext w:val="0"/>
                    <w:keepLines w:val="0"/>
                    <w:widowControl/>
                    <w:suppressLineNumbers w:val="0"/>
                    <w:jc w:val="left"/>
                    <w:textAlignment w:val="center"/>
                    <w:rPr>
                      <w:rFonts w:hint="default" w:ascii="宋体" w:hAnsi="宋体" w:eastAsia="宋体" w:cs="宋体"/>
                      <w:i w:val="0"/>
                      <w:color w:val="000000"/>
                      <w:sz w:val="18"/>
                      <w:szCs w:val="18"/>
                      <w:highlight w:val="none"/>
                      <w:u w:val="none"/>
                      <w:lang w:val="en-US"/>
                    </w:rPr>
                  </w:pPr>
                  <w:r>
                    <w:rPr>
                      <w:rFonts w:hint="eastAsia" w:ascii="宋体" w:hAnsi="宋体" w:eastAsia="宋体" w:cs="宋体"/>
                      <w:i w:val="0"/>
                      <w:color w:val="000000"/>
                      <w:kern w:val="0"/>
                      <w:sz w:val="18"/>
                      <w:szCs w:val="18"/>
                      <w:highlight w:val="none"/>
                      <w:u w:val="none"/>
                      <w:lang w:val="en-US" w:eastAsia="zh-CN" w:bidi="ar"/>
                    </w:rPr>
                    <w:t>部门：湖南省农垦管理服务站</w:t>
                  </w:r>
                </w:p>
              </w:tc>
              <w:tc>
                <w:tcPr>
                  <w:tcW w:w="504" w:type="dxa"/>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18"/>
                      <w:szCs w:val="18"/>
                      <w:highlight w:val="none"/>
                      <w:u w:val="none"/>
                    </w:rPr>
                  </w:pPr>
                </w:p>
              </w:tc>
              <w:tc>
                <w:tcPr>
                  <w:tcW w:w="1899" w:type="dxa"/>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18"/>
                      <w:szCs w:val="18"/>
                      <w:highlight w:val="none"/>
                      <w:u w:val="none"/>
                    </w:rPr>
                  </w:pPr>
                </w:p>
              </w:tc>
              <w:tc>
                <w:tcPr>
                  <w:tcW w:w="5332" w:type="dxa"/>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18"/>
                      <w:szCs w:val="18"/>
                      <w:highlight w:val="none"/>
                      <w:u w:val="none"/>
                    </w:rPr>
                  </w:pPr>
                </w:p>
              </w:tc>
              <w:tc>
                <w:tcPr>
                  <w:tcW w:w="236" w:type="dxa"/>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18"/>
                      <w:szCs w:val="18"/>
                      <w:highlight w:val="none"/>
                      <w:u w:val="none"/>
                    </w:rPr>
                  </w:pPr>
                </w:p>
              </w:tc>
              <w:tc>
                <w:tcPr>
                  <w:tcW w:w="2597" w:type="dxa"/>
                  <w:gridSpan w:val="2"/>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255" w:hRule="exact"/>
              </w:trPr>
              <w:tc>
                <w:tcPr>
                  <w:tcW w:w="7008"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收入</w:t>
                  </w:r>
                </w:p>
              </w:tc>
              <w:tc>
                <w:tcPr>
                  <w:tcW w:w="8165" w:type="dxa"/>
                  <w:gridSpan w:val="4"/>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cantSplit/>
                <w:trHeight w:val="255" w:hRule="exact"/>
              </w:trPr>
              <w:tc>
                <w:tcPr>
                  <w:tcW w:w="4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项    目</w:t>
                  </w: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行次</w:t>
                  </w:r>
                </w:p>
              </w:tc>
              <w:tc>
                <w:tcPr>
                  <w:tcW w:w="18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决算数</w:t>
                  </w:r>
                </w:p>
              </w:tc>
              <w:tc>
                <w:tcPr>
                  <w:tcW w:w="53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项    目</w:t>
                  </w:r>
                </w:p>
              </w:tc>
              <w:tc>
                <w:tcPr>
                  <w:tcW w:w="58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行次</w:t>
                  </w:r>
                </w:p>
              </w:tc>
              <w:tc>
                <w:tcPr>
                  <w:tcW w:w="225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255" w:hRule="exact"/>
              </w:trPr>
              <w:tc>
                <w:tcPr>
                  <w:tcW w:w="4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栏    次</w:t>
                  </w: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18"/>
                      <w:szCs w:val="18"/>
                      <w:highlight w:val="none"/>
                      <w:u w:val="none"/>
                    </w:rPr>
                  </w:pPr>
                </w:p>
              </w:tc>
              <w:tc>
                <w:tcPr>
                  <w:tcW w:w="18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w:t>
                  </w:r>
                </w:p>
              </w:tc>
              <w:tc>
                <w:tcPr>
                  <w:tcW w:w="53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栏    次</w:t>
                  </w:r>
                </w:p>
              </w:tc>
              <w:tc>
                <w:tcPr>
                  <w:tcW w:w="58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18"/>
                      <w:szCs w:val="18"/>
                      <w:highlight w:val="none"/>
                      <w:u w:val="none"/>
                    </w:rPr>
                  </w:pPr>
                </w:p>
              </w:tc>
              <w:tc>
                <w:tcPr>
                  <w:tcW w:w="225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255" w:hRule="exact"/>
              </w:trPr>
              <w:tc>
                <w:tcPr>
                  <w:tcW w:w="4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一、一般公共预算财政拨款收入</w:t>
                  </w: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w:t>
                  </w:r>
                </w:p>
              </w:tc>
              <w:tc>
                <w:tcPr>
                  <w:tcW w:w="1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宋体" w:hAnsi="宋体" w:eastAsia="宋体" w:cs="宋体"/>
                      <w:b w:val="0"/>
                      <w:bCs w:val="0"/>
                      <w:i w:val="0"/>
                      <w:color w:val="000000"/>
                      <w:sz w:val="18"/>
                      <w:szCs w:val="18"/>
                      <w:highlight w:val="none"/>
                      <w:u w:val="none"/>
                      <w:lang w:val="en-US" w:eastAsia="zh-CN"/>
                    </w:rPr>
                  </w:pPr>
                  <w:r>
                    <w:rPr>
                      <w:rFonts w:hint="eastAsia" w:ascii="宋体" w:hAnsi="宋体" w:eastAsia="宋体" w:cs="宋体"/>
                      <w:b w:val="0"/>
                      <w:bCs w:val="0"/>
                      <w:i w:val="0"/>
                      <w:color w:val="000000"/>
                      <w:sz w:val="18"/>
                      <w:szCs w:val="18"/>
                      <w:highlight w:val="none"/>
                      <w:u w:val="none"/>
                      <w:lang w:val="en-US" w:eastAsia="zh-CN"/>
                    </w:rPr>
                    <w:t>773.12</w:t>
                  </w:r>
                </w:p>
              </w:tc>
              <w:tc>
                <w:tcPr>
                  <w:tcW w:w="53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一、一般公共服务支出</w:t>
                  </w:r>
                </w:p>
              </w:tc>
              <w:tc>
                <w:tcPr>
                  <w:tcW w:w="58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eastAsia="zh-CN"/>
                    </w:rPr>
                  </w:pPr>
                  <w:r>
                    <w:rPr>
                      <w:rFonts w:hint="eastAsia" w:ascii="宋体" w:hAnsi="宋体" w:eastAsia="宋体" w:cs="宋体"/>
                      <w:i w:val="0"/>
                      <w:color w:val="000000"/>
                      <w:sz w:val="18"/>
                      <w:szCs w:val="18"/>
                      <w:highlight w:val="none"/>
                      <w:u w:val="none"/>
                      <w:lang w:val="en-US" w:eastAsia="zh-CN"/>
                    </w:rPr>
                    <w:t>31</w:t>
                  </w:r>
                </w:p>
              </w:tc>
              <w:tc>
                <w:tcPr>
                  <w:tcW w:w="2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宋体" w:hAnsi="宋体" w:eastAsia="宋体" w:cs="宋体"/>
                      <w:b w:val="0"/>
                      <w:bCs w:val="0"/>
                      <w:i w:val="0"/>
                      <w:color w:val="000000"/>
                      <w:sz w:val="18"/>
                      <w:szCs w:val="18"/>
                      <w:highlight w:val="none"/>
                      <w:u w:val="none"/>
                      <w:lang w:val="en-US" w:eastAsia="zh-CN"/>
                    </w:rPr>
                  </w:pPr>
                  <w:r>
                    <w:rPr>
                      <w:rFonts w:hint="eastAsia" w:ascii="宋体" w:hAnsi="宋体" w:eastAsia="宋体" w:cs="宋体"/>
                      <w:b w:val="0"/>
                      <w:bCs w:val="0"/>
                      <w:i w:val="0"/>
                      <w:color w:val="000000"/>
                      <w:sz w:val="18"/>
                      <w:szCs w:val="18"/>
                      <w:highlight w:val="none"/>
                      <w:u w:val="none"/>
                      <w:lang w:val="en-US" w:eastAsia="zh-CN"/>
                    </w:rPr>
                    <w:t>59.59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255" w:hRule="exact"/>
              </w:trPr>
              <w:tc>
                <w:tcPr>
                  <w:tcW w:w="4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二、政府性基金预算财政拨款收入</w:t>
                  </w: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2</w:t>
                  </w:r>
                </w:p>
              </w:tc>
              <w:tc>
                <w:tcPr>
                  <w:tcW w:w="1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val="0"/>
                      <w:bCs w:val="0"/>
                      <w:i w:val="0"/>
                      <w:color w:val="000000"/>
                      <w:sz w:val="18"/>
                      <w:szCs w:val="18"/>
                      <w:highlight w:val="none"/>
                      <w:u w:val="none"/>
                    </w:rPr>
                  </w:pPr>
                </w:p>
              </w:tc>
              <w:tc>
                <w:tcPr>
                  <w:tcW w:w="53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二、外交支出</w:t>
                  </w:r>
                </w:p>
              </w:tc>
              <w:tc>
                <w:tcPr>
                  <w:tcW w:w="58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eastAsia="zh-CN"/>
                    </w:rPr>
                  </w:pPr>
                  <w:r>
                    <w:rPr>
                      <w:rFonts w:hint="eastAsia" w:ascii="宋体" w:hAnsi="宋体" w:eastAsia="宋体" w:cs="宋体"/>
                      <w:i w:val="0"/>
                      <w:color w:val="000000"/>
                      <w:sz w:val="18"/>
                      <w:szCs w:val="18"/>
                      <w:highlight w:val="none"/>
                      <w:u w:val="none"/>
                      <w:lang w:val="en-US" w:eastAsia="zh-CN"/>
                    </w:rPr>
                    <w:t>32</w:t>
                  </w:r>
                </w:p>
              </w:tc>
              <w:tc>
                <w:tcPr>
                  <w:tcW w:w="2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val="0"/>
                      <w:bCs w:val="0"/>
                      <w:i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cantSplit/>
                <w:trHeight w:val="255" w:hRule="exact"/>
              </w:trPr>
              <w:tc>
                <w:tcPr>
                  <w:tcW w:w="4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三、国有资本经营预算财政拨款收入</w:t>
                  </w: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3</w:t>
                  </w:r>
                </w:p>
              </w:tc>
              <w:tc>
                <w:tcPr>
                  <w:tcW w:w="1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val="0"/>
                      <w:bCs w:val="0"/>
                      <w:i w:val="0"/>
                      <w:color w:val="000000"/>
                      <w:sz w:val="18"/>
                      <w:szCs w:val="18"/>
                      <w:highlight w:val="none"/>
                      <w:u w:val="none"/>
                    </w:rPr>
                  </w:pPr>
                </w:p>
              </w:tc>
              <w:tc>
                <w:tcPr>
                  <w:tcW w:w="53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三、国防支出</w:t>
                  </w:r>
                </w:p>
              </w:tc>
              <w:tc>
                <w:tcPr>
                  <w:tcW w:w="58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eastAsia="zh-CN"/>
                    </w:rPr>
                  </w:pPr>
                  <w:r>
                    <w:rPr>
                      <w:rFonts w:hint="eastAsia" w:ascii="宋体" w:hAnsi="宋体" w:eastAsia="宋体" w:cs="宋体"/>
                      <w:i w:val="0"/>
                      <w:color w:val="000000"/>
                      <w:sz w:val="18"/>
                      <w:szCs w:val="18"/>
                      <w:highlight w:val="none"/>
                      <w:u w:val="none"/>
                      <w:lang w:val="en-US" w:eastAsia="zh-CN"/>
                    </w:rPr>
                    <w:t>33</w:t>
                  </w:r>
                </w:p>
              </w:tc>
              <w:tc>
                <w:tcPr>
                  <w:tcW w:w="2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val="0"/>
                      <w:bCs w:val="0"/>
                      <w:i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255" w:hRule="exact"/>
              </w:trPr>
              <w:tc>
                <w:tcPr>
                  <w:tcW w:w="4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四、上级补助收入</w:t>
                  </w: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4</w:t>
                  </w:r>
                </w:p>
              </w:tc>
              <w:tc>
                <w:tcPr>
                  <w:tcW w:w="1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val="0"/>
                      <w:bCs w:val="0"/>
                      <w:i w:val="0"/>
                      <w:color w:val="000000"/>
                      <w:sz w:val="18"/>
                      <w:szCs w:val="18"/>
                      <w:highlight w:val="none"/>
                      <w:u w:val="none"/>
                    </w:rPr>
                  </w:pPr>
                </w:p>
              </w:tc>
              <w:tc>
                <w:tcPr>
                  <w:tcW w:w="53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四、公共安全支出</w:t>
                  </w:r>
                </w:p>
              </w:tc>
              <w:tc>
                <w:tcPr>
                  <w:tcW w:w="58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eastAsia="zh-CN"/>
                    </w:rPr>
                  </w:pPr>
                  <w:r>
                    <w:rPr>
                      <w:rFonts w:hint="eastAsia" w:ascii="宋体" w:hAnsi="宋体" w:eastAsia="宋体" w:cs="宋体"/>
                      <w:i w:val="0"/>
                      <w:color w:val="000000"/>
                      <w:sz w:val="18"/>
                      <w:szCs w:val="18"/>
                      <w:highlight w:val="none"/>
                      <w:u w:val="none"/>
                      <w:lang w:val="en-US" w:eastAsia="zh-CN"/>
                    </w:rPr>
                    <w:t>34</w:t>
                  </w:r>
                </w:p>
              </w:tc>
              <w:tc>
                <w:tcPr>
                  <w:tcW w:w="2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val="0"/>
                      <w:bCs w:val="0"/>
                      <w:i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255" w:hRule="exact"/>
              </w:trPr>
              <w:tc>
                <w:tcPr>
                  <w:tcW w:w="4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五、事业收入</w:t>
                  </w: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5</w:t>
                  </w:r>
                </w:p>
              </w:tc>
              <w:tc>
                <w:tcPr>
                  <w:tcW w:w="1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val="0"/>
                      <w:bCs w:val="0"/>
                      <w:i w:val="0"/>
                      <w:color w:val="000000"/>
                      <w:sz w:val="18"/>
                      <w:szCs w:val="18"/>
                      <w:highlight w:val="none"/>
                      <w:u w:val="none"/>
                    </w:rPr>
                  </w:pPr>
                </w:p>
              </w:tc>
              <w:tc>
                <w:tcPr>
                  <w:tcW w:w="53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五、教育支出</w:t>
                  </w:r>
                </w:p>
              </w:tc>
              <w:tc>
                <w:tcPr>
                  <w:tcW w:w="58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eastAsia="zh-CN"/>
                    </w:rPr>
                  </w:pPr>
                  <w:r>
                    <w:rPr>
                      <w:rFonts w:hint="eastAsia" w:ascii="宋体" w:hAnsi="宋体" w:eastAsia="宋体" w:cs="宋体"/>
                      <w:i w:val="0"/>
                      <w:color w:val="000000"/>
                      <w:sz w:val="18"/>
                      <w:szCs w:val="18"/>
                      <w:highlight w:val="none"/>
                      <w:u w:val="none"/>
                      <w:lang w:val="en-US" w:eastAsia="zh-CN"/>
                    </w:rPr>
                    <w:t>35</w:t>
                  </w:r>
                </w:p>
              </w:tc>
              <w:tc>
                <w:tcPr>
                  <w:tcW w:w="2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val="0"/>
                      <w:bCs w:val="0"/>
                      <w:i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257" w:hRule="exact"/>
              </w:trPr>
              <w:tc>
                <w:tcPr>
                  <w:tcW w:w="4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六、经营收入</w:t>
                  </w: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6</w:t>
                  </w:r>
                </w:p>
              </w:tc>
              <w:tc>
                <w:tcPr>
                  <w:tcW w:w="1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val="0"/>
                      <w:bCs w:val="0"/>
                      <w:i w:val="0"/>
                      <w:color w:val="000000"/>
                      <w:sz w:val="18"/>
                      <w:szCs w:val="18"/>
                      <w:highlight w:val="none"/>
                      <w:u w:val="none"/>
                    </w:rPr>
                  </w:pPr>
                </w:p>
              </w:tc>
              <w:tc>
                <w:tcPr>
                  <w:tcW w:w="53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六、科学技术支出</w:t>
                  </w:r>
                </w:p>
              </w:tc>
              <w:tc>
                <w:tcPr>
                  <w:tcW w:w="58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eastAsia="zh-CN"/>
                    </w:rPr>
                  </w:pPr>
                  <w:r>
                    <w:rPr>
                      <w:rFonts w:hint="eastAsia" w:ascii="宋体" w:hAnsi="宋体" w:eastAsia="宋体" w:cs="宋体"/>
                      <w:i w:val="0"/>
                      <w:color w:val="000000"/>
                      <w:sz w:val="18"/>
                      <w:szCs w:val="18"/>
                      <w:highlight w:val="none"/>
                      <w:u w:val="none"/>
                      <w:lang w:val="en-US" w:eastAsia="zh-CN"/>
                    </w:rPr>
                    <w:t>36</w:t>
                  </w:r>
                </w:p>
              </w:tc>
              <w:tc>
                <w:tcPr>
                  <w:tcW w:w="2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val="0"/>
                      <w:bCs w:val="0"/>
                      <w:i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255" w:hRule="exact"/>
              </w:trPr>
              <w:tc>
                <w:tcPr>
                  <w:tcW w:w="4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七、附属单位上缴收入</w:t>
                  </w: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7</w:t>
                  </w:r>
                </w:p>
              </w:tc>
              <w:tc>
                <w:tcPr>
                  <w:tcW w:w="1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val="0"/>
                      <w:bCs w:val="0"/>
                      <w:i w:val="0"/>
                      <w:color w:val="000000"/>
                      <w:sz w:val="18"/>
                      <w:szCs w:val="18"/>
                      <w:highlight w:val="none"/>
                      <w:u w:val="none"/>
                    </w:rPr>
                  </w:pPr>
                </w:p>
              </w:tc>
              <w:tc>
                <w:tcPr>
                  <w:tcW w:w="5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i w:val="0"/>
                      <w:color w:val="000000"/>
                      <w:sz w:val="18"/>
                      <w:szCs w:val="18"/>
                      <w:highlight w:val="none"/>
                      <w:u w:val="none"/>
                      <w:lang w:val="en-US"/>
                    </w:rPr>
                  </w:pPr>
                  <w:r>
                    <w:rPr>
                      <w:rFonts w:hint="eastAsia" w:ascii="宋体" w:hAnsi="宋体" w:eastAsia="宋体" w:cs="宋体"/>
                      <w:i w:val="0"/>
                      <w:color w:val="000000"/>
                      <w:kern w:val="0"/>
                      <w:sz w:val="18"/>
                      <w:szCs w:val="18"/>
                      <w:highlight w:val="none"/>
                      <w:u w:val="none"/>
                      <w:lang w:val="en-US" w:eastAsia="zh-CN" w:bidi="ar"/>
                    </w:rPr>
                    <w:t>七、文化旅游体育与传媒支出</w:t>
                  </w:r>
                </w:p>
              </w:tc>
              <w:tc>
                <w:tcPr>
                  <w:tcW w:w="58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eastAsia="zh-CN"/>
                    </w:rPr>
                  </w:pPr>
                  <w:r>
                    <w:rPr>
                      <w:rFonts w:hint="eastAsia" w:ascii="宋体" w:hAnsi="宋体" w:eastAsia="宋体" w:cs="宋体"/>
                      <w:i w:val="0"/>
                      <w:color w:val="000000"/>
                      <w:sz w:val="18"/>
                      <w:szCs w:val="18"/>
                      <w:highlight w:val="none"/>
                      <w:u w:val="none"/>
                      <w:lang w:val="en-US" w:eastAsia="zh-CN"/>
                    </w:rPr>
                    <w:t>37</w:t>
                  </w:r>
                </w:p>
              </w:tc>
              <w:tc>
                <w:tcPr>
                  <w:tcW w:w="2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val="0"/>
                      <w:bCs w:val="0"/>
                      <w:i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255" w:hRule="exact"/>
              </w:trPr>
              <w:tc>
                <w:tcPr>
                  <w:tcW w:w="4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八、其他收入</w:t>
                  </w: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8</w:t>
                  </w:r>
                </w:p>
              </w:tc>
              <w:tc>
                <w:tcPr>
                  <w:tcW w:w="1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宋体" w:hAnsi="宋体" w:eastAsia="宋体" w:cs="宋体"/>
                      <w:b w:val="0"/>
                      <w:bCs w:val="0"/>
                      <w:i w:val="0"/>
                      <w:color w:val="000000"/>
                      <w:sz w:val="18"/>
                      <w:szCs w:val="18"/>
                      <w:highlight w:val="none"/>
                      <w:u w:val="none"/>
                      <w:lang w:val="en-US" w:eastAsia="zh-CN"/>
                    </w:rPr>
                  </w:pPr>
                  <w:r>
                    <w:rPr>
                      <w:rFonts w:hint="eastAsia" w:ascii="宋体" w:hAnsi="宋体" w:eastAsia="宋体" w:cs="宋体"/>
                      <w:b w:val="0"/>
                      <w:bCs w:val="0"/>
                      <w:i w:val="0"/>
                      <w:color w:val="000000"/>
                      <w:sz w:val="18"/>
                      <w:szCs w:val="18"/>
                      <w:highlight w:val="none"/>
                      <w:u w:val="none"/>
                      <w:lang w:val="en-US" w:eastAsia="zh-CN"/>
                    </w:rPr>
                    <w:t>0.03</w:t>
                  </w:r>
                </w:p>
              </w:tc>
              <w:tc>
                <w:tcPr>
                  <w:tcW w:w="5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宋体" w:hAnsi="宋体" w:eastAsia="宋体" w:cs="宋体"/>
                      <w:i w:val="0"/>
                      <w:color w:val="000000"/>
                      <w:sz w:val="18"/>
                      <w:szCs w:val="18"/>
                      <w:highlight w:val="none"/>
                      <w:u w:val="none"/>
                      <w:lang w:val="en-US" w:eastAsia="zh-CN"/>
                    </w:rPr>
                  </w:pPr>
                  <w:r>
                    <w:rPr>
                      <w:rFonts w:hint="eastAsia" w:ascii="宋体" w:hAnsi="宋体" w:eastAsia="宋体" w:cs="宋体"/>
                      <w:i w:val="0"/>
                      <w:color w:val="000000"/>
                      <w:sz w:val="18"/>
                      <w:szCs w:val="18"/>
                      <w:highlight w:val="none"/>
                      <w:u w:val="none"/>
                      <w:lang w:val="en-US" w:eastAsia="zh-CN"/>
                    </w:rPr>
                    <w:t>八、社会保障和就业支出</w:t>
                  </w:r>
                </w:p>
              </w:tc>
              <w:tc>
                <w:tcPr>
                  <w:tcW w:w="58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eastAsia="zh-CN"/>
                    </w:rPr>
                  </w:pPr>
                  <w:r>
                    <w:rPr>
                      <w:rFonts w:hint="eastAsia" w:ascii="宋体" w:hAnsi="宋体" w:eastAsia="宋体" w:cs="宋体"/>
                      <w:i w:val="0"/>
                      <w:color w:val="000000"/>
                      <w:sz w:val="18"/>
                      <w:szCs w:val="18"/>
                      <w:highlight w:val="none"/>
                      <w:u w:val="none"/>
                      <w:lang w:val="en-US" w:eastAsia="zh-CN"/>
                    </w:rPr>
                    <w:t>38</w:t>
                  </w:r>
                </w:p>
              </w:tc>
              <w:tc>
                <w:tcPr>
                  <w:tcW w:w="2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val="0"/>
                      <w:bCs w:val="0"/>
                      <w:i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255" w:hRule="exact"/>
              </w:trPr>
              <w:tc>
                <w:tcPr>
                  <w:tcW w:w="4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18"/>
                      <w:szCs w:val="18"/>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9</w:t>
                  </w:r>
                </w:p>
              </w:tc>
              <w:tc>
                <w:tcPr>
                  <w:tcW w:w="1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val="0"/>
                      <w:bCs w:val="0"/>
                      <w:i w:val="0"/>
                      <w:color w:val="000000"/>
                      <w:sz w:val="18"/>
                      <w:szCs w:val="18"/>
                      <w:highlight w:val="none"/>
                      <w:u w:val="none"/>
                    </w:rPr>
                  </w:pPr>
                </w:p>
              </w:tc>
              <w:tc>
                <w:tcPr>
                  <w:tcW w:w="5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宋体" w:hAnsi="宋体" w:eastAsia="宋体" w:cs="宋体"/>
                      <w:i w:val="0"/>
                      <w:color w:val="000000"/>
                      <w:sz w:val="18"/>
                      <w:szCs w:val="18"/>
                      <w:highlight w:val="none"/>
                      <w:u w:val="none"/>
                      <w:lang w:val="en-US" w:eastAsia="zh-CN"/>
                    </w:rPr>
                  </w:pPr>
                  <w:r>
                    <w:rPr>
                      <w:rFonts w:hint="eastAsia" w:ascii="宋体" w:hAnsi="宋体" w:eastAsia="宋体" w:cs="宋体"/>
                      <w:i w:val="0"/>
                      <w:color w:val="000000"/>
                      <w:sz w:val="18"/>
                      <w:szCs w:val="18"/>
                      <w:highlight w:val="none"/>
                      <w:u w:val="none"/>
                      <w:lang w:val="en-US" w:eastAsia="zh-CN"/>
                    </w:rPr>
                    <w:t>九、卫生健康支出</w:t>
                  </w:r>
                </w:p>
              </w:tc>
              <w:tc>
                <w:tcPr>
                  <w:tcW w:w="58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39</w:t>
                  </w:r>
                </w:p>
              </w:tc>
              <w:tc>
                <w:tcPr>
                  <w:tcW w:w="2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宋体" w:hAnsi="宋体" w:eastAsia="宋体" w:cs="宋体"/>
                      <w:b w:val="0"/>
                      <w:bCs w:val="0"/>
                      <w:i w:val="0"/>
                      <w:color w:val="000000"/>
                      <w:sz w:val="18"/>
                      <w:szCs w:val="18"/>
                      <w:highlight w:val="none"/>
                      <w:u w:val="none"/>
                      <w:lang w:val="en-US" w:eastAsia="zh-CN"/>
                    </w:rPr>
                  </w:pPr>
                  <w:r>
                    <w:rPr>
                      <w:rFonts w:hint="eastAsia" w:ascii="宋体" w:hAnsi="宋体" w:eastAsia="宋体" w:cs="宋体"/>
                      <w:b w:val="0"/>
                      <w:bCs w:val="0"/>
                      <w:i w:val="0"/>
                      <w:color w:val="000000"/>
                      <w:sz w:val="18"/>
                      <w:szCs w:val="18"/>
                      <w:highlight w:val="none"/>
                      <w:u w:val="none"/>
                      <w:lang w:val="en-US" w:eastAsia="zh-CN"/>
                    </w:rPr>
                    <w:t>154.98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255" w:hRule="exact"/>
              </w:trPr>
              <w:tc>
                <w:tcPr>
                  <w:tcW w:w="4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18"/>
                      <w:szCs w:val="18"/>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10</w:t>
                  </w:r>
                </w:p>
              </w:tc>
              <w:tc>
                <w:tcPr>
                  <w:tcW w:w="1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val="0"/>
                      <w:bCs w:val="0"/>
                      <w:i w:val="0"/>
                      <w:color w:val="000000"/>
                      <w:sz w:val="18"/>
                      <w:szCs w:val="18"/>
                      <w:highlight w:val="none"/>
                      <w:u w:val="none"/>
                    </w:rPr>
                  </w:pPr>
                </w:p>
              </w:tc>
              <w:tc>
                <w:tcPr>
                  <w:tcW w:w="5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宋体" w:hAnsi="宋体" w:eastAsia="宋体" w:cs="宋体"/>
                      <w:i w:val="0"/>
                      <w:color w:val="000000"/>
                      <w:sz w:val="18"/>
                      <w:szCs w:val="18"/>
                      <w:highlight w:val="none"/>
                      <w:u w:val="none"/>
                      <w:lang w:val="en-US" w:eastAsia="zh-CN"/>
                    </w:rPr>
                  </w:pPr>
                  <w:r>
                    <w:rPr>
                      <w:rFonts w:hint="eastAsia" w:ascii="宋体" w:hAnsi="宋体" w:eastAsia="宋体" w:cs="宋体"/>
                      <w:i w:val="0"/>
                      <w:color w:val="000000"/>
                      <w:sz w:val="18"/>
                      <w:szCs w:val="18"/>
                      <w:highlight w:val="none"/>
                      <w:u w:val="none"/>
                      <w:lang w:val="en-US" w:eastAsia="zh-CN"/>
                    </w:rPr>
                    <w:t>十、节能环保支出</w:t>
                  </w:r>
                </w:p>
              </w:tc>
              <w:tc>
                <w:tcPr>
                  <w:tcW w:w="58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40</w:t>
                  </w:r>
                </w:p>
              </w:tc>
              <w:tc>
                <w:tcPr>
                  <w:tcW w:w="2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val="0"/>
                      <w:bCs w:val="0"/>
                      <w:i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cantSplit/>
                <w:trHeight w:val="255" w:hRule="exact"/>
              </w:trPr>
              <w:tc>
                <w:tcPr>
                  <w:tcW w:w="4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18"/>
                      <w:szCs w:val="18"/>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11</w:t>
                  </w:r>
                </w:p>
              </w:tc>
              <w:tc>
                <w:tcPr>
                  <w:tcW w:w="1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val="0"/>
                      <w:bCs w:val="0"/>
                      <w:i w:val="0"/>
                      <w:color w:val="000000"/>
                      <w:sz w:val="18"/>
                      <w:szCs w:val="18"/>
                      <w:highlight w:val="none"/>
                      <w:u w:val="none"/>
                    </w:rPr>
                  </w:pPr>
                </w:p>
              </w:tc>
              <w:tc>
                <w:tcPr>
                  <w:tcW w:w="5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宋体" w:hAnsi="宋体" w:eastAsia="宋体" w:cs="宋体"/>
                      <w:i w:val="0"/>
                      <w:color w:val="000000"/>
                      <w:sz w:val="18"/>
                      <w:szCs w:val="18"/>
                      <w:highlight w:val="none"/>
                      <w:u w:val="none"/>
                      <w:lang w:val="en-US" w:eastAsia="zh-CN"/>
                    </w:rPr>
                  </w:pPr>
                  <w:r>
                    <w:rPr>
                      <w:rFonts w:hint="eastAsia" w:ascii="宋体" w:hAnsi="宋体" w:eastAsia="宋体" w:cs="宋体"/>
                      <w:i w:val="0"/>
                      <w:color w:val="000000"/>
                      <w:sz w:val="18"/>
                      <w:szCs w:val="18"/>
                      <w:highlight w:val="none"/>
                      <w:u w:val="none"/>
                      <w:lang w:val="en-US" w:eastAsia="zh-CN"/>
                    </w:rPr>
                    <w:t>十一、城乡社区支出</w:t>
                  </w:r>
                </w:p>
              </w:tc>
              <w:tc>
                <w:tcPr>
                  <w:tcW w:w="58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41</w:t>
                  </w:r>
                </w:p>
              </w:tc>
              <w:tc>
                <w:tcPr>
                  <w:tcW w:w="2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val="0"/>
                      <w:bCs w:val="0"/>
                      <w:i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cantSplit/>
                <w:trHeight w:val="255" w:hRule="exact"/>
              </w:trPr>
              <w:tc>
                <w:tcPr>
                  <w:tcW w:w="4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18"/>
                      <w:szCs w:val="18"/>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12</w:t>
                  </w:r>
                </w:p>
              </w:tc>
              <w:tc>
                <w:tcPr>
                  <w:tcW w:w="1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val="0"/>
                      <w:bCs w:val="0"/>
                      <w:i w:val="0"/>
                      <w:color w:val="000000"/>
                      <w:sz w:val="18"/>
                      <w:szCs w:val="18"/>
                      <w:highlight w:val="none"/>
                      <w:u w:val="none"/>
                    </w:rPr>
                  </w:pPr>
                </w:p>
              </w:tc>
              <w:tc>
                <w:tcPr>
                  <w:tcW w:w="5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宋体" w:hAnsi="宋体" w:eastAsia="宋体" w:cs="宋体"/>
                      <w:i w:val="0"/>
                      <w:color w:val="000000"/>
                      <w:sz w:val="18"/>
                      <w:szCs w:val="18"/>
                      <w:highlight w:val="none"/>
                      <w:u w:val="none"/>
                      <w:lang w:val="en-US" w:eastAsia="zh-CN"/>
                    </w:rPr>
                  </w:pPr>
                  <w:r>
                    <w:rPr>
                      <w:rFonts w:hint="eastAsia" w:ascii="宋体" w:hAnsi="宋体" w:eastAsia="宋体" w:cs="宋体"/>
                      <w:i w:val="0"/>
                      <w:color w:val="000000"/>
                      <w:sz w:val="18"/>
                      <w:szCs w:val="18"/>
                      <w:highlight w:val="none"/>
                      <w:u w:val="none"/>
                      <w:lang w:val="en-US" w:eastAsia="zh-CN"/>
                    </w:rPr>
                    <w:t>十二、农林水支出</w:t>
                  </w:r>
                </w:p>
              </w:tc>
              <w:tc>
                <w:tcPr>
                  <w:tcW w:w="58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42</w:t>
                  </w:r>
                </w:p>
              </w:tc>
              <w:tc>
                <w:tcPr>
                  <w:tcW w:w="2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宋体" w:hAnsi="宋体" w:eastAsia="宋体" w:cs="宋体"/>
                      <w:b w:val="0"/>
                      <w:bCs w:val="0"/>
                      <w:i w:val="0"/>
                      <w:color w:val="000000"/>
                      <w:sz w:val="18"/>
                      <w:szCs w:val="18"/>
                      <w:highlight w:val="none"/>
                      <w:u w:val="none"/>
                      <w:lang w:val="en-US" w:eastAsia="zh-CN"/>
                    </w:rPr>
                  </w:pPr>
                  <w:r>
                    <w:rPr>
                      <w:rFonts w:hint="eastAsia" w:ascii="宋体" w:hAnsi="宋体" w:eastAsia="宋体" w:cs="宋体"/>
                      <w:b w:val="0"/>
                      <w:bCs w:val="0"/>
                      <w:i w:val="0"/>
                      <w:color w:val="000000"/>
                      <w:sz w:val="18"/>
                      <w:szCs w:val="18"/>
                      <w:highlight w:val="none"/>
                      <w:u w:val="none"/>
                      <w:lang w:val="en-US" w:eastAsia="zh-CN"/>
                    </w:rPr>
                    <w:t>574.44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255" w:hRule="exact"/>
              </w:trPr>
              <w:tc>
                <w:tcPr>
                  <w:tcW w:w="4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18"/>
                      <w:szCs w:val="18"/>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13</w:t>
                  </w:r>
                </w:p>
              </w:tc>
              <w:tc>
                <w:tcPr>
                  <w:tcW w:w="1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val="0"/>
                      <w:bCs w:val="0"/>
                      <w:i w:val="0"/>
                      <w:color w:val="000000"/>
                      <w:sz w:val="18"/>
                      <w:szCs w:val="18"/>
                      <w:highlight w:val="none"/>
                      <w:u w:val="none"/>
                    </w:rPr>
                  </w:pPr>
                </w:p>
              </w:tc>
              <w:tc>
                <w:tcPr>
                  <w:tcW w:w="5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十三、交通运输支出</w:t>
                  </w:r>
                </w:p>
              </w:tc>
              <w:tc>
                <w:tcPr>
                  <w:tcW w:w="58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43</w:t>
                  </w:r>
                </w:p>
              </w:tc>
              <w:tc>
                <w:tcPr>
                  <w:tcW w:w="2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val="0"/>
                      <w:bCs w:val="0"/>
                      <w:i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cantSplit/>
                <w:trHeight w:val="255" w:hRule="exact"/>
              </w:trPr>
              <w:tc>
                <w:tcPr>
                  <w:tcW w:w="4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18"/>
                      <w:szCs w:val="18"/>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14</w:t>
                  </w:r>
                </w:p>
              </w:tc>
              <w:tc>
                <w:tcPr>
                  <w:tcW w:w="1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val="0"/>
                      <w:bCs w:val="0"/>
                      <w:i w:val="0"/>
                      <w:color w:val="000000"/>
                      <w:sz w:val="18"/>
                      <w:szCs w:val="18"/>
                      <w:highlight w:val="none"/>
                      <w:u w:val="none"/>
                    </w:rPr>
                  </w:pPr>
                </w:p>
              </w:tc>
              <w:tc>
                <w:tcPr>
                  <w:tcW w:w="5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numPr>
                      <w:ilvl w:val="0"/>
                      <w:numId w:val="2"/>
                    </w:numPr>
                    <w:jc w:val="left"/>
                    <w:rPr>
                      <w:rFonts w:hint="eastAsia"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资源勘探工业信息等支出</w:t>
                  </w:r>
                </w:p>
                <w:p>
                  <w:pPr>
                    <w:pStyle w:val="2"/>
                    <w:numPr>
                      <w:ilvl w:val="0"/>
                      <w:numId w:val="2"/>
                    </w:numPr>
                    <w:rPr>
                      <w:rFonts w:hint="default"/>
                      <w:sz w:val="18"/>
                      <w:szCs w:val="18"/>
                      <w:highlight w:val="none"/>
                      <w:lang w:val="en-US" w:eastAsia="zh-CN"/>
                    </w:rPr>
                  </w:pPr>
                </w:p>
              </w:tc>
              <w:tc>
                <w:tcPr>
                  <w:tcW w:w="58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44</w:t>
                  </w:r>
                </w:p>
              </w:tc>
              <w:tc>
                <w:tcPr>
                  <w:tcW w:w="2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val="0"/>
                      <w:bCs w:val="0"/>
                      <w:i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255" w:hRule="exact"/>
              </w:trPr>
              <w:tc>
                <w:tcPr>
                  <w:tcW w:w="4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18"/>
                      <w:szCs w:val="18"/>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15</w:t>
                  </w:r>
                </w:p>
              </w:tc>
              <w:tc>
                <w:tcPr>
                  <w:tcW w:w="1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val="0"/>
                      <w:bCs w:val="0"/>
                      <w:i w:val="0"/>
                      <w:color w:val="000000"/>
                      <w:sz w:val="18"/>
                      <w:szCs w:val="18"/>
                      <w:highlight w:val="none"/>
                      <w:u w:val="none"/>
                    </w:rPr>
                  </w:pPr>
                </w:p>
              </w:tc>
              <w:tc>
                <w:tcPr>
                  <w:tcW w:w="5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十五、商业服务业等支出</w:t>
                  </w:r>
                </w:p>
              </w:tc>
              <w:tc>
                <w:tcPr>
                  <w:tcW w:w="58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45</w:t>
                  </w:r>
                </w:p>
              </w:tc>
              <w:tc>
                <w:tcPr>
                  <w:tcW w:w="2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val="0"/>
                      <w:bCs w:val="0"/>
                      <w:i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255" w:hRule="exact"/>
              </w:trPr>
              <w:tc>
                <w:tcPr>
                  <w:tcW w:w="4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18"/>
                      <w:szCs w:val="18"/>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16</w:t>
                  </w:r>
                </w:p>
              </w:tc>
              <w:tc>
                <w:tcPr>
                  <w:tcW w:w="1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val="0"/>
                      <w:bCs w:val="0"/>
                      <w:i w:val="0"/>
                      <w:color w:val="000000"/>
                      <w:sz w:val="18"/>
                      <w:szCs w:val="18"/>
                      <w:highlight w:val="none"/>
                      <w:u w:val="none"/>
                    </w:rPr>
                  </w:pPr>
                </w:p>
              </w:tc>
              <w:tc>
                <w:tcPr>
                  <w:tcW w:w="5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十六、金融支出</w:t>
                  </w:r>
                </w:p>
              </w:tc>
              <w:tc>
                <w:tcPr>
                  <w:tcW w:w="58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46</w:t>
                  </w:r>
                </w:p>
              </w:tc>
              <w:tc>
                <w:tcPr>
                  <w:tcW w:w="2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val="0"/>
                      <w:bCs w:val="0"/>
                      <w:i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255" w:hRule="exact"/>
              </w:trPr>
              <w:tc>
                <w:tcPr>
                  <w:tcW w:w="4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18"/>
                      <w:szCs w:val="18"/>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17</w:t>
                  </w:r>
                </w:p>
              </w:tc>
              <w:tc>
                <w:tcPr>
                  <w:tcW w:w="1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val="0"/>
                      <w:bCs w:val="0"/>
                      <w:i w:val="0"/>
                      <w:color w:val="000000"/>
                      <w:sz w:val="18"/>
                      <w:szCs w:val="18"/>
                      <w:highlight w:val="none"/>
                      <w:u w:val="none"/>
                    </w:rPr>
                  </w:pPr>
                </w:p>
              </w:tc>
              <w:tc>
                <w:tcPr>
                  <w:tcW w:w="5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十七、援助其他地区支出</w:t>
                  </w:r>
                </w:p>
              </w:tc>
              <w:tc>
                <w:tcPr>
                  <w:tcW w:w="58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47</w:t>
                  </w:r>
                </w:p>
              </w:tc>
              <w:tc>
                <w:tcPr>
                  <w:tcW w:w="2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val="0"/>
                      <w:bCs w:val="0"/>
                      <w:i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cantSplit/>
                <w:trHeight w:val="255" w:hRule="exact"/>
              </w:trPr>
              <w:tc>
                <w:tcPr>
                  <w:tcW w:w="4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18"/>
                      <w:szCs w:val="18"/>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18</w:t>
                  </w:r>
                </w:p>
              </w:tc>
              <w:tc>
                <w:tcPr>
                  <w:tcW w:w="1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val="0"/>
                      <w:bCs w:val="0"/>
                      <w:i w:val="0"/>
                      <w:color w:val="000000"/>
                      <w:sz w:val="18"/>
                      <w:szCs w:val="18"/>
                      <w:highlight w:val="none"/>
                      <w:u w:val="none"/>
                    </w:rPr>
                  </w:pPr>
                </w:p>
              </w:tc>
              <w:tc>
                <w:tcPr>
                  <w:tcW w:w="5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十八、自然资源海洋气象等支出</w:t>
                  </w:r>
                </w:p>
              </w:tc>
              <w:tc>
                <w:tcPr>
                  <w:tcW w:w="58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48</w:t>
                  </w:r>
                </w:p>
              </w:tc>
              <w:tc>
                <w:tcPr>
                  <w:tcW w:w="2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val="0"/>
                      <w:bCs w:val="0"/>
                      <w:i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255" w:hRule="exact"/>
              </w:trPr>
              <w:tc>
                <w:tcPr>
                  <w:tcW w:w="4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18"/>
                      <w:szCs w:val="18"/>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19</w:t>
                  </w:r>
                </w:p>
              </w:tc>
              <w:tc>
                <w:tcPr>
                  <w:tcW w:w="1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val="0"/>
                      <w:bCs w:val="0"/>
                      <w:i w:val="0"/>
                      <w:color w:val="000000"/>
                      <w:sz w:val="18"/>
                      <w:szCs w:val="18"/>
                      <w:highlight w:val="none"/>
                      <w:u w:val="none"/>
                    </w:rPr>
                  </w:pPr>
                </w:p>
              </w:tc>
              <w:tc>
                <w:tcPr>
                  <w:tcW w:w="5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十九、住房保障支出</w:t>
                  </w:r>
                </w:p>
              </w:tc>
              <w:tc>
                <w:tcPr>
                  <w:tcW w:w="58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49</w:t>
                  </w:r>
                </w:p>
              </w:tc>
              <w:tc>
                <w:tcPr>
                  <w:tcW w:w="2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val="0"/>
                      <w:bCs w:val="0"/>
                      <w:i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255" w:hRule="exact"/>
              </w:trPr>
              <w:tc>
                <w:tcPr>
                  <w:tcW w:w="4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18"/>
                      <w:szCs w:val="18"/>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20</w:t>
                  </w:r>
                </w:p>
              </w:tc>
              <w:tc>
                <w:tcPr>
                  <w:tcW w:w="1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val="0"/>
                      <w:bCs w:val="0"/>
                      <w:i w:val="0"/>
                      <w:color w:val="000000"/>
                      <w:sz w:val="18"/>
                      <w:szCs w:val="18"/>
                      <w:highlight w:val="none"/>
                      <w:u w:val="none"/>
                    </w:rPr>
                  </w:pPr>
                </w:p>
              </w:tc>
              <w:tc>
                <w:tcPr>
                  <w:tcW w:w="5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二十、粮油物资储备支出</w:t>
                  </w:r>
                </w:p>
              </w:tc>
              <w:tc>
                <w:tcPr>
                  <w:tcW w:w="58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50</w:t>
                  </w:r>
                </w:p>
              </w:tc>
              <w:tc>
                <w:tcPr>
                  <w:tcW w:w="2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val="0"/>
                      <w:bCs w:val="0"/>
                      <w:i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cantSplit/>
                <w:trHeight w:val="255" w:hRule="exact"/>
              </w:trPr>
              <w:tc>
                <w:tcPr>
                  <w:tcW w:w="4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18"/>
                      <w:szCs w:val="18"/>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21</w:t>
                  </w:r>
                </w:p>
              </w:tc>
              <w:tc>
                <w:tcPr>
                  <w:tcW w:w="1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val="0"/>
                      <w:bCs w:val="0"/>
                      <w:i w:val="0"/>
                      <w:color w:val="000000"/>
                      <w:sz w:val="18"/>
                      <w:szCs w:val="18"/>
                      <w:highlight w:val="none"/>
                      <w:u w:val="none"/>
                    </w:rPr>
                  </w:pPr>
                </w:p>
              </w:tc>
              <w:tc>
                <w:tcPr>
                  <w:tcW w:w="5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二十一、国有资本经营预算支出</w:t>
                  </w:r>
                </w:p>
              </w:tc>
              <w:tc>
                <w:tcPr>
                  <w:tcW w:w="58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51</w:t>
                  </w:r>
                </w:p>
              </w:tc>
              <w:tc>
                <w:tcPr>
                  <w:tcW w:w="2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val="0"/>
                      <w:bCs w:val="0"/>
                      <w:i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255" w:hRule="exact"/>
              </w:trPr>
              <w:tc>
                <w:tcPr>
                  <w:tcW w:w="4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18"/>
                      <w:szCs w:val="18"/>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22</w:t>
                  </w:r>
                </w:p>
              </w:tc>
              <w:tc>
                <w:tcPr>
                  <w:tcW w:w="1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val="0"/>
                      <w:bCs w:val="0"/>
                      <w:i w:val="0"/>
                      <w:color w:val="000000"/>
                      <w:sz w:val="18"/>
                      <w:szCs w:val="18"/>
                      <w:highlight w:val="none"/>
                      <w:u w:val="none"/>
                    </w:rPr>
                  </w:pPr>
                </w:p>
              </w:tc>
              <w:tc>
                <w:tcPr>
                  <w:tcW w:w="5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二十二、灾害防治及应急管理支出</w:t>
                  </w:r>
                </w:p>
              </w:tc>
              <w:tc>
                <w:tcPr>
                  <w:tcW w:w="58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52</w:t>
                  </w:r>
                </w:p>
              </w:tc>
              <w:tc>
                <w:tcPr>
                  <w:tcW w:w="2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val="0"/>
                      <w:bCs w:val="0"/>
                      <w:i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255" w:hRule="exact"/>
              </w:trPr>
              <w:tc>
                <w:tcPr>
                  <w:tcW w:w="4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18"/>
                      <w:szCs w:val="18"/>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23</w:t>
                  </w:r>
                </w:p>
              </w:tc>
              <w:tc>
                <w:tcPr>
                  <w:tcW w:w="1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val="0"/>
                      <w:bCs w:val="0"/>
                      <w:i w:val="0"/>
                      <w:color w:val="000000"/>
                      <w:sz w:val="18"/>
                      <w:szCs w:val="18"/>
                      <w:highlight w:val="none"/>
                      <w:u w:val="none"/>
                    </w:rPr>
                  </w:pPr>
                </w:p>
              </w:tc>
              <w:tc>
                <w:tcPr>
                  <w:tcW w:w="5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宋体" w:hAnsi="宋体" w:eastAsia="宋体" w:cs="宋体"/>
                      <w:i w:val="0"/>
                      <w:color w:val="000000"/>
                      <w:sz w:val="18"/>
                      <w:szCs w:val="18"/>
                      <w:highlight w:val="none"/>
                      <w:u w:val="none"/>
                      <w:lang w:val="en-US" w:eastAsia="zh-CN"/>
                    </w:rPr>
                  </w:pPr>
                  <w:r>
                    <w:rPr>
                      <w:rFonts w:hint="eastAsia" w:ascii="宋体" w:hAnsi="宋体" w:eastAsia="宋体" w:cs="宋体"/>
                      <w:i w:val="0"/>
                      <w:color w:val="000000"/>
                      <w:sz w:val="18"/>
                      <w:szCs w:val="18"/>
                      <w:highlight w:val="none"/>
                      <w:u w:val="none"/>
                      <w:lang w:val="en-US" w:eastAsia="zh-CN"/>
                    </w:rPr>
                    <w:t>二十三、其他支出</w:t>
                  </w:r>
                </w:p>
              </w:tc>
              <w:tc>
                <w:tcPr>
                  <w:tcW w:w="58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53</w:t>
                  </w:r>
                </w:p>
              </w:tc>
              <w:tc>
                <w:tcPr>
                  <w:tcW w:w="2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val="0"/>
                      <w:bCs w:val="0"/>
                      <w:i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255" w:hRule="exact"/>
              </w:trPr>
              <w:tc>
                <w:tcPr>
                  <w:tcW w:w="4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18"/>
                      <w:szCs w:val="18"/>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24</w:t>
                  </w:r>
                </w:p>
              </w:tc>
              <w:tc>
                <w:tcPr>
                  <w:tcW w:w="1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val="0"/>
                      <w:bCs w:val="0"/>
                      <w:i w:val="0"/>
                      <w:color w:val="000000"/>
                      <w:sz w:val="18"/>
                      <w:szCs w:val="18"/>
                      <w:highlight w:val="none"/>
                      <w:u w:val="none"/>
                    </w:rPr>
                  </w:pPr>
                </w:p>
              </w:tc>
              <w:tc>
                <w:tcPr>
                  <w:tcW w:w="5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宋体" w:hAnsi="宋体" w:eastAsia="宋体" w:cs="宋体"/>
                      <w:i w:val="0"/>
                      <w:color w:val="000000"/>
                      <w:sz w:val="18"/>
                      <w:szCs w:val="18"/>
                      <w:highlight w:val="none"/>
                      <w:u w:val="none"/>
                      <w:lang w:val="en-US" w:eastAsia="zh-CN"/>
                    </w:rPr>
                  </w:pPr>
                  <w:r>
                    <w:rPr>
                      <w:rFonts w:hint="eastAsia" w:ascii="宋体" w:hAnsi="宋体" w:eastAsia="宋体" w:cs="宋体"/>
                      <w:i w:val="0"/>
                      <w:color w:val="000000"/>
                      <w:sz w:val="18"/>
                      <w:szCs w:val="18"/>
                      <w:highlight w:val="none"/>
                      <w:u w:val="none"/>
                      <w:lang w:val="en-US" w:eastAsia="zh-CN"/>
                    </w:rPr>
                    <w:t>二十四、债务还本支出</w:t>
                  </w:r>
                </w:p>
              </w:tc>
              <w:tc>
                <w:tcPr>
                  <w:tcW w:w="58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54</w:t>
                  </w:r>
                </w:p>
              </w:tc>
              <w:tc>
                <w:tcPr>
                  <w:tcW w:w="2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val="0"/>
                      <w:bCs w:val="0"/>
                      <w:i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255" w:hRule="exact"/>
              </w:trPr>
              <w:tc>
                <w:tcPr>
                  <w:tcW w:w="4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18"/>
                      <w:szCs w:val="18"/>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25</w:t>
                  </w:r>
                </w:p>
              </w:tc>
              <w:tc>
                <w:tcPr>
                  <w:tcW w:w="1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val="0"/>
                      <w:bCs w:val="0"/>
                      <w:i w:val="0"/>
                      <w:color w:val="000000"/>
                      <w:sz w:val="18"/>
                      <w:szCs w:val="18"/>
                      <w:highlight w:val="none"/>
                      <w:u w:val="none"/>
                    </w:rPr>
                  </w:pPr>
                </w:p>
              </w:tc>
              <w:tc>
                <w:tcPr>
                  <w:tcW w:w="5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宋体" w:hAnsi="宋体" w:eastAsia="宋体" w:cs="宋体"/>
                      <w:i w:val="0"/>
                      <w:color w:val="000000"/>
                      <w:sz w:val="18"/>
                      <w:szCs w:val="18"/>
                      <w:highlight w:val="none"/>
                      <w:u w:val="none"/>
                      <w:lang w:val="en-US" w:eastAsia="zh-CN"/>
                    </w:rPr>
                  </w:pPr>
                  <w:r>
                    <w:rPr>
                      <w:rFonts w:hint="eastAsia" w:ascii="宋体" w:hAnsi="宋体" w:eastAsia="宋体" w:cs="宋体"/>
                      <w:i w:val="0"/>
                      <w:color w:val="000000"/>
                      <w:sz w:val="18"/>
                      <w:szCs w:val="18"/>
                      <w:highlight w:val="none"/>
                      <w:u w:val="none"/>
                      <w:lang w:val="en-US" w:eastAsia="zh-CN"/>
                    </w:rPr>
                    <w:t>二十五、债务付息支出</w:t>
                  </w:r>
                </w:p>
              </w:tc>
              <w:tc>
                <w:tcPr>
                  <w:tcW w:w="58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55</w:t>
                  </w:r>
                </w:p>
              </w:tc>
              <w:tc>
                <w:tcPr>
                  <w:tcW w:w="2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val="0"/>
                      <w:bCs w:val="0"/>
                      <w:i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cantSplit/>
                <w:trHeight w:val="255" w:hRule="exact"/>
              </w:trPr>
              <w:tc>
                <w:tcPr>
                  <w:tcW w:w="4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18"/>
                      <w:szCs w:val="18"/>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eastAsia="zh-CN"/>
                    </w:rPr>
                  </w:pPr>
                  <w:r>
                    <w:rPr>
                      <w:rFonts w:hint="eastAsia" w:ascii="宋体" w:hAnsi="宋体" w:eastAsia="宋体" w:cs="宋体"/>
                      <w:i w:val="0"/>
                      <w:color w:val="000000"/>
                      <w:sz w:val="18"/>
                      <w:szCs w:val="18"/>
                      <w:highlight w:val="none"/>
                      <w:u w:val="none"/>
                      <w:lang w:val="en-US" w:eastAsia="zh-CN"/>
                    </w:rPr>
                    <w:t>26</w:t>
                  </w:r>
                </w:p>
              </w:tc>
              <w:tc>
                <w:tcPr>
                  <w:tcW w:w="1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val="0"/>
                      <w:bCs w:val="0"/>
                      <w:i w:val="0"/>
                      <w:color w:val="000000"/>
                      <w:sz w:val="18"/>
                      <w:szCs w:val="18"/>
                      <w:highlight w:val="none"/>
                      <w:u w:val="none"/>
                    </w:rPr>
                  </w:pPr>
                </w:p>
              </w:tc>
              <w:tc>
                <w:tcPr>
                  <w:tcW w:w="5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宋体" w:hAnsi="宋体" w:eastAsia="宋体" w:cs="宋体"/>
                      <w:i w:val="0"/>
                      <w:color w:val="000000"/>
                      <w:sz w:val="18"/>
                      <w:szCs w:val="18"/>
                      <w:highlight w:val="none"/>
                      <w:u w:val="none"/>
                      <w:lang w:val="en-US" w:eastAsia="zh-CN"/>
                    </w:rPr>
                  </w:pPr>
                  <w:r>
                    <w:rPr>
                      <w:rFonts w:hint="eastAsia" w:ascii="宋体" w:hAnsi="宋体" w:eastAsia="宋体" w:cs="宋体"/>
                      <w:i w:val="0"/>
                      <w:color w:val="000000"/>
                      <w:sz w:val="18"/>
                      <w:szCs w:val="18"/>
                      <w:highlight w:val="none"/>
                      <w:u w:val="none"/>
                      <w:lang w:val="en-US" w:eastAsia="zh-CN"/>
                    </w:rPr>
                    <w:t>二十六、抗疫特别国债安排的支出</w:t>
                  </w:r>
                </w:p>
              </w:tc>
              <w:tc>
                <w:tcPr>
                  <w:tcW w:w="58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eastAsia="zh-CN"/>
                    </w:rPr>
                  </w:pPr>
                  <w:r>
                    <w:rPr>
                      <w:rFonts w:hint="eastAsia" w:ascii="宋体" w:hAnsi="宋体" w:eastAsia="宋体" w:cs="宋体"/>
                      <w:i w:val="0"/>
                      <w:color w:val="000000"/>
                      <w:sz w:val="18"/>
                      <w:szCs w:val="18"/>
                      <w:highlight w:val="none"/>
                      <w:u w:val="none"/>
                      <w:lang w:val="en-US" w:eastAsia="zh-CN"/>
                    </w:rPr>
                    <w:t>56</w:t>
                  </w:r>
                </w:p>
              </w:tc>
              <w:tc>
                <w:tcPr>
                  <w:tcW w:w="2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val="0"/>
                      <w:bCs w:val="0"/>
                      <w:i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cantSplit/>
                <w:trHeight w:val="255" w:hRule="exact"/>
              </w:trPr>
              <w:tc>
                <w:tcPr>
                  <w:tcW w:w="4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本年收入合计</w:t>
                  </w: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eastAsia="zh-CN"/>
                    </w:rPr>
                  </w:pPr>
                  <w:r>
                    <w:rPr>
                      <w:rFonts w:hint="eastAsia" w:ascii="宋体" w:hAnsi="宋体" w:eastAsia="宋体" w:cs="宋体"/>
                      <w:i w:val="0"/>
                      <w:color w:val="000000"/>
                      <w:sz w:val="18"/>
                      <w:szCs w:val="18"/>
                      <w:highlight w:val="none"/>
                      <w:u w:val="none"/>
                      <w:lang w:val="en-US" w:eastAsia="zh-CN"/>
                    </w:rPr>
                    <w:t>27</w:t>
                  </w:r>
                </w:p>
              </w:tc>
              <w:tc>
                <w:tcPr>
                  <w:tcW w:w="1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宋体" w:hAnsi="宋体" w:eastAsia="宋体" w:cs="宋体"/>
                      <w:b w:val="0"/>
                      <w:bCs w:val="0"/>
                      <w:i w:val="0"/>
                      <w:color w:val="000000"/>
                      <w:sz w:val="18"/>
                      <w:szCs w:val="18"/>
                      <w:highlight w:val="none"/>
                      <w:u w:val="none"/>
                      <w:lang w:val="en-US" w:eastAsia="zh-CN"/>
                    </w:rPr>
                  </w:pPr>
                  <w:r>
                    <w:rPr>
                      <w:rFonts w:hint="eastAsia" w:ascii="宋体" w:hAnsi="宋体" w:eastAsia="宋体" w:cs="宋体"/>
                      <w:b w:val="0"/>
                      <w:bCs w:val="0"/>
                      <w:i w:val="0"/>
                      <w:color w:val="000000"/>
                      <w:sz w:val="18"/>
                      <w:szCs w:val="18"/>
                      <w:highlight w:val="none"/>
                      <w:u w:val="none"/>
                      <w:lang w:val="en-US" w:eastAsia="zh-CN"/>
                    </w:rPr>
                    <w:t>773.15</w:t>
                  </w:r>
                </w:p>
              </w:tc>
              <w:tc>
                <w:tcPr>
                  <w:tcW w:w="5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本年支出合计</w:t>
                  </w:r>
                </w:p>
              </w:tc>
              <w:tc>
                <w:tcPr>
                  <w:tcW w:w="58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eastAsia="zh-CN"/>
                    </w:rPr>
                  </w:pPr>
                  <w:r>
                    <w:rPr>
                      <w:rFonts w:hint="eastAsia" w:ascii="宋体" w:hAnsi="宋体" w:eastAsia="宋体" w:cs="宋体"/>
                      <w:i w:val="0"/>
                      <w:color w:val="000000"/>
                      <w:sz w:val="18"/>
                      <w:szCs w:val="18"/>
                      <w:highlight w:val="none"/>
                      <w:u w:val="none"/>
                      <w:lang w:val="en-US" w:eastAsia="zh-CN"/>
                    </w:rPr>
                    <w:t>57</w:t>
                  </w:r>
                </w:p>
              </w:tc>
              <w:tc>
                <w:tcPr>
                  <w:tcW w:w="2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宋体" w:hAnsi="宋体" w:eastAsia="宋体" w:cs="宋体"/>
                      <w:b w:val="0"/>
                      <w:bCs w:val="0"/>
                      <w:i w:val="0"/>
                      <w:color w:val="000000"/>
                      <w:sz w:val="18"/>
                      <w:szCs w:val="18"/>
                      <w:highlight w:val="none"/>
                      <w:u w:val="none"/>
                      <w:lang w:val="en-US" w:eastAsia="zh-CN"/>
                    </w:rPr>
                  </w:pPr>
                  <w:r>
                    <w:rPr>
                      <w:rFonts w:hint="eastAsia" w:ascii="宋体" w:hAnsi="宋体" w:eastAsia="宋体" w:cs="宋体"/>
                      <w:b w:val="0"/>
                      <w:bCs w:val="0"/>
                      <w:i w:val="0"/>
                      <w:color w:val="000000"/>
                      <w:sz w:val="18"/>
                      <w:szCs w:val="18"/>
                      <w:highlight w:val="none"/>
                      <w:u w:val="none"/>
                      <w:lang w:val="en-US" w:eastAsia="zh-CN"/>
                    </w:rPr>
                    <w:t>789.01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cantSplit/>
                <w:trHeight w:val="255" w:hRule="exact"/>
              </w:trPr>
              <w:tc>
                <w:tcPr>
                  <w:tcW w:w="4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 xml:space="preserve">    使用非财政拨款结余（含专用结余）</w:t>
                  </w: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eastAsia="zh-CN"/>
                    </w:rPr>
                  </w:pPr>
                  <w:r>
                    <w:rPr>
                      <w:rFonts w:hint="eastAsia" w:ascii="宋体" w:hAnsi="宋体" w:eastAsia="宋体" w:cs="宋体"/>
                      <w:i w:val="0"/>
                      <w:color w:val="000000"/>
                      <w:sz w:val="18"/>
                      <w:szCs w:val="18"/>
                      <w:highlight w:val="none"/>
                      <w:u w:val="none"/>
                      <w:lang w:val="en-US" w:eastAsia="zh-CN"/>
                    </w:rPr>
                    <w:t>28</w:t>
                  </w:r>
                </w:p>
              </w:tc>
              <w:tc>
                <w:tcPr>
                  <w:tcW w:w="1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宋体" w:hAnsi="宋体" w:eastAsia="宋体" w:cs="宋体"/>
                      <w:b w:val="0"/>
                      <w:bCs w:val="0"/>
                      <w:i w:val="0"/>
                      <w:color w:val="000000"/>
                      <w:sz w:val="18"/>
                      <w:szCs w:val="18"/>
                      <w:highlight w:val="none"/>
                      <w:u w:val="none"/>
                      <w:lang w:val="en-US" w:eastAsia="zh-CN"/>
                    </w:rPr>
                  </w:pPr>
                  <w:r>
                    <w:rPr>
                      <w:rFonts w:hint="eastAsia" w:ascii="宋体" w:hAnsi="宋体" w:eastAsia="宋体" w:cs="宋体"/>
                      <w:b w:val="0"/>
                      <w:bCs w:val="0"/>
                      <w:i w:val="0"/>
                      <w:color w:val="000000"/>
                      <w:sz w:val="18"/>
                      <w:szCs w:val="18"/>
                      <w:highlight w:val="none"/>
                      <w:u w:val="none"/>
                      <w:lang w:val="en-US" w:eastAsia="zh-CN"/>
                    </w:rPr>
                    <w:t>0.21</w:t>
                  </w:r>
                </w:p>
              </w:tc>
              <w:tc>
                <w:tcPr>
                  <w:tcW w:w="5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 xml:space="preserve">                结余分配</w:t>
                  </w:r>
                </w:p>
              </w:tc>
              <w:tc>
                <w:tcPr>
                  <w:tcW w:w="58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eastAsia="zh-CN"/>
                    </w:rPr>
                  </w:pPr>
                  <w:r>
                    <w:rPr>
                      <w:rFonts w:hint="eastAsia" w:ascii="宋体" w:hAnsi="宋体" w:eastAsia="宋体" w:cs="宋体"/>
                      <w:i w:val="0"/>
                      <w:color w:val="000000"/>
                      <w:sz w:val="18"/>
                      <w:szCs w:val="18"/>
                      <w:highlight w:val="none"/>
                      <w:u w:val="none"/>
                      <w:lang w:val="en-US" w:eastAsia="zh-CN"/>
                    </w:rPr>
                    <w:t>58</w:t>
                  </w:r>
                </w:p>
              </w:tc>
              <w:tc>
                <w:tcPr>
                  <w:tcW w:w="2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val="0"/>
                      <w:bCs w:val="0"/>
                      <w:i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cantSplit/>
                <w:trHeight w:val="255" w:hRule="exact"/>
              </w:trPr>
              <w:tc>
                <w:tcPr>
                  <w:tcW w:w="4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 xml:space="preserve">         年初结转和结余</w:t>
                  </w: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eastAsia="zh-CN"/>
                    </w:rPr>
                  </w:pPr>
                  <w:r>
                    <w:rPr>
                      <w:rFonts w:hint="eastAsia" w:ascii="宋体" w:hAnsi="宋体" w:eastAsia="宋体" w:cs="宋体"/>
                      <w:i w:val="0"/>
                      <w:color w:val="000000"/>
                      <w:sz w:val="18"/>
                      <w:szCs w:val="18"/>
                      <w:highlight w:val="none"/>
                      <w:u w:val="none"/>
                      <w:lang w:val="en-US" w:eastAsia="zh-CN"/>
                    </w:rPr>
                    <w:t>29</w:t>
                  </w:r>
                </w:p>
              </w:tc>
              <w:tc>
                <w:tcPr>
                  <w:tcW w:w="1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宋体" w:hAnsi="宋体" w:eastAsia="宋体" w:cs="宋体"/>
                      <w:b w:val="0"/>
                      <w:bCs w:val="0"/>
                      <w:i w:val="0"/>
                      <w:color w:val="000000"/>
                      <w:sz w:val="18"/>
                      <w:szCs w:val="18"/>
                      <w:highlight w:val="none"/>
                      <w:u w:val="none"/>
                      <w:lang w:val="en-US" w:eastAsia="zh-CN"/>
                    </w:rPr>
                  </w:pPr>
                  <w:r>
                    <w:rPr>
                      <w:rFonts w:hint="eastAsia" w:ascii="宋体" w:hAnsi="宋体" w:eastAsia="宋体" w:cs="宋体"/>
                      <w:b w:val="0"/>
                      <w:bCs w:val="0"/>
                      <w:i w:val="0"/>
                      <w:color w:val="000000"/>
                      <w:sz w:val="18"/>
                      <w:szCs w:val="18"/>
                      <w:highlight w:val="none"/>
                      <w:u w:val="none"/>
                      <w:lang w:val="en-US" w:eastAsia="zh-CN"/>
                    </w:rPr>
                    <w:t>48.11</w:t>
                  </w:r>
                </w:p>
              </w:tc>
              <w:tc>
                <w:tcPr>
                  <w:tcW w:w="5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 xml:space="preserve">                年末结转和结余</w:t>
                  </w:r>
                </w:p>
              </w:tc>
              <w:tc>
                <w:tcPr>
                  <w:tcW w:w="58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eastAsia="zh-CN"/>
                    </w:rPr>
                  </w:pPr>
                  <w:r>
                    <w:rPr>
                      <w:rFonts w:hint="eastAsia" w:ascii="宋体" w:hAnsi="宋体" w:eastAsia="宋体" w:cs="宋体"/>
                      <w:i w:val="0"/>
                      <w:color w:val="000000"/>
                      <w:sz w:val="18"/>
                      <w:szCs w:val="18"/>
                      <w:highlight w:val="none"/>
                      <w:u w:val="none"/>
                      <w:lang w:val="en-US" w:eastAsia="zh-CN"/>
                    </w:rPr>
                    <w:t>59</w:t>
                  </w:r>
                </w:p>
              </w:tc>
              <w:tc>
                <w:tcPr>
                  <w:tcW w:w="2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宋体" w:hAnsi="宋体" w:eastAsia="宋体" w:cs="宋体"/>
                      <w:b w:val="0"/>
                      <w:bCs w:val="0"/>
                      <w:i w:val="0"/>
                      <w:color w:val="000000"/>
                      <w:sz w:val="18"/>
                      <w:szCs w:val="18"/>
                      <w:highlight w:val="none"/>
                      <w:u w:val="none"/>
                      <w:lang w:val="en-US" w:eastAsia="zh-CN"/>
                    </w:rPr>
                  </w:pPr>
                  <w:r>
                    <w:rPr>
                      <w:rFonts w:hint="eastAsia" w:ascii="宋体" w:hAnsi="宋体" w:eastAsia="宋体" w:cs="宋体"/>
                      <w:b w:val="0"/>
                      <w:bCs w:val="0"/>
                      <w:i w:val="0"/>
                      <w:color w:val="000000"/>
                      <w:sz w:val="18"/>
                      <w:szCs w:val="18"/>
                      <w:highlight w:val="none"/>
                      <w:u w:val="none"/>
                      <w:lang w:val="en-US" w:eastAsia="zh-CN"/>
                    </w:rPr>
                    <w:t>32.46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cantSplit/>
                <w:trHeight w:val="255" w:hRule="exact"/>
              </w:trPr>
              <w:tc>
                <w:tcPr>
                  <w:tcW w:w="4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总计</w:t>
                  </w: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eastAsia="zh-CN"/>
                    </w:rPr>
                  </w:pPr>
                  <w:r>
                    <w:rPr>
                      <w:rFonts w:hint="eastAsia" w:ascii="宋体" w:hAnsi="宋体" w:eastAsia="宋体" w:cs="宋体"/>
                      <w:i w:val="0"/>
                      <w:color w:val="000000"/>
                      <w:sz w:val="18"/>
                      <w:szCs w:val="18"/>
                      <w:highlight w:val="none"/>
                      <w:u w:val="none"/>
                      <w:lang w:val="en-US" w:eastAsia="zh-CN"/>
                    </w:rPr>
                    <w:t>30</w:t>
                  </w:r>
                </w:p>
              </w:tc>
              <w:tc>
                <w:tcPr>
                  <w:tcW w:w="1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宋体" w:hAnsi="宋体" w:eastAsia="宋体" w:cs="宋体"/>
                      <w:b w:val="0"/>
                      <w:bCs w:val="0"/>
                      <w:i w:val="0"/>
                      <w:color w:val="000000"/>
                      <w:sz w:val="18"/>
                      <w:szCs w:val="18"/>
                      <w:highlight w:val="none"/>
                      <w:u w:val="none"/>
                      <w:lang w:val="en-US" w:eastAsia="zh-CN"/>
                    </w:rPr>
                  </w:pPr>
                  <w:r>
                    <w:rPr>
                      <w:rFonts w:hint="eastAsia" w:ascii="宋体" w:hAnsi="宋体" w:eastAsia="宋体" w:cs="宋体"/>
                      <w:b w:val="0"/>
                      <w:bCs w:val="0"/>
                      <w:i w:val="0"/>
                      <w:color w:val="000000"/>
                      <w:sz w:val="18"/>
                      <w:szCs w:val="18"/>
                      <w:highlight w:val="none"/>
                      <w:u w:val="none"/>
                      <w:lang w:val="en-US" w:eastAsia="zh-CN"/>
                    </w:rPr>
                    <w:t>821.47</w:t>
                  </w:r>
                </w:p>
              </w:tc>
              <w:tc>
                <w:tcPr>
                  <w:tcW w:w="53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总计</w:t>
                  </w:r>
                </w:p>
              </w:tc>
              <w:tc>
                <w:tcPr>
                  <w:tcW w:w="58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eastAsia="zh-CN"/>
                    </w:rPr>
                  </w:pPr>
                  <w:r>
                    <w:rPr>
                      <w:rFonts w:hint="eastAsia" w:ascii="宋体" w:hAnsi="宋体" w:eastAsia="宋体" w:cs="宋体"/>
                      <w:i w:val="0"/>
                      <w:color w:val="000000"/>
                      <w:sz w:val="18"/>
                      <w:szCs w:val="18"/>
                      <w:highlight w:val="none"/>
                      <w:u w:val="none"/>
                      <w:lang w:val="en-US" w:eastAsia="zh-CN"/>
                    </w:rPr>
                    <w:t>60</w:t>
                  </w:r>
                </w:p>
              </w:tc>
              <w:tc>
                <w:tcPr>
                  <w:tcW w:w="2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宋体" w:hAnsi="宋体" w:eastAsia="宋体" w:cs="宋体"/>
                      <w:b w:val="0"/>
                      <w:bCs w:val="0"/>
                      <w:i w:val="0"/>
                      <w:color w:val="000000"/>
                      <w:sz w:val="18"/>
                      <w:szCs w:val="18"/>
                      <w:highlight w:val="none"/>
                      <w:u w:val="none"/>
                      <w:lang w:val="en-US" w:eastAsia="zh-CN"/>
                    </w:rPr>
                  </w:pPr>
                  <w:r>
                    <w:rPr>
                      <w:rFonts w:hint="eastAsia" w:ascii="宋体" w:hAnsi="宋体" w:eastAsia="宋体" w:cs="宋体"/>
                      <w:b w:val="0"/>
                      <w:bCs w:val="0"/>
                      <w:i w:val="0"/>
                      <w:color w:val="000000"/>
                      <w:sz w:val="18"/>
                      <w:szCs w:val="18"/>
                      <w:highlight w:val="none"/>
                      <w:u w:val="none"/>
                      <w:lang w:val="en-US" w:eastAsia="zh-CN"/>
                    </w:rPr>
                    <w:t>821.47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255" w:hRule="exact"/>
              </w:trPr>
              <w:tc>
                <w:tcPr>
                  <w:tcW w:w="15173" w:type="dxa"/>
                  <w:gridSpan w:val="7"/>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注：1.本表反映部门本年度的总收支和年末结转结余情况。</w:t>
                  </w:r>
                </w:p>
                <w:p>
                  <w:pPr>
                    <w:pStyle w:val="2"/>
                    <w:rPr>
                      <w:rFonts w:hint="eastAsia"/>
                      <w:sz w:val="18"/>
                      <w:szCs w:val="18"/>
                      <w:highlight w:val="none"/>
                      <w:lang w:val="en-US" w:eastAsia="zh-CN"/>
                    </w:rPr>
                  </w:pPr>
                </w:p>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 xml:space="preserve">    2.本套报表金额单位转换时可能存在尾数误差。</w:t>
                  </w:r>
                </w:p>
              </w:tc>
            </w:tr>
          </w:tbl>
          <w:p>
            <w:pPr>
              <w:jc w:val="center"/>
              <w:rPr>
                <w:rFonts w:ascii="华文中宋" w:hAnsi="华文中宋" w:eastAsia="华文中宋" w:cs="宋体"/>
                <w:color w:val="000000"/>
                <w:sz w:val="32"/>
                <w:szCs w:val="32"/>
                <w:highlight w:val="none"/>
              </w:rPr>
            </w:pPr>
            <w:r>
              <w:rPr>
                <w:rFonts w:hint="eastAsia" w:ascii="华文中宋" w:hAnsi="华文中宋" w:eastAsia="华文中宋"/>
                <w:color w:val="000000"/>
                <w:sz w:val="32"/>
                <w:szCs w:val="32"/>
                <w:highlight w:val="none"/>
              </w:rPr>
              <w:t>收入决算表</w:t>
            </w:r>
          </w:p>
        </w:tc>
      </w:tr>
      <w:tr>
        <w:tblPrEx>
          <w:tblLayout w:type="fixed"/>
          <w:tblCellMar>
            <w:top w:w="0" w:type="dxa"/>
            <w:left w:w="0" w:type="dxa"/>
            <w:bottom w:w="0" w:type="dxa"/>
            <w:right w:w="0" w:type="dxa"/>
          </w:tblCellMar>
        </w:tblPrEx>
        <w:trPr>
          <w:trHeight w:val="285" w:hRule="atLeast"/>
        </w:trPr>
        <w:tc>
          <w:tcPr>
            <w:tcW w:w="298"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highlight w:val="none"/>
              </w:rPr>
            </w:pPr>
            <w:r>
              <w:rPr>
                <w:rFonts w:hint="eastAsia"/>
                <w:highlight w:val="none"/>
              </w:rPr>
              <w:t>　</w:t>
            </w:r>
          </w:p>
        </w:tc>
        <w:tc>
          <w:tcPr>
            <w:tcW w:w="694"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highlight w:val="none"/>
              </w:rPr>
            </w:pPr>
            <w:r>
              <w:rPr>
                <w:rFonts w:hint="eastAsia"/>
                <w:highlight w:val="none"/>
              </w:rPr>
              <w:t>　</w:t>
            </w:r>
          </w:p>
        </w:tc>
        <w:tc>
          <w:tcPr>
            <w:tcW w:w="3739"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highlight w:val="none"/>
              </w:rPr>
            </w:pPr>
            <w:r>
              <w:rPr>
                <w:rFonts w:hint="eastAsia"/>
                <w:highlight w:val="none"/>
              </w:rPr>
              <w:t>　</w:t>
            </w:r>
          </w:p>
        </w:tc>
        <w:tc>
          <w:tcPr>
            <w:tcW w:w="1693"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highlight w:val="none"/>
              </w:rPr>
            </w:pPr>
            <w:r>
              <w:rPr>
                <w:rFonts w:hint="eastAsia"/>
                <w:highlight w:val="none"/>
              </w:rPr>
              <w:t>　</w:t>
            </w:r>
          </w:p>
        </w:tc>
        <w:tc>
          <w:tcPr>
            <w:tcW w:w="1843"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highlight w:val="none"/>
              </w:rPr>
            </w:pPr>
            <w:r>
              <w:rPr>
                <w:rFonts w:hint="eastAsia"/>
                <w:highlight w:val="none"/>
              </w:rPr>
              <w:t>　</w:t>
            </w:r>
          </w:p>
        </w:tc>
        <w:tc>
          <w:tcPr>
            <w:tcW w:w="1511"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highlight w:val="none"/>
              </w:rPr>
            </w:pPr>
            <w:r>
              <w:rPr>
                <w:rFonts w:hint="eastAsia"/>
                <w:highlight w:val="none"/>
              </w:rPr>
              <w:t>　</w:t>
            </w:r>
          </w:p>
        </w:tc>
        <w:tc>
          <w:tcPr>
            <w:tcW w:w="121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highlight w:val="none"/>
              </w:rPr>
            </w:pPr>
            <w:r>
              <w:rPr>
                <w:rFonts w:hint="eastAsia"/>
                <w:highlight w:val="none"/>
              </w:rPr>
              <w:t>　</w:t>
            </w:r>
          </w:p>
        </w:tc>
        <w:tc>
          <w:tcPr>
            <w:tcW w:w="1329"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highlight w:val="none"/>
              </w:rPr>
            </w:pPr>
            <w:r>
              <w:rPr>
                <w:rFonts w:hint="eastAsia"/>
                <w:highlight w:val="none"/>
              </w:rPr>
              <w:t>　</w:t>
            </w:r>
          </w:p>
        </w:tc>
        <w:tc>
          <w:tcPr>
            <w:tcW w:w="1864"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highlight w:val="none"/>
              </w:rPr>
            </w:pPr>
            <w:r>
              <w:rPr>
                <w:rFonts w:hint="eastAsia"/>
                <w:highlight w:val="none"/>
              </w:rPr>
              <w:t>　</w:t>
            </w:r>
          </w:p>
        </w:tc>
        <w:tc>
          <w:tcPr>
            <w:tcW w:w="1247"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000000"/>
                <w:sz w:val="20"/>
                <w:szCs w:val="20"/>
                <w:highlight w:val="none"/>
              </w:rPr>
            </w:pPr>
            <w:r>
              <w:rPr>
                <w:rFonts w:hint="eastAsia"/>
                <w:color w:val="000000"/>
                <w:sz w:val="20"/>
                <w:szCs w:val="20"/>
                <w:highlight w:val="none"/>
              </w:rPr>
              <w:t>公开02表</w:t>
            </w:r>
          </w:p>
        </w:tc>
      </w:tr>
      <w:tr>
        <w:tblPrEx>
          <w:tblLayout w:type="fixed"/>
          <w:tblCellMar>
            <w:top w:w="0" w:type="dxa"/>
            <w:left w:w="0" w:type="dxa"/>
            <w:bottom w:w="0" w:type="dxa"/>
            <w:right w:w="0" w:type="dxa"/>
          </w:tblCellMar>
        </w:tblPrEx>
        <w:trPr>
          <w:trHeight w:val="285" w:hRule="atLeast"/>
        </w:trPr>
        <w:tc>
          <w:tcPr>
            <w:tcW w:w="4731" w:type="dxa"/>
            <w:gridSpan w:val="3"/>
            <w:tcBorders>
              <w:top w:val="nil"/>
              <w:left w:val="nil"/>
              <w:bottom w:val="nil"/>
              <w:right w:val="nil"/>
            </w:tcBorders>
            <w:shd w:val="clear" w:color="000000" w:fill="FFFFFF"/>
            <w:noWrap/>
            <w:tcMar>
              <w:top w:w="15" w:type="dxa"/>
              <w:left w:w="15" w:type="dxa"/>
              <w:bottom w:w="0" w:type="dxa"/>
              <w:right w:w="15" w:type="dxa"/>
            </w:tcMar>
            <w:vAlign w:val="center"/>
          </w:tcPr>
          <w:p>
            <w:pPr>
              <w:rPr>
                <w:rFonts w:hint="default" w:ascii="宋体" w:hAnsi="宋体" w:cs="宋体" w:eastAsiaTheme="minorEastAsia"/>
                <w:color w:val="000000"/>
                <w:sz w:val="20"/>
                <w:szCs w:val="20"/>
                <w:highlight w:val="none"/>
                <w:lang w:val="en-US" w:eastAsia="zh-CN"/>
              </w:rPr>
            </w:pPr>
            <w:r>
              <w:rPr>
                <w:rFonts w:hint="eastAsia"/>
                <w:color w:val="000000"/>
                <w:sz w:val="20"/>
                <w:szCs w:val="20"/>
                <w:highlight w:val="none"/>
              </w:rPr>
              <w:t>部门：</w:t>
            </w:r>
            <w:r>
              <w:rPr>
                <w:rFonts w:hint="eastAsia"/>
                <w:color w:val="000000"/>
                <w:sz w:val="20"/>
                <w:szCs w:val="20"/>
                <w:highlight w:val="none"/>
                <w:lang w:val="en-US" w:eastAsia="zh-CN"/>
              </w:rPr>
              <w:t>湖南省农垦管理服务站</w:t>
            </w:r>
          </w:p>
          <w:p>
            <w:pPr>
              <w:jc w:val="right"/>
              <w:rPr>
                <w:rFonts w:ascii="宋体" w:hAnsi="宋体" w:eastAsia="宋体" w:cs="宋体"/>
                <w:sz w:val="24"/>
                <w:szCs w:val="24"/>
                <w:highlight w:val="none"/>
              </w:rPr>
            </w:pPr>
            <w:r>
              <w:rPr>
                <w:rFonts w:hint="eastAsia"/>
                <w:highlight w:val="none"/>
              </w:rPr>
              <w:t>　</w:t>
            </w:r>
          </w:p>
        </w:tc>
        <w:tc>
          <w:tcPr>
            <w:tcW w:w="1693"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highlight w:val="none"/>
              </w:rPr>
            </w:pPr>
            <w:r>
              <w:rPr>
                <w:rFonts w:hint="eastAsia"/>
                <w:highlight w:val="none"/>
              </w:rPr>
              <w:t>　</w:t>
            </w:r>
          </w:p>
        </w:tc>
        <w:tc>
          <w:tcPr>
            <w:tcW w:w="1843"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highlight w:val="none"/>
              </w:rPr>
            </w:pPr>
            <w:r>
              <w:rPr>
                <w:rFonts w:hint="eastAsia"/>
                <w:highlight w:val="none"/>
              </w:rPr>
              <w:t>　</w:t>
            </w:r>
          </w:p>
        </w:tc>
        <w:tc>
          <w:tcPr>
            <w:tcW w:w="1511" w:type="dxa"/>
            <w:tcBorders>
              <w:top w:val="nil"/>
              <w:left w:val="nil"/>
              <w:bottom w:val="nil"/>
              <w:right w:val="nil"/>
            </w:tcBorders>
            <w:shd w:val="clear" w:color="000000" w:fill="FFFFFF"/>
            <w:noWrap/>
            <w:tcMar>
              <w:top w:w="15" w:type="dxa"/>
              <w:left w:w="15" w:type="dxa"/>
              <w:bottom w:w="0" w:type="dxa"/>
              <w:right w:w="15" w:type="dxa"/>
            </w:tcMar>
            <w:vAlign w:val="center"/>
          </w:tcPr>
          <w:p>
            <w:pPr>
              <w:jc w:val="center"/>
              <w:rPr>
                <w:rFonts w:ascii="宋体" w:hAnsi="宋体" w:eastAsia="宋体" w:cs="宋体"/>
                <w:color w:val="000000"/>
                <w:sz w:val="20"/>
                <w:szCs w:val="20"/>
                <w:highlight w:val="none"/>
              </w:rPr>
            </w:pPr>
            <w:r>
              <w:rPr>
                <w:rFonts w:hint="eastAsia"/>
                <w:color w:val="000000"/>
                <w:sz w:val="20"/>
                <w:szCs w:val="20"/>
                <w:highlight w:val="none"/>
              </w:rPr>
              <w:t>　</w:t>
            </w:r>
          </w:p>
        </w:tc>
        <w:tc>
          <w:tcPr>
            <w:tcW w:w="121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highlight w:val="none"/>
              </w:rPr>
            </w:pPr>
            <w:r>
              <w:rPr>
                <w:rFonts w:hint="eastAsia"/>
                <w:highlight w:val="none"/>
              </w:rPr>
              <w:t>　</w:t>
            </w:r>
          </w:p>
        </w:tc>
        <w:tc>
          <w:tcPr>
            <w:tcW w:w="1329"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highlight w:val="none"/>
              </w:rPr>
            </w:pPr>
            <w:r>
              <w:rPr>
                <w:rFonts w:hint="eastAsia"/>
                <w:highlight w:val="none"/>
              </w:rPr>
              <w:t>　</w:t>
            </w:r>
          </w:p>
        </w:tc>
        <w:tc>
          <w:tcPr>
            <w:tcW w:w="1864"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highlight w:val="none"/>
              </w:rPr>
            </w:pPr>
            <w:r>
              <w:rPr>
                <w:rFonts w:hint="eastAsia"/>
                <w:highlight w:val="none"/>
              </w:rPr>
              <w:t>　</w:t>
            </w:r>
          </w:p>
        </w:tc>
        <w:tc>
          <w:tcPr>
            <w:tcW w:w="1247"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000000"/>
                <w:sz w:val="20"/>
                <w:szCs w:val="20"/>
                <w:highlight w:val="none"/>
              </w:rPr>
            </w:pPr>
            <w:r>
              <w:rPr>
                <w:rFonts w:hint="eastAsia"/>
                <w:color w:val="000000"/>
                <w:sz w:val="20"/>
                <w:szCs w:val="20"/>
                <w:highlight w:val="none"/>
              </w:rPr>
              <w:t>单位：万元</w:t>
            </w:r>
          </w:p>
        </w:tc>
      </w:tr>
      <w:tr>
        <w:tblPrEx>
          <w:tblLayout w:type="fixed"/>
          <w:tblCellMar>
            <w:top w:w="0" w:type="dxa"/>
            <w:left w:w="0" w:type="dxa"/>
            <w:bottom w:w="0" w:type="dxa"/>
            <w:right w:w="0" w:type="dxa"/>
          </w:tblCellMar>
        </w:tblPrEx>
        <w:trPr>
          <w:trHeight w:val="450" w:hRule="atLeast"/>
        </w:trPr>
        <w:tc>
          <w:tcPr>
            <w:tcW w:w="4731" w:type="dxa"/>
            <w:gridSpan w:val="3"/>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highlight w:val="none"/>
              </w:rPr>
            </w:pPr>
            <w:r>
              <w:rPr>
                <w:rFonts w:hint="eastAsia"/>
                <w:highlight w:val="none"/>
              </w:rPr>
              <w:t>项    目</w:t>
            </w:r>
          </w:p>
        </w:tc>
        <w:tc>
          <w:tcPr>
            <w:tcW w:w="1693"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highlight w:val="none"/>
              </w:rPr>
            </w:pPr>
            <w:r>
              <w:rPr>
                <w:rFonts w:hint="eastAsia"/>
                <w:highlight w:val="none"/>
              </w:rPr>
              <w:t>本年收入合计</w:t>
            </w:r>
          </w:p>
        </w:tc>
        <w:tc>
          <w:tcPr>
            <w:tcW w:w="1843"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宋体" w:hAnsi="宋体" w:eastAsia="宋体" w:cs="宋体"/>
                <w:sz w:val="24"/>
                <w:szCs w:val="24"/>
                <w:highlight w:val="none"/>
              </w:rPr>
            </w:pPr>
            <w:r>
              <w:rPr>
                <w:rFonts w:hint="eastAsia"/>
                <w:highlight w:val="none"/>
              </w:rPr>
              <w:t>财政拨款收入</w:t>
            </w:r>
          </w:p>
        </w:tc>
        <w:tc>
          <w:tcPr>
            <w:tcW w:w="1511"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highlight w:val="none"/>
              </w:rPr>
            </w:pPr>
            <w:r>
              <w:rPr>
                <w:rFonts w:hint="eastAsia"/>
                <w:highlight w:val="none"/>
              </w:rPr>
              <w:t>上级补助收入</w:t>
            </w:r>
          </w:p>
        </w:tc>
        <w:tc>
          <w:tcPr>
            <w:tcW w:w="121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highlight w:val="none"/>
              </w:rPr>
            </w:pPr>
            <w:r>
              <w:rPr>
                <w:rFonts w:hint="eastAsia"/>
                <w:highlight w:val="none"/>
              </w:rPr>
              <w:t>事业收入</w:t>
            </w:r>
          </w:p>
        </w:tc>
        <w:tc>
          <w:tcPr>
            <w:tcW w:w="1329"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highlight w:val="none"/>
              </w:rPr>
            </w:pPr>
            <w:r>
              <w:rPr>
                <w:rFonts w:hint="eastAsia"/>
                <w:highlight w:val="none"/>
              </w:rPr>
              <w:t>经营收入</w:t>
            </w:r>
          </w:p>
        </w:tc>
        <w:tc>
          <w:tcPr>
            <w:tcW w:w="1864"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highlight w:val="none"/>
              </w:rPr>
            </w:pPr>
            <w:r>
              <w:rPr>
                <w:rFonts w:hint="eastAsia"/>
                <w:highlight w:val="none"/>
              </w:rPr>
              <w:t>附属单位上缴收入</w:t>
            </w:r>
          </w:p>
        </w:tc>
        <w:tc>
          <w:tcPr>
            <w:tcW w:w="1247"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highlight w:val="none"/>
              </w:rPr>
            </w:pPr>
            <w:r>
              <w:rPr>
                <w:rFonts w:hint="eastAsia"/>
                <w:highlight w:val="none"/>
              </w:rPr>
              <w:t>其他收入</w:t>
            </w:r>
          </w:p>
        </w:tc>
      </w:tr>
      <w:tr>
        <w:tblPrEx>
          <w:tblLayout w:type="fixed"/>
          <w:tblCellMar>
            <w:top w:w="0" w:type="dxa"/>
            <w:left w:w="0" w:type="dxa"/>
            <w:bottom w:w="0" w:type="dxa"/>
            <w:right w:w="0" w:type="dxa"/>
          </w:tblCellMar>
        </w:tblPrEx>
        <w:trPr>
          <w:trHeight w:val="450" w:hRule="atLeast"/>
        </w:trPr>
        <w:tc>
          <w:tcPr>
            <w:tcW w:w="992" w:type="dxa"/>
            <w:gridSpan w:val="2"/>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highlight w:val="none"/>
              </w:rPr>
            </w:pPr>
            <w:r>
              <w:rPr>
                <w:rFonts w:hint="eastAsia"/>
                <w:highlight w:val="none"/>
              </w:rPr>
              <w:t>功能分类科目编码</w:t>
            </w:r>
          </w:p>
        </w:tc>
        <w:tc>
          <w:tcPr>
            <w:tcW w:w="3739" w:type="dxa"/>
            <w:vMerge w:val="restart"/>
            <w:tcBorders>
              <w:top w:val="nil"/>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highlight w:val="none"/>
              </w:rPr>
            </w:pPr>
            <w:r>
              <w:rPr>
                <w:rFonts w:hint="eastAsia"/>
                <w:highlight w:val="none"/>
              </w:rPr>
              <w:t>科目名称</w:t>
            </w:r>
          </w:p>
        </w:tc>
        <w:tc>
          <w:tcPr>
            <w:tcW w:w="1693"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highlight w:val="none"/>
              </w:rPr>
            </w:pPr>
          </w:p>
        </w:tc>
        <w:tc>
          <w:tcPr>
            <w:tcW w:w="1843"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highlight w:val="none"/>
              </w:rPr>
            </w:pPr>
          </w:p>
        </w:tc>
        <w:tc>
          <w:tcPr>
            <w:tcW w:w="1511"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highlight w:val="none"/>
              </w:rPr>
            </w:pPr>
          </w:p>
        </w:tc>
        <w:tc>
          <w:tcPr>
            <w:tcW w:w="121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highlight w:val="none"/>
              </w:rPr>
            </w:pPr>
          </w:p>
        </w:tc>
        <w:tc>
          <w:tcPr>
            <w:tcW w:w="1329"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highlight w:val="none"/>
              </w:rPr>
            </w:pPr>
          </w:p>
        </w:tc>
        <w:tc>
          <w:tcPr>
            <w:tcW w:w="1864"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highlight w:val="none"/>
              </w:rPr>
            </w:pPr>
          </w:p>
        </w:tc>
        <w:tc>
          <w:tcPr>
            <w:tcW w:w="1247"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highlight w:val="none"/>
              </w:rPr>
            </w:pPr>
          </w:p>
        </w:tc>
      </w:tr>
      <w:tr>
        <w:tblPrEx>
          <w:tblLayout w:type="fixed"/>
          <w:tblCellMar>
            <w:top w:w="0" w:type="dxa"/>
            <w:left w:w="0" w:type="dxa"/>
            <w:bottom w:w="0" w:type="dxa"/>
            <w:right w:w="0" w:type="dxa"/>
          </w:tblCellMar>
        </w:tblPrEx>
        <w:trPr>
          <w:trHeight w:val="450" w:hRule="atLeast"/>
        </w:trPr>
        <w:tc>
          <w:tcPr>
            <w:tcW w:w="992"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highlight w:val="none"/>
              </w:rPr>
            </w:pPr>
          </w:p>
        </w:tc>
        <w:tc>
          <w:tcPr>
            <w:tcW w:w="3739"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sz w:val="24"/>
                <w:szCs w:val="24"/>
                <w:highlight w:val="none"/>
              </w:rPr>
            </w:pPr>
          </w:p>
        </w:tc>
        <w:tc>
          <w:tcPr>
            <w:tcW w:w="1693"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highlight w:val="none"/>
              </w:rPr>
            </w:pPr>
          </w:p>
        </w:tc>
        <w:tc>
          <w:tcPr>
            <w:tcW w:w="1843"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highlight w:val="none"/>
              </w:rPr>
            </w:pPr>
          </w:p>
        </w:tc>
        <w:tc>
          <w:tcPr>
            <w:tcW w:w="1511"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highlight w:val="none"/>
              </w:rPr>
            </w:pPr>
          </w:p>
        </w:tc>
        <w:tc>
          <w:tcPr>
            <w:tcW w:w="121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highlight w:val="none"/>
              </w:rPr>
            </w:pPr>
          </w:p>
        </w:tc>
        <w:tc>
          <w:tcPr>
            <w:tcW w:w="1329"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highlight w:val="none"/>
              </w:rPr>
            </w:pPr>
          </w:p>
        </w:tc>
        <w:tc>
          <w:tcPr>
            <w:tcW w:w="1864"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highlight w:val="none"/>
              </w:rPr>
            </w:pPr>
          </w:p>
        </w:tc>
        <w:tc>
          <w:tcPr>
            <w:tcW w:w="1247"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highlight w:val="none"/>
              </w:rPr>
            </w:pPr>
          </w:p>
        </w:tc>
      </w:tr>
      <w:tr>
        <w:tblPrEx>
          <w:tblLayout w:type="fixed"/>
          <w:tblCellMar>
            <w:top w:w="0" w:type="dxa"/>
            <w:left w:w="0" w:type="dxa"/>
            <w:bottom w:w="0" w:type="dxa"/>
            <w:right w:w="0" w:type="dxa"/>
          </w:tblCellMar>
        </w:tblPrEx>
        <w:trPr>
          <w:trHeight w:val="454" w:hRule="exact"/>
        </w:trPr>
        <w:tc>
          <w:tcPr>
            <w:tcW w:w="4731"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highlight w:val="none"/>
              </w:rPr>
            </w:pPr>
            <w:r>
              <w:rPr>
                <w:rFonts w:hint="eastAsia"/>
                <w:highlight w:val="none"/>
              </w:rPr>
              <w:t>栏次</w:t>
            </w:r>
          </w:p>
        </w:tc>
        <w:tc>
          <w:tcPr>
            <w:tcW w:w="1693"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highlight w:val="none"/>
              </w:rPr>
            </w:pPr>
            <w:r>
              <w:rPr>
                <w:rFonts w:hint="eastAsia"/>
                <w:highlight w:val="none"/>
              </w:rPr>
              <w:t>1</w:t>
            </w:r>
          </w:p>
        </w:tc>
        <w:tc>
          <w:tcPr>
            <w:tcW w:w="1843"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highlight w:val="none"/>
              </w:rPr>
            </w:pPr>
            <w:r>
              <w:rPr>
                <w:rFonts w:hint="eastAsia"/>
                <w:highlight w:val="none"/>
              </w:rPr>
              <w:t>2</w:t>
            </w:r>
          </w:p>
        </w:tc>
        <w:tc>
          <w:tcPr>
            <w:tcW w:w="1511"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highlight w:val="none"/>
              </w:rPr>
            </w:pPr>
            <w:r>
              <w:rPr>
                <w:rFonts w:hint="eastAsia"/>
                <w:highlight w:val="none"/>
              </w:rPr>
              <w:t>3</w:t>
            </w:r>
          </w:p>
        </w:tc>
        <w:tc>
          <w:tcPr>
            <w:tcW w:w="121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highlight w:val="none"/>
              </w:rPr>
            </w:pPr>
            <w:r>
              <w:rPr>
                <w:rFonts w:hint="eastAsia"/>
                <w:highlight w:val="none"/>
              </w:rPr>
              <w:t>4</w:t>
            </w:r>
          </w:p>
        </w:tc>
        <w:tc>
          <w:tcPr>
            <w:tcW w:w="132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highlight w:val="none"/>
              </w:rPr>
            </w:pPr>
            <w:r>
              <w:rPr>
                <w:rFonts w:hint="eastAsia"/>
                <w:highlight w:val="none"/>
              </w:rPr>
              <w:t>5</w:t>
            </w:r>
          </w:p>
        </w:tc>
        <w:tc>
          <w:tcPr>
            <w:tcW w:w="1864"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highlight w:val="none"/>
              </w:rPr>
            </w:pPr>
            <w:r>
              <w:rPr>
                <w:rFonts w:hint="eastAsia"/>
                <w:highlight w:val="none"/>
              </w:rPr>
              <w:t>6</w:t>
            </w:r>
          </w:p>
        </w:tc>
        <w:tc>
          <w:tcPr>
            <w:tcW w:w="1247"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highlight w:val="none"/>
              </w:rPr>
            </w:pPr>
            <w:r>
              <w:rPr>
                <w:rFonts w:hint="eastAsia"/>
                <w:highlight w:val="none"/>
              </w:rPr>
              <w:t>7</w:t>
            </w:r>
          </w:p>
        </w:tc>
      </w:tr>
      <w:tr>
        <w:tblPrEx>
          <w:tblLayout w:type="fixed"/>
          <w:tblCellMar>
            <w:top w:w="0" w:type="dxa"/>
            <w:left w:w="0" w:type="dxa"/>
            <w:bottom w:w="0" w:type="dxa"/>
            <w:right w:w="0" w:type="dxa"/>
          </w:tblCellMar>
        </w:tblPrEx>
        <w:trPr>
          <w:trHeight w:val="454" w:hRule="exact"/>
        </w:trPr>
        <w:tc>
          <w:tcPr>
            <w:tcW w:w="4731"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highlight w:val="none"/>
              </w:rPr>
            </w:pPr>
            <w:r>
              <w:rPr>
                <w:rFonts w:hint="eastAsia"/>
                <w:highlight w:val="none"/>
              </w:rPr>
              <w:t>合计</w:t>
            </w:r>
          </w:p>
        </w:tc>
        <w:tc>
          <w:tcPr>
            <w:tcW w:w="169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highlight w:val="none"/>
              </w:rPr>
            </w:pPr>
            <w:r>
              <w:rPr>
                <w:rFonts w:hint="eastAsia"/>
                <w:highlight w:val="none"/>
                <w:lang w:val="en-US" w:eastAsia="zh-CN"/>
              </w:rPr>
              <w:t>773.15</w:t>
            </w:r>
            <w:r>
              <w:rPr>
                <w:rFonts w:hint="eastAsia"/>
                <w:highlight w:val="none"/>
              </w:rPr>
              <w:t>　</w:t>
            </w:r>
          </w:p>
        </w:tc>
        <w:tc>
          <w:tcPr>
            <w:tcW w:w="184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highlight w:val="none"/>
              </w:rPr>
            </w:pPr>
            <w:r>
              <w:rPr>
                <w:rFonts w:hint="eastAsia"/>
                <w:highlight w:val="none"/>
                <w:lang w:val="en-US" w:eastAsia="zh-CN"/>
              </w:rPr>
              <w:t>773.12</w:t>
            </w:r>
            <w:r>
              <w:rPr>
                <w:rFonts w:hint="eastAsia"/>
                <w:highlight w:val="none"/>
              </w:rPr>
              <w:t>　</w:t>
            </w:r>
          </w:p>
        </w:tc>
        <w:tc>
          <w:tcPr>
            <w:tcW w:w="151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highlight w:val="none"/>
              </w:rPr>
            </w:pPr>
            <w:r>
              <w:rPr>
                <w:rFonts w:hint="eastAsia"/>
                <w:highlight w:val="none"/>
              </w:rPr>
              <w:t>　</w:t>
            </w:r>
          </w:p>
        </w:tc>
        <w:tc>
          <w:tcPr>
            <w:tcW w:w="121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highlight w:val="none"/>
              </w:rPr>
            </w:pPr>
            <w:r>
              <w:rPr>
                <w:rFonts w:hint="eastAsia"/>
                <w:highlight w:val="none"/>
              </w:rPr>
              <w:t>　</w:t>
            </w:r>
          </w:p>
        </w:tc>
        <w:tc>
          <w:tcPr>
            <w:tcW w:w="132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highlight w:val="none"/>
              </w:rPr>
            </w:pPr>
            <w:r>
              <w:rPr>
                <w:rFonts w:hint="eastAsia"/>
                <w:highlight w:val="none"/>
              </w:rPr>
              <w:t>　</w:t>
            </w:r>
          </w:p>
        </w:tc>
        <w:tc>
          <w:tcPr>
            <w:tcW w:w="186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highlight w:val="none"/>
              </w:rPr>
            </w:pPr>
            <w:r>
              <w:rPr>
                <w:rFonts w:hint="eastAsia"/>
                <w:highlight w:val="none"/>
              </w:rPr>
              <w:t>　</w:t>
            </w:r>
          </w:p>
        </w:tc>
        <w:tc>
          <w:tcPr>
            <w:tcW w:w="124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highlight w:val="none"/>
              </w:rPr>
            </w:pPr>
            <w:r>
              <w:rPr>
                <w:rFonts w:hint="eastAsia"/>
                <w:highlight w:val="none"/>
                <w:lang w:val="en-US" w:eastAsia="zh-CN"/>
              </w:rPr>
              <w:t>0.03</w:t>
            </w:r>
            <w:r>
              <w:rPr>
                <w:rFonts w:hint="eastAsia"/>
                <w:highlight w:val="none"/>
              </w:rPr>
              <w:t>　</w:t>
            </w:r>
          </w:p>
        </w:tc>
      </w:tr>
      <w:tr>
        <w:tblPrEx>
          <w:tblLayout w:type="fixed"/>
          <w:tblCellMar>
            <w:top w:w="0" w:type="dxa"/>
            <w:left w:w="0" w:type="dxa"/>
            <w:bottom w:w="0" w:type="dxa"/>
            <w:right w:w="0" w:type="dxa"/>
          </w:tblCellMar>
        </w:tblPrEx>
        <w:trPr>
          <w:trHeight w:val="454" w:hRule="exact"/>
        </w:trPr>
        <w:tc>
          <w:tcPr>
            <w:tcW w:w="992"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default" w:eastAsiaTheme="minorEastAsia"/>
                <w:highlight w:val="none"/>
                <w:lang w:val="en-US" w:eastAsia="zh-CN"/>
              </w:rPr>
            </w:pPr>
            <w:r>
              <w:rPr>
                <w:rFonts w:hint="eastAsia"/>
                <w:highlight w:val="none"/>
                <w:lang w:val="en-US" w:eastAsia="zh-CN"/>
              </w:rPr>
              <w:t>201</w:t>
            </w:r>
          </w:p>
        </w:tc>
        <w:tc>
          <w:tcPr>
            <w:tcW w:w="373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default" w:eastAsiaTheme="minorEastAsia"/>
                <w:highlight w:val="none"/>
                <w:lang w:val="en-US" w:eastAsia="zh-CN"/>
              </w:rPr>
            </w:pPr>
            <w:r>
              <w:rPr>
                <w:rFonts w:hint="eastAsia"/>
                <w:highlight w:val="none"/>
                <w:lang w:val="en-US" w:eastAsia="zh-CN"/>
              </w:rPr>
              <w:t>一般公共服务支出</w:t>
            </w:r>
          </w:p>
        </w:tc>
        <w:tc>
          <w:tcPr>
            <w:tcW w:w="169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highlight w:val="none"/>
                <w:lang w:val="en-US" w:eastAsia="zh-CN"/>
              </w:rPr>
            </w:pPr>
            <w:r>
              <w:rPr>
                <w:rFonts w:hint="eastAsia"/>
                <w:highlight w:val="none"/>
                <w:lang w:val="en-US" w:eastAsia="zh-CN"/>
              </w:rPr>
              <w:t>30.00</w:t>
            </w:r>
          </w:p>
        </w:tc>
        <w:tc>
          <w:tcPr>
            <w:tcW w:w="184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highlight w:val="none"/>
                <w:lang w:val="en-US" w:eastAsia="zh-CN"/>
              </w:rPr>
            </w:pPr>
            <w:r>
              <w:rPr>
                <w:rFonts w:hint="eastAsia"/>
                <w:highlight w:val="none"/>
                <w:lang w:val="en-US" w:eastAsia="zh-CN"/>
              </w:rPr>
              <w:t>30.00</w:t>
            </w:r>
          </w:p>
        </w:tc>
        <w:tc>
          <w:tcPr>
            <w:tcW w:w="151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highlight w:val="none"/>
              </w:rPr>
            </w:pPr>
          </w:p>
        </w:tc>
        <w:tc>
          <w:tcPr>
            <w:tcW w:w="121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highlight w:val="none"/>
              </w:rPr>
            </w:pPr>
          </w:p>
        </w:tc>
        <w:tc>
          <w:tcPr>
            <w:tcW w:w="132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highlight w:val="none"/>
              </w:rPr>
            </w:pPr>
          </w:p>
        </w:tc>
        <w:tc>
          <w:tcPr>
            <w:tcW w:w="186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highlight w:val="none"/>
              </w:rPr>
            </w:pPr>
          </w:p>
        </w:tc>
        <w:tc>
          <w:tcPr>
            <w:tcW w:w="124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highlight w:val="none"/>
              </w:rPr>
            </w:pPr>
          </w:p>
        </w:tc>
      </w:tr>
      <w:tr>
        <w:tblPrEx>
          <w:tblLayout w:type="fixed"/>
          <w:tblCellMar>
            <w:top w:w="0" w:type="dxa"/>
            <w:left w:w="0" w:type="dxa"/>
            <w:bottom w:w="0" w:type="dxa"/>
            <w:right w:w="0" w:type="dxa"/>
          </w:tblCellMar>
        </w:tblPrEx>
        <w:trPr>
          <w:trHeight w:val="454" w:hRule="exact"/>
        </w:trPr>
        <w:tc>
          <w:tcPr>
            <w:tcW w:w="992"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default" w:eastAsiaTheme="minorEastAsia"/>
                <w:highlight w:val="none"/>
                <w:lang w:val="en-US" w:eastAsia="zh-CN"/>
              </w:rPr>
            </w:pPr>
            <w:r>
              <w:rPr>
                <w:rFonts w:hint="eastAsia"/>
                <w:highlight w:val="none"/>
                <w:lang w:val="en-US" w:eastAsia="zh-CN"/>
              </w:rPr>
              <w:t>20106</w:t>
            </w:r>
          </w:p>
        </w:tc>
        <w:tc>
          <w:tcPr>
            <w:tcW w:w="373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default" w:eastAsiaTheme="minorEastAsia"/>
                <w:highlight w:val="none"/>
                <w:lang w:val="en-US" w:eastAsia="zh-CN"/>
              </w:rPr>
            </w:pPr>
            <w:r>
              <w:rPr>
                <w:rFonts w:hint="eastAsia"/>
                <w:highlight w:val="none"/>
                <w:lang w:val="en-US" w:eastAsia="zh-CN"/>
              </w:rPr>
              <w:t>财政事务</w:t>
            </w:r>
          </w:p>
        </w:tc>
        <w:tc>
          <w:tcPr>
            <w:tcW w:w="169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highlight w:val="none"/>
                <w:lang w:val="en-US" w:eastAsia="zh-CN"/>
              </w:rPr>
            </w:pPr>
            <w:r>
              <w:rPr>
                <w:rFonts w:hint="eastAsia"/>
                <w:highlight w:val="none"/>
                <w:lang w:val="en-US" w:eastAsia="zh-CN"/>
              </w:rPr>
              <w:t>30.00</w:t>
            </w:r>
          </w:p>
        </w:tc>
        <w:tc>
          <w:tcPr>
            <w:tcW w:w="184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highlight w:val="none"/>
                <w:lang w:val="en-US" w:eastAsia="zh-CN"/>
              </w:rPr>
            </w:pPr>
            <w:r>
              <w:rPr>
                <w:rFonts w:hint="eastAsia"/>
                <w:highlight w:val="none"/>
                <w:lang w:val="en-US" w:eastAsia="zh-CN"/>
              </w:rPr>
              <w:t>30.00</w:t>
            </w:r>
          </w:p>
        </w:tc>
        <w:tc>
          <w:tcPr>
            <w:tcW w:w="151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highlight w:val="none"/>
              </w:rPr>
            </w:pPr>
          </w:p>
        </w:tc>
        <w:tc>
          <w:tcPr>
            <w:tcW w:w="121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highlight w:val="none"/>
              </w:rPr>
            </w:pPr>
          </w:p>
        </w:tc>
        <w:tc>
          <w:tcPr>
            <w:tcW w:w="132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highlight w:val="none"/>
              </w:rPr>
            </w:pPr>
          </w:p>
        </w:tc>
        <w:tc>
          <w:tcPr>
            <w:tcW w:w="186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highlight w:val="none"/>
              </w:rPr>
            </w:pPr>
          </w:p>
        </w:tc>
        <w:tc>
          <w:tcPr>
            <w:tcW w:w="124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highlight w:val="none"/>
              </w:rPr>
            </w:pPr>
          </w:p>
        </w:tc>
      </w:tr>
      <w:tr>
        <w:tblPrEx>
          <w:tblLayout w:type="fixed"/>
          <w:tblCellMar>
            <w:top w:w="0" w:type="dxa"/>
            <w:left w:w="0" w:type="dxa"/>
            <w:bottom w:w="0" w:type="dxa"/>
            <w:right w:w="0" w:type="dxa"/>
          </w:tblCellMar>
        </w:tblPrEx>
        <w:trPr>
          <w:trHeight w:val="454" w:hRule="exact"/>
        </w:trPr>
        <w:tc>
          <w:tcPr>
            <w:tcW w:w="992"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default" w:ascii="宋体" w:hAnsi="宋体" w:cs="宋体" w:eastAsiaTheme="minorEastAsia"/>
                <w:kern w:val="2"/>
                <w:sz w:val="24"/>
                <w:szCs w:val="24"/>
                <w:highlight w:val="none"/>
                <w:lang w:val="en-US" w:eastAsia="zh-CN" w:bidi="ar-SA"/>
              </w:rPr>
            </w:pPr>
            <w:r>
              <w:rPr>
                <w:rFonts w:hint="eastAsia"/>
                <w:highlight w:val="none"/>
                <w:lang w:val="en-US" w:eastAsia="zh-CN"/>
              </w:rPr>
              <w:t>2010699</w:t>
            </w:r>
          </w:p>
        </w:tc>
        <w:tc>
          <w:tcPr>
            <w:tcW w:w="373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default" w:ascii="宋体" w:hAnsi="宋体" w:cs="宋体" w:eastAsiaTheme="minorEastAsia"/>
                <w:kern w:val="2"/>
                <w:sz w:val="24"/>
                <w:szCs w:val="24"/>
                <w:highlight w:val="none"/>
                <w:lang w:val="en-US" w:eastAsia="zh-CN" w:bidi="ar-SA"/>
              </w:rPr>
            </w:pPr>
            <w:r>
              <w:rPr>
                <w:rFonts w:hint="eastAsia"/>
                <w:highlight w:val="none"/>
                <w:lang w:val="en-US" w:eastAsia="zh-CN"/>
              </w:rPr>
              <w:t>其他财政事务支出</w:t>
            </w:r>
          </w:p>
        </w:tc>
        <w:tc>
          <w:tcPr>
            <w:tcW w:w="169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华文中宋" w:hAnsi="华文中宋" w:eastAsia="华文中宋" w:cs="宋体"/>
                <w:kern w:val="2"/>
                <w:sz w:val="24"/>
                <w:szCs w:val="24"/>
                <w:highlight w:val="none"/>
                <w:lang w:val="en-US" w:eastAsia="zh-CN" w:bidi="ar-SA"/>
              </w:rPr>
            </w:pPr>
            <w:r>
              <w:rPr>
                <w:rFonts w:hint="eastAsia" w:ascii="华文中宋" w:hAnsi="华文中宋" w:eastAsia="华文中宋"/>
                <w:highlight w:val="none"/>
                <w:lang w:val="en-US" w:eastAsia="zh-CN"/>
              </w:rPr>
              <w:t>30.00</w:t>
            </w:r>
            <w:r>
              <w:rPr>
                <w:rFonts w:hint="eastAsia" w:ascii="华文中宋" w:hAnsi="华文中宋" w:eastAsia="华文中宋"/>
                <w:highlight w:val="none"/>
              </w:rPr>
              <w:t>　</w:t>
            </w:r>
          </w:p>
        </w:tc>
        <w:tc>
          <w:tcPr>
            <w:tcW w:w="184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kern w:val="2"/>
                <w:sz w:val="24"/>
                <w:szCs w:val="24"/>
                <w:highlight w:val="none"/>
                <w:lang w:val="en-US" w:eastAsia="zh-CN" w:bidi="ar-SA"/>
              </w:rPr>
            </w:pPr>
            <w:r>
              <w:rPr>
                <w:rFonts w:hint="eastAsia"/>
                <w:highlight w:val="none"/>
                <w:lang w:val="en-US" w:eastAsia="zh-CN"/>
              </w:rPr>
              <w:t>30.00</w:t>
            </w:r>
            <w:r>
              <w:rPr>
                <w:rFonts w:hint="eastAsia"/>
                <w:highlight w:val="none"/>
              </w:rPr>
              <w:t>　</w:t>
            </w:r>
          </w:p>
        </w:tc>
        <w:tc>
          <w:tcPr>
            <w:tcW w:w="151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highlight w:val="none"/>
              </w:rPr>
            </w:pPr>
            <w:r>
              <w:rPr>
                <w:rFonts w:hint="eastAsia"/>
                <w:highlight w:val="none"/>
              </w:rPr>
              <w:t>　</w:t>
            </w:r>
          </w:p>
        </w:tc>
        <w:tc>
          <w:tcPr>
            <w:tcW w:w="121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highlight w:val="none"/>
              </w:rPr>
            </w:pPr>
            <w:r>
              <w:rPr>
                <w:rFonts w:hint="eastAsia"/>
                <w:highlight w:val="none"/>
              </w:rPr>
              <w:t>　</w:t>
            </w:r>
          </w:p>
        </w:tc>
        <w:tc>
          <w:tcPr>
            <w:tcW w:w="132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highlight w:val="none"/>
              </w:rPr>
            </w:pPr>
            <w:r>
              <w:rPr>
                <w:rFonts w:hint="eastAsia"/>
                <w:highlight w:val="none"/>
              </w:rPr>
              <w:t>　</w:t>
            </w:r>
          </w:p>
        </w:tc>
        <w:tc>
          <w:tcPr>
            <w:tcW w:w="186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highlight w:val="none"/>
              </w:rPr>
            </w:pPr>
            <w:r>
              <w:rPr>
                <w:rFonts w:hint="eastAsia"/>
                <w:highlight w:val="none"/>
              </w:rPr>
              <w:t>　</w:t>
            </w:r>
          </w:p>
        </w:tc>
        <w:tc>
          <w:tcPr>
            <w:tcW w:w="124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highlight w:val="none"/>
              </w:rPr>
            </w:pPr>
            <w:r>
              <w:rPr>
                <w:rFonts w:hint="eastAsia"/>
                <w:highlight w:val="none"/>
              </w:rPr>
              <w:t>　</w:t>
            </w:r>
          </w:p>
        </w:tc>
      </w:tr>
      <w:tr>
        <w:tblPrEx>
          <w:tblLayout w:type="fixed"/>
          <w:tblCellMar>
            <w:top w:w="0" w:type="dxa"/>
            <w:left w:w="0" w:type="dxa"/>
            <w:bottom w:w="0" w:type="dxa"/>
            <w:right w:w="0" w:type="dxa"/>
          </w:tblCellMar>
        </w:tblPrEx>
        <w:trPr>
          <w:trHeight w:val="454" w:hRule="exact"/>
        </w:trPr>
        <w:tc>
          <w:tcPr>
            <w:tcW w:w="992"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default" w:ascii="宋体" w:hAnsi="宋体" w:cs="宋体" w:eastAsiaTheme="minorEastAsia"/>
                <w:sz w:val="24"/>
                <w:szCs w:val="24"/>
                <w:highlight w:val="none"/>
                <w:lang w:val="en-US" w:eastAsia="zh-CN"/>
              </w:rPr>
            </w:pPr>
            <w:r>
              <w:rPr>
                <w:rFonts w:hint="eastAsia"/>
                <w:highlight w:val="none"/>
                <w:lang w:val="en-US" w:eastAsia="zh-CN"/>
              </w:rPr>
              <w:t>208</w:t>
            </w:r>
          </w:p>
        </w:tc>
        <w:tc>
          <w:tcPr>
            <w:tcW w:w="373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default" w:ascii="宋体" w:hAnsi="宋体" w:cs="宋体" w:eastAsiaTheme="minorEastAsia"/>
                <w:sz w:val="24"/>
                <w:szCs w:val="24"/>
                <w:highlight w:val="none"/>
                <w:lang w:val="en-US" w:eastAsia="zh-CN"/>
              </w:rPr>
            </w:pPr>
            <w:r>
              <w:rPr>
                <w:rFonts w:hint="eastAsia"/>
                <w:highlight w:val="none"/>
                <w:lang w:val="en-US" w:eastAsia="zh-CN"/>
              </w:rPr>
              <w:t>社会保障和就业支出</w:t>
            </w:r>
          </w:p>
        </w:tc>
        <w:tc>
          <w:tcPr>
            <w:tcW w:w="169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华文中宋" w:hAnsi="华文中宋" w:eastAsia="华文中宋" w:cs="宋体"/>
                <w:sz w:val="24"/>
                <w:szCs w:val="24"/>
                <w:highlight w:val="none"/>
              </w:rPr>
            </w:pPr>
            <w:r>
              <w:rPr>
                <w:rFonts w:hint="eastAsia" w:ascii="华文中宋" w:hAnsi="华文中宋" w:eastAsia="华文中宋"/>
                <w:highlight w:val="none"/>
                <w:lang w:val="en-US" w:eastAsia="zh-CN"/>
              </w:rPr>
              <w:t>157.89</w:t>
            </w:r>
            <w:r>
              <w:rPr>
                <w:rFonts w:hint="eastAsia" w:ascii="华文中宋" w:hAnsi="华文中宋" w:eastAsia="华文中宋"/>
                <w:highlight w:val="none"/>
              </w:rPr>
              <w:t>　</w:t>
            </w:r>
          </w:p>
        </w:tc>
        <w:tc>
          <w:tcPr>
            <w:tcW w:w="184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highlight w:val="none"/>
              </w:rPr>
            </w:pPr>
            <w:r>
              <w:rPr>
                <w:rFonts w:hint="eastAsia"/>
                <w:highlight w:val="none"/>
                <w:lang w:val="en-US" w:eastAsia="zh-CN"/>
              </w:rPr>
              <w:t>157.89</w:t>
            </w:r>
            <w:r>
              <w:rPr>
                <w:rFonts w:hint="eastAsia"/>
                <w:highlight w:val="none"/>
              </w:rPr>
              <w:t>　</w:t>
            </w:r>
          </w:p>
        </w:tc>
        <w:tc>
          <w:tcPr>
            <w:tcW w:w="151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highlight w:val="none"/>
              </w:rPr>
            </w:pPr>
            <w:r>
              <w:rPr>
                <w:rFonts w:hint="eastAsia"/>
                <w:highlight w:val="none"/>
              </w:rPr>
              <w:t>　</w:t>
            </w:r>
          </w:p>
        </w:tc>
        <w:tc>
          <w:tcPr>
            <w:tcW w:w="121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highlight w:val="none"/>
              </w:rPr>
            </w:pPr>
            <w:r>
              <w:rPr>
                <w:rFonts w:hint="eastAsia"/>
                <w:highlight w:val="none"/>
              </w:rPr>
              <w:t>　</w:t>
            </w:r>
          </w:p>
        </w:tc>
        <w:tc>
          <w:tcPr>
            <w:tcW w:w="132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highlight w:val="none"/>
              </w:rPr>
            </w:pPr>
            <w:r>
              <w:rPr>
                <w:rFonts w:hint="eastAsia"/>
                <w:highlight w:val="none"/>
              </w:rPr>
              <w:t>　</w:t>
            </w:r>
          </w:p>
        </w:tc>
        <w:tc>
          <w:tcPr>
            <w:tcW w:w="186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highlight w:val="none"/>
              </w:rPr>
            </w:pPr>
            <w:r>
              <w:rPr>
                <w:rFonts w:hint="eastAsia"/>
                <w:highlight w:val="none"/>
              </w:rPr>
              <w:t>　</w:t>
            </w:r>
          </w:p>
        </w:tc>
        <w:tc>
          <w:tcPr>
            <w:tcW w:w="124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highlight w:val="none"/>
              </w:rPr>
            </w:pPr>
            <w:r>
              <w:rPr>
                <w:rFonts w:hint="eastAsia"/>
                <w:highlight w:val="none"/>
              </w:rPr>
              <w:t>　</w:t>
            </w:r>
          </w:p>
        </w:tc>
      </w:tr>
      <w:tr>
        <w:tblPrEx>
          <w:tblLayout w:type="fixed"/>
          <w:tblCellMar>
            <w:top w:w="0" w:type="dxa"/>
            <w:left w:w="0" w:type="dxa"/>
            <w:bottom w:w="0" w:type="dxa"/>
            <w:right w:w="0" w:type="dxa"/>
          </w:tblCellMar>
        </w:tblPrEx>
        <w:trPr>
          <w:trHeight w:val="454" w:hRule="exact"/>
        </w:trPr>
        <w:tc>
          <w:tcPr>
            <w:tcW w:w="992"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default" w:ascii="宋体" w:hAnsi="宋体" w:cs="宋体" w:eastAsiaTheme="minorEastAsia"/>
                <w:kern w:val="2"/>
                <w:sz w:val="24"/>
                <w:szCs w:val="24"/>
                <w:highlight w:val="none"/>
                <w:lang w:val="en-US" w:eastAsia="zh-CN" w:bidi="ar-SA"/>
              </w:rPr>
            </w:pPr>
            <w:r>
              <w:rPr>
                <w:rFonts w:hint="eastAsia"/>
                <w:highlight w:val="none"/>
                <w:lang w:val="en-US" w:eastAsia="zh-CN"/>
              </w:rPr>
              <w:t>20805</w:t>
            </w:r>
          </w:p>
        </w:tc>
        <w:tc>
          <w:tcPr>
            <w:tcW w:w="373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default" w:ascii="宋体" w:hAnsi="宋体" w:cs="宋体" w:eastAsiaTheme="minorEastAsia"/>
                <w:kern w:val="2"/>
                <w:sz w:val="24"/>
                <w:szCs w:val="24"/>
                <w:highlight w:val="none"/>
                <w:lang w:val="en-US" w:eastAsia="zh-CN" w:bidi="ar-SA"/>
              </w:rPr>
            </w:pPr>
            <w:r>
              <w:rPr>
                <w:rFonts w:hint="eastAsia"/>
                <w:highlight w:val="none"/>
                <w:lang w:val="en-US" w:eastAsia="zh-CN"/>
              </w:rPr>
              <w:t>行政事业单位养老支出</w:t>
            </w:r>
          </w:p>
        </w:tc>
        <w:tc>
          <w:tcPr>
            <w:tcW w:w="169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kern w:val="2"/>
                <w:sz w:val="24"/>
                <w:szCs w:val="24"/>
                <w:highlight w:val="none"/>
                <w:lang w:val="en-US" w:eastAsia="zh-CN" w:bidi="ar-SA"/>
              </w:rPr>
            </w:pPr>
            <w:r>
              <w:rPr>
                <w:rFonts w:hint="eastAsia"/>
                <w:highlight w:val="none"/>
                <w:lang w:val="en-US" w:eastAsia="zh-CN"/>
              </w:rPr>
              <w:t>95.60</w:t>
            </w:r>
            <w:r>
              <w:rPr>
                <w:rFonts w:hint="eastAsia"/>
                <w:highlight w:val="none"/>
              </w:rPr>
              <w:t>　</w:t>
            </w:r>
          </w:p>
        </w:tc>
        <w:tc>
          <w:tcPr>
            <w:tcW w:w="184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kern w:val="2"/>
                <w:sz w:val="24"/>
                <w:szCs w:val="24"/>
                <w:highlight w:val="none"/>
                <w:lang w:val="en-US" w:eastAsia="zh-CN" w:bidi="ar-SA"/>
              </w:rPr>
            </w:pPr>
            <w:r>
              <w:rPr>
                <w:rFonts w:hint="eastAsia"/>
                <w:highlight w:val="none"/>
                <w:lang w:val="en-US" w:eastAsia="zh-CN"/>
              </w:rPr>
              <w:t>95.60</w:t>
            </w:r>
            <w:r>
              <w:rPr>
                <w:rFonts w:hint="eastAsia"/>
                <w:highlight w:val="none"/>
              </w:rPr>
              <w:t>　</w:t>
            </w:r>
          </w:p>
        </w:tc>
        <w:tc>
          <w:tcPr>
            <w:tcW w:w="151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highlight w:val="none"/>
              </w:rPr>
            </w:pPr>
          </w:p>
        </w:tc>
        <w:tc>
          <w:tcPr>
            <w:tcW w:w="121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highlight w:val="none"/>
              </w:rPr>
            </w:pPr>
          </w:p>
        </w:tc>
        <w:tc>
          <w:tcPr>
            <w:tcW w:w="132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highlight w:val="none"/>
              </w:rPr>
            </w:pPr>
          </w:p>
        </w:tc>
        <w:tc>
          <w:tcPr>
            <w:tcW w:w="186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highlight w:val="none"/>
              </w:rPr>
            </w:pPr>
          </w:p>
        </w:tc>
        <w:tc>
          <w:tcPr>
            <w:tcW w:w="124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highlight w:val="none"/>
              </w:rPr>
            </w:pPr>
          </w:p>
        </w:tc>
      </w:tr>
      <w:tr>
        <w:tblPrEx>
          <w:tblLayout w:type="fixed"/>
          <w:tblCellMar>
            <w:top w:w="0" w:type="dxa"/>
            <w:left w:w="0" w:type="dxa"/>
            <w:bottom w:w="0" w:type="dxa"/>
            <w:right w:w="0" w:type="dxa"/>
          </w:tblCellMar>
        </w:tblPrEx>
        <w:trPr>
          <w:trHeight w:val="454" w:hRule="exact"/>
        </w:trPr>
        <w:tc>
          <w:tcPr>
            <w:tcW w:w="992"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default" w:ascii="宋体" w:hAnsi="宋体" w:cs="宋体" w:eastAsiaTheme="minorEastAsia"/>
                <w:sz w:val="24"/>
                <w:szCs w:val="24"/>
                <w:highlight w:val="none"/>
                <w:lang w:val="en-US" w:eastAsia="zh-CN"/>
              </w:rPr>
            </w:pPr>
            <w:r>
              <w:rPr>
                <w:rFonts w:hint="eastAsia"/>
                <w:highlight w:val="none"/>
                <w:lang w:val="en-US" w:eastAsia="zh-CN"/>
              </w:rPr>
              <w:t>2080505</w:t>
            </w:r>
          </w:p>
        </w:tc>
        <w:tc>
          <w:tcPr>
            <w:tcW w:w="373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default" w:ascii="宋体" w:hAnsi="宋体" w:cs="宋体" w:eastAsiaTheme="minorEastAsia"/>
                <w:sz w:val="24"/>
                <w:szCs w:val="24"/>
                <w:highlight w:val="none"/>
                <w:lang w:val="en-US" w:eastAsia="zh-CN"/>
              </w:rPr>
            </w:pPr>
            <w:r>
              <w:rPr>
                <w:rFonts w:hint="eastAsia"/>
                <w:highlight w:val="none"/>
                <w:lang w:val="en-US" w:eastAsia="zh-CN"/>
              </w:rPr>
              <w:t>机关事业单位基本养老保险缴费支出</w:t>
            </w:r>
          </w:p>
        </w:tc>
        <w:tc>
          <w:tcPr>
            <w:tcW w:w="169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highlight w:val="none"/>
              </w:rPr>
            </w:pPr>
            <w:r>
              <w:rPr>
                <w:rFonts w:hint="eastAsia"/>
                <w:highlight w:val="none"/>
                <w:lang w:val="en-US" w:eastAsia="zh-CN"/>
              </w:rPr>
              <w:t>95.60</w:t>
            </w:r>
            <w:r>
              <w:rPr>
                <w:rFonts w:hint="eastAsia"/>
                <w:highlight w:val="none"/>
              </w:rPr>
              <w:t>　</w:t>
            </w:r>
          </w:p>
        </w:tc>
        <w:tc>
          <w:tcPr>
            <w:tcW w:w="184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highlight w:val="none"/>
              </w:rPr>
            </w:pPr>
            <w:r>
              <w:rPr>
                <w:rFonts w:hint="eastAsia"/>
                <w:highlight w:val="none"/>
                <w:lang w:val="en-US" w:eastAsia="zh-CN"/>
              </w:rPr>
              <w:t>95.60</w:t>
            </w:r>
            <w:r>
              <w:rPr>
                <w:rFonts w:hint="eastAsia"/>
                <w:highlight w:val="none"/>
              </w:rPr>
              <w:t>　</w:t>
            </w:r>
          </w:p>
        </w:tc>
        <w:tc>
          <w:tcPr>
            <w:tcW w:w="151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highlight w:val="none"/>
              </w:rPr>
            </w:pPr>
            <w:r>
              <w:rPr>
                <w:rFonts w:hint="eastAsia"/>
                <w:highlight w:val="none"/>
              </w:rPr>
              <w:t>　</w:t>
            </w:r>
          </w:p>
        </w:tc>
        <w:tc>
          <w:tcPr>
            <w:tcW w:w="121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highlight w:val="none"/>
              </w:rPr>
            </w:pPr>
            <w:r>
              <w:rPr>
                <w:rFonts w:hint="eastAsia"/>
                <w:highlight w:val="none"/>
              </w:rPr>
              <w:t>　</w:t>
            </w:r>
          </w:p>
        </w:tc>
        <w:tc>
          <w:tcPr>
            <w:tcW w:w="132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highlight w:val="none"/>
              </w:rPr>
            </w:pPr>
            <w:r>
              <w:rPr>
                <w:rFonts w:hint="eastAsia"/>
                <w:highlight w:val="none"/>
              </w:rPr>
              <w:t>　</w:t>
            </w:r>
          </w:p>
        </w:tc>
        <w:tc>
          <w:tcPr>
            <w:tcW w:w="186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highlight w:val="none"/>
              </w:rPr>
            </w:pPr>
            <w:r>
              <w:rPr>
                <w:rFonts w:hint="eastAsia"/>
                <w:highlight w:val="none"/>
              </w:rPr>
              <w:t>　</w:t>
            </w:r>
          </w:p>
        </w:tc>
        <w:tc>
          <w:tcPr>
            <w:tcW w:w="124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highlight w:val="none"/>
              </w:rPr>
            </w:pPr>
            <w:r>
              <w:rPr>
                <w:rFonts w:hint="eastAsia"/>
                <w:highlight w:val="none"/>
              </w:rPr>
              <w:t>　</w:t>
            </w:r>
          </w:p>
        </w:tc>
      </w:tr>
      <w:tr>
        <w:tblPrEx>
          <w:tblLayout w:type="fixed"/>
          <w:tblCellMar>
            <w:top w:w="0" w:type="dxa"/>
            <w:left w:w="0" w:type="dxa"/>
            <w:bottom w:w="0" w:type="dxa"/>
            <w:right w:w="0" w:type="dxa"/>
          </w:tblCellMar>
        </w:tblPrEx>
        <w:trPr>
          <w:trHeight w:val="454" w:hRule="exact"/>
        </w:trPr>
        <w:tc>
          <w:tcPr>
            <w:tcW w:w="992"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default" w:eastAsiaTheme="minorEastAsia"/>
                <w:highlight w:val="none"/>
                <w:lang w:val="en-US" w:eastAsia="zh-CN"/>
              </w:rPr>
            </w:pPr>
            <w:r>
              <w:rPr>
                <w:rFonts w:hint="eastAsia"/>
                <w:highlight w:val="none"/>
                <w:lang w:val="en-US" w:eastAsia="zh-CN"/>
              </w:rPr>
              <w:t>20808</w:t>
            </w:r>
          </w:p>
        </w:tc>
        <w:tc>
          <w:tcPr>
            <w:tcW w:w="373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eastAsiaTheme="minorEastAsia"/>
                <w:highlight w:val="none"/>
                <w:lang w:val="en-US" w:eastAsia="zh-CN"/>
              </w:rPr>
            </w:pPr>
            <w:r>
              <w:rPr>
                <w:rFonts w:hint="eastAsia"/>
                <w:highlight w:val="none"/>
                <w:lang w:val="en-US" w:eastAsia="zh-CN"/>
              </w:rPr>
              <w:t>抚恤</w:t>
            </w:r>
          </w:p>
        </w:tc>
        <w:tc>
          <w:tcPr>
            <w:tcW w:w="169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highlight w:val="none"/>
                <w:lang w:val="en-US" w:eastAsia="zh-CN"/>
              </w:rPr>
            </w:pPr>
            <w:r>
              <w:rPr>
                <w:rFonts w:hint="eastAsia"/>
                <w:highlight w:val="none"/>
                <w:lang w:val="en-US" w:eastAsia="zh-CN"/>
              </w:rPr>
              <w:t>62.29</w:t>
            </w:r>
          </w:p>
        </w:tc>
        <w:tc>
          <w:tcPr>
            <w:tcW w:w="184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highlight w:val="none"/>
                <w:lang w:val="en-US" w:eastAsia="zh-CN"/>
              </w:rPr>
            </w:pPr>
            <w:r>
              <w:rPr>
                <w:rFonts w:hint="eastAsia"/>
                <w:highlight w:val="none"/>
                <w:lang w:val="en-US" w:eastAsia="zh-CN"/>
              </w:rPr>
              <w:t>62.29</w:t>
            </w:r>
          </w:p>
        </w:tc>
        <w:tc>
          <w:tcPr>
            <w:tcW w:w="151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highlight w:val="none"/>
              </w:rPr>
            </w:pPr>
          </w:p>
        </w:tc>
        <w:tc>
          <w:tcPr>
            <w:tcW w:w="121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highlight w:val="none"/>
              </w:rPr>
            </w:pPr>
          </w:p>
        </w:tc>
        <w:tc>
          <w:tcPr>
            <w:tcW w:w="132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highlight w:val="none"/>
              </w:rPr>
            </w:pPr>
          </w:p>
        </w:tc>
        <w:tc>
          <w:tcPr>
            <w:tcW w:w="186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highlight w:val="none"/>
              </w:rPr>
            </w:pPr>
          </w:p>
        </w:tc>
        <w:tc>
          <w:tcPr>
            <w:tcW w:w="124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highlight w:val="none"/>
              </w:rPr>
            </w:pPr>
          </w:p>
        </w:tc>
      </w:tr>
      <w:tr>
        <w:tblPrEx>
          <w:tblLayout w:type="fixed"/>
          <w:tblCellMar>
            <w:top w:w="0" w:type="dxa"/>
            <w:left w:w="0" w:type="dxa"/>
            <w:bottom w:w="0" w:type="dxa"/>
            <w:right w:w="0" w:type="dxa"/>
          </w:tblCellMar>
        </w:tblPrEx>
        <w:trPr>
          <w:trHeight w:val="454" w:hRule="exact"/>
        </w:trPr>
        <w:tc>
          <w:tcPr>
            <w:tcW w:w="992"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宋体" w:hAnsi="宋体" w:cs="宋体" w:eastAsiaTheme="minorEastAsia"/>
                <w:kern w:val="2"/>
                <w:sz w:val="24"/>
                <w:szCs w:val="24"/>
                <w:highlight w:val="none"/>
                <w:lang w:val="en-US" w:eastAsia="zh-CN" w:bidi="ar-SA"/>
              </w:rPr>
            </w:pPr>
            <w:r>
              <w:rPr>
                <w:rFonts w:hint="eastAsia"/>
                <w:highlight w:val="none"/>
                <w:lang w:val="en-US" w:eastAsia="zh-CN"/>
              </w:rPr>
              <w:t>2080801</w:t>
            </w:r>
          </w:p>
        </w:tc>
        <w:tc>
          <w:tcPr>
            <w:tcW w:w="373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宋体" w:hAnsi="宋体" w:cs="宋体" w:eastAsiaTheme="minorEastAsia"/>
                <w:kern w:val="2"/>
                <w:sz w:val="24"/>
                <w:szCs w:val="24"/>
                <w:highlight w:val="none"/>
                <w:lang w:val="en-US" w:eastAsia="zh-CN" w:bidi="ar-SA"/>
              </w:rPr>
            </w:pPr>
            <w:r>
              <w:rPr>
                <w:rFonts w:hint="eastAsia"/>
                <w:highlight w:val="none"/>
                <w:lang w:val="en-US" w:eastAsia="zh-CN"/>
              </w:rPr>
              <w:t>死亡抚恤</w:t>
            </w:r>
          </w:p>
        </w:tc>
        <w:tc>
          <w:tcPr>
            <w:tcW w:w="169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kern w:val="2"/>
                <w:sz w:val="24"/>
                <w:szCs w:val="24"/>
                <w:highlight w:val="none"/>
                <w:lang w:val="en-US" w:eastAsia="zh-CN" w:bidi="ar-SA"/>
              </w:rPr>
            </w:pPr>
            <w:r>
              <w:rPr>
                <w:rFonts w:hint="eastAsia"/>
                <w:highlight w:val="none"/>
                <w:lang w:val="en-US" w:eastAsia="zh-CN"/>
              </w:rPr>
              <w:t>62.29</w:t>
            </w:r>
            <w:r>
              <w:rPr>
                <w:rFonts w:hint="eastAsia"/>
                <w:highlight w:val="none"/>
              </w:rPr>
              <w:t>　</w:t>
            </w:r>
          </w:p>
        </w:tc>
        <w:tc>
          <w:tcPr>
            <w:tcW w:w="184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kern w:val="2"/>
                <w:sz w:val="24"/>
                <w:szCs w:val="24"/>
                <w:highlight w:val="none"/>
                <w:lang w:val="en-US" w:eastAsia="zh-CN" w:bidi="ar-SA"/>
              </w:rPr>
            </w:pPr>
            <w:r>
              <w:rPr>
                <w:rFonts w:hint="eastAsia"/>
                <w:highlight w:val="none"/>
                <w:lang w:val="en-US" w:eastAsia="zh-CN"/>
              </w:rPr>
              <w:t>62.29</w:t>
            </w:r>
            <w:r>
              <w:rPr>
                <w:rFonts w:hint="eastAsia"/>
                <w:highlight w:val="none"/>
              </w:rPr>
              <w:t>　</w:t>
            </w:r>
          </w:p>
        </w:tc>
        <w:tc>
          <w:tcPr>
            <w:tcW w:w="151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highlight w:val="none"/>
              </w:rPr>
            </w:pPr>
          </w:p>
        </w:tc>
        <w:tc>
          <w:tcPr>
            <w:tcW w:w="121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highlight w:val="none"/>
              </w:rPr>
            </w:pPr>
          </w:p>
        </w:tc>
        <w:tc>
          <w:tcPr>
            <w:tcW w:w="132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highlight w:val="none"/>
              </w:rPr>
            </w:pPr>
          </w:p>
        </w:tc>
        <w:tc>
          <w:tcPr>
            <w:tcW w:w="186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highlight w:val="none"/>
              </w:rPr>
            </w:pPr>
          </w:p>
        </w:tc>
        <w:tc>
          <w:tcPr>
            <w:tcW w:w="124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highlight w:val="none"/>
              </w:rPr>
            </w:pPr>
          </w:p>
        </w:tc>
      </w:tr>
      <w:tr>
        <w:tblPrEx>
          <w:tblLayout w:type="fixed"/>
          <w:tblCellMar>
            <w:top w:w="0" w:type="dxa"/>
            <w:left w:w="0" w:type="dxa"/>
            <w:bottom w:w="0" w:type="dxa"/>
            <w:right w:w="0" w:type="dxa"/>
          </w:tblCellMar>
        </w:tblPrEx>
        <w:trPr>
          <w:trHeight w:val="454" w:hRule="exact"/>
        </w:trPr>
        <w:tc>
          <w:tcPr>
            <w:tcW w:w="992"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default" w:eastAsiaTheme="minorEastAsia"/>
                <w:highlight w:val="none"/>
                <w:lang w:val="en-US" w:eastAsia="zh-CN"/>
              </w:rPr>
            </w:pPr>
            <w:r>
              <w:rPr>
                <w:rFonts w:hint="eastAsia"/>
                <w:highlight w:val="none"/>
                <w:lang w:val="en-US" w:eastAsia="zh-CN"/>
              </w:rPr>
              <w:t>213</w:t>
            </w:r>
          </w:p>
        </w:tc>
        <w:tc>
          <w:tcPr>
            <w:tcW w:w="373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default" w:eastAsiaTheme="minorEastAsia"/>
                <w:highlight w:val="none"/>
                <w:lang w:val="en-US" w:eastAsia="zh-CN"/>
              </w:rPr>
            </w:pPr>
            <w:r>
              <w:rPr>
                <w:rFonts w:hint="eastAsia"/>
                <w:highlight w:val="none"/>
                <w:lang w:val="en-US" w:eastAsia="zh-CN"/>
              </w:rPr>
              <w:t>农林水支出</w:t>
            </w:r>
          </w:p>
        </w:tc>
        <w:tc>
          <w:tcPr>
            <w:tcW w:w="169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highlight w:val="none"/>
                <w:lang w:val="en-US" w:eastAsia="zh-CN"/>
              </w:rPr>
            </w:pPr>
            <w:r>
              <w:rPr>
                <w:rFonts w:hint="eastAsia"/>
                <w:highlight w:val="none"/>
                <w:lang w:val="en-US" w:eastAsia="zh-CN"/>
              </w:rPr>
              <w:t>585.26</w:t>
            </w:r>
          </w:p>
        </w:tc>
        <w:tc>
          <w:tcPr>
            <w:tcW w:w="184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highlight w:val="none"/>
                <w:lang w:val="en-US" w:eastAsia="zh-CN"/>
              </w:rPr>
            </w:pPr>
            <w:r>
              <w:rPr>
                <w:rFonts w:hint="eastAsia"/>
                <w:highlight w:val="none"/>
                <w:lang w:val="en-US" w:eastAsia="zh-CN"/>
              </w:rPr>
              <w:t>585.23</w:t>
            </w:r>
          </w:p>
        </w:tc>
        <w:tc>
          <w:tcPr>
            <w:tcW w:w="151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highlight w:val="none"/>
              </w:rPr>
            </w:pPr>
          </w:p>
        </w:tc>
        <w:tc>
          <w:tcPr>
            <w:tcW w:w="121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highlight w:val="none"/>
              </w:rPr>
            </w:pPr>
          </w:p>
        </w:tc>
        <w:tc>
          <w:tcPr>
            <w:tcW w:w="132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highlight w:val="none"/>
              </w:rPr>
            </w:pPr>
          </w:p>
        </w:tc>
        <w:tc>
          <w:tcPr>
            <w:tcW w:w="186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highlight w:val="none"/>
              </w:rPr>
            </w:pPr>
          </w:p>
        </w:tc>
        <w:tc>
          <w:tcPr>
            <w:tcW w:w="124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eastAsiaTheme="minorEastAsia"/>
                <w:highlight w:val="none"/>
                <w:lang w:val="en-US" w:eastAsia="zh-CN"/>
              </w:rPr>
            </w:pPr>
            <w:r>
              <w:rPr>
                <w:rFonts w:hint="eastAsia"/>
                <w:highlight w:val="none"/>
                <w:lang w:val="en-US" w:eastAsia="zh-CN"/>
              </w:rPr>
              <w:t>0.03</w:t>
            </w:r>
          </w:p>
        </w:tc>
      </w:tr>
      <w:tr>
        <w:tblPrEx>
          <w:tblLayout w:type="fixed"/>
          <w:tblCellMar>
            <w:top w:w="0" w:type="dxa"/>
            <w:left w:w="0" w:type="dxa"/>
            <w:bottom w:w="0" w:type="dxa"/>
            <w:right w:w="0" w:type="dxa"/>
          </w:tblCellMar>
        </w:tblPrEx>
        <w:trPr>
          <w:trHeight w:val="454" w:hRule="exact"/>
        </w:trPr>
        <w:tc>
          <w:tcPr>
            <w:tcW w:w="992"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default" w:eastAsiaTheme="minorEastAsia"/>
                <w:highlight w:val="none"/>
                <w:lang w:val="en-US" w:eastAsia="zh-CN"/>
              </w:rPr>
            </w:pPr>
            <w:r>
              <w:rPr>
                <w:rFonts w:hint="eastAsia"/>
                <w:highlight w:val="none"/>
                <w:lang w:val="en-US" w:eastAsia="zh-CN"/>
              </w:rPr>
              <w:t>21301</w:t>
            </w:r>
          </w:p>
        </w:tc>
        <w:tc>
          <w:tcPr>
            <w:tcW w:w="373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default" w:eastAsiaTheme="minorEastAsia"/>
                <w:highlight w:val="none"/>
                <w:lang w:val="en-US" w:eastAsia="zh-CN"/>
              </w:rPr>
            </w:pPr>
            <w:r>
              <w:rPr>
                <w:rFonts w:hint="eastAsia"/>
                <w:highlight w:val="none"/>
                <w:lang w:val="en-US" w:eastAsia="zh-CN"/>
              </w:rPr>
              <w:t>农业农村</w:t>
            </w:r>
          </w:p>
        </w:tc>
        <w:tc>
          <w:tcPr>
            <w:tcW w:w="169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highlight w:val="none"/>
                <w:lang w:val="en-US" w:eastAsia="zh-CN"/>
              </w:rPr>
            </w:pPr>
            <w:r>
              <w:rPr>
                <w:rFonts w:hint="eastAsia"/>
                <w:highlight w:val="none"/>
                <w:lang w:val="en-US" w:eastAsia="zh-CN"/>
              </w:rPr>
              <w:t>585.26</w:t>
            </w:r>
          </w:p>
        </w:tc>
        <w:tc>
          <w:tcPr>
            <w:tcW w:w="184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highlight w:val="none"/>
                <w:lang w:val="en-US" w:eastAsia="zh-CN"/>
              </w:rPr>
            </w:pPr>
            <w:r>
              <w:rPr>
                <w:rFonts w:hint="eastAsia"/>
                <w:highlight w:val="none"/>
                <w:lang w:val="en-US" w:eastAsia="zh-CN"/>
              </w:rPr>
              <w:t>585.23</w:t>
            </w:r>
          </w:p>
        </w:tc>
        <w:tc>
          <w:tcPr>
            <w:tcW w:w="151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highlight w:val="none"/>
              </w:rPr>
            </w:pPr>
          </w:p>
        </w:tc>
        <w:tc>
          <w:tcPr>
            <w:tcW w:w="121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highlight w:val="none"/>
              </w:rPr>
            </w:pPr>
          </w:p>
        </w:tc>
        <w:tc>
          <w:tcPr>
            <w:tcW w:w="132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highlight w:val="none"/>
              </w:rPr>
            </w:pPr>
          </w:p>
        </w:tc>
        <w:tc>
          <w:tcPr>
            <w:tcW w:w="186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highlight w:val="none"/>
              </w:rPr>
            </w:pPr>
          </w:p>
        </w:tc>
        <w:tc>
          <w:tcPr>
            <w:tcW w:w="124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lang w:val="en-US" w:eastAsia="zh-CN"/>
              </w:rPr>
            </w:pPr>
            <w:r>
              <w:rPr>
                <w:rFonts w:hint="eastAsia"/>
                <w:highlight w:val="none"/>
                <w:lang w:val="en-US" w:eastAsia="zh-CN"/>
              </w:rPr>
              <w:t>0.03</w:t>
            </w:r>
          </w:p>
        </w:tc>
      </w:tr>
      <w:tr>
        <w:tblPrEx>
          <w:tblLayout w:type="fixed"/>
          <w:tblCellMar>
            <w:top w:w="0" w:type="dxa"/>
            <w:left w:w="0" w:type="dxa"/>
            <w:bottom w:w="0" w:type="dxa"/>
            <w:right w:w="0" w:type="dxa"/>
          </w:tblCellMar>
        </w:tblPrEx>
        <w:trPr>
          <w:trHeight w:val="454" w:hRule="exact"/>
        </w:trPr>
        <w:tc>
          <w:tcPr>
            <w:tcW w:w="992"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default" w:ascii="宋体" w:hAnsi="宋体" w:cs="宋体" w:eastAsiaTheme="minorEastAsia"/>
                <w:sz w:val="24"/>
                <w:szCs w:val="24"/>
                <w:highlight w:val="none"/>
                <w:lang w:val="en-US" w:eastAsia="zh-CN"/>
              </w:rPr>
            </w:pPr>
            <w:r>
              <w:rPr>
                <w:rFonts w:hint="eastAsia"/>
                <w:highlight w:val="none"/>
                <w:lang w:val="en-US" w:eastAsia="zh-CN"/>
              </w:rPr>
              <w:t>2130101</w:t>
            </w:r>
          </w:p>
        </w:tc>
        <w:tc>
          <w:tcPr>
            <w:tcW w:w="373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default" w:ascii="宋体" w:hAnsi="宋体" w:cs="宋体" w:eastAsiaTheme="minorEastAsia"/>
                <w:sz w:val="24"/>
                <w:szCs w:val="24"/>
                <w:highlight w:val="none"/>
                <w:lang w:val="en-US" w:eastAsia="zh-CN"/>
              </w:rPr>
            </w:pPr>
            <w:r>
              <w:rPr>
                <w:rFonts w:hint="eastAsia"/>
                <w:highlight w:val="none"/>
                <w:lang w:val="en-US" w:eastAsia="zh-CN"/>
              </w:rPr>
              <w:t>行政运行</w:t>
            </w:r>
          </w:p>
        </w:tc>
        <w:tc>
          <w:tcPr>
            <w:tcW w:w="169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highlight w:val="none"/>
              </w:rPr>
            </w:pPr>
            <w:r>
              <w:rPr>
                <w:rFonts w:hint="eastAsia"/>
                <w:highlight w:val="none"/>
                <w:lang w:val="en-US" w:eastAsia="zh-CN"/>
              </w:rPr>
              <w:t>548.85</w:t>
            </w:r>
            <w:r>
              <w:rPr>
                <w:rFonts w:hint="eastAsia"/>
                <w:highlight w:val="none"/>
              </w:rPr>
              <w:t>　</w:t>
            </w:r>
          </w:p>
        </w:tc>
        <w:tc>
          <w:tcPr>
            <w:tcW w:w="184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highlight w:val="none"/>
              </w:rPr>
            </w:pPr>
            <w:r>
              <w:rPr>
                <w:rFonts w:hint="eastAsia"/>
                <w:highlight w:val="none"/>
                <w:lang w:val="en-US" w:eastAsia="zh-CN"/>
              </w:rPr>
              <w:t>548.82</w:t>
            </w:r>
            <w:r>
              <w:rPr>
                <w:rFonts w:hint="eastAsia"/>
                <w:highlight w:val="none"/>
              </w:rPr>
              <w:t>　</w:t>
            </w:r>
          </w:p>
        </w:tc>
        <w:tc>
          <w:tcPr>
            <w:tcW w:w="151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highlight w:val="none"/>
              </w:rPr>
            </w:pPr>
            <w:r>
              <w:rPr>
                <w:rFonts w:hint="eastAsia"/>
                <w:highlight w:val="none"/>
              </w:rPr>
              <w:t>　</w:t>
            </w:r>
          </w:p>
        </w:tc>
        <w:tc>
          <w:tcPr>
            <w:tcW w:w="121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highlight w:val="none"/>
              </w:rPr>
            </w:pPr>
            <w:r>
              <w:rPr>
                <w:rFonts w:hint="eastAsia"/>
                <w:highlight w:val="none"/>
              </w:rPr>
              <w:t>　</w:t>
            </w:r>
          </w:p>
        </w:tc>
        <w:tc>
          <w:tcPr>
            <w:tcW w:w="132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highlight w:val="none"/>
              </w:rPr>
            </w:pPr>
            <w:r>
              <w:rPr>
                <w:rFonts w:hint="eastAsia"/>
                <w:highlight w:val="none"/>
              </w:rPr>
              <w:t>　</w:t>
            </w:r>
          </w:p>
        </w:tc>
        <w:tc>
          <w:tcPr>
            <w:tcW w:w="186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highlight w:val="none"/>
              </w:rPr>
            </w:pPr>
            <w:r>
              <w:rPr>
                <w:rFonts w:hint="eastAsia"/>
                <w:highlight w:val="none"/>
              </w:rPr>
              <w:t>　</w:t>
            </w:r>
          </w:p>
        </w:tc>
        <w:tc>
          <w:tcPr>
            <w:tcW w:w="124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highlight w:val="none"/>
              </w:rPr>
            </w:pPr>
            <w:r>
              <w:rPr>
                <w:rFonts w:hint="eastAsia"/>
                <w:highlight w:val="none"/>
                <w:lang w:val="en-US" w:eastAsia="zh-CN"/>
              </w:rPr>
              <w:t>0.03</w:t>
            </w:r>
            <w:r>
              <w:rPr>
                <w:rFonts w:hint="eastAsia"/>
                <w:highlight w:val="none"/>
              </w:rPr>
              <w:t>　</w:t>
            </w:r>
          </w:p>
        </w:tc>
      </w:tr>
      <w:tr>
        <w:tblPrEx>
          <w:tblLayout w:type="fixed"/>
          <w:tblCellMar>
            <w:top w:w="0" w:type="dxa"/>
            <w:left w:w="0" w:type="dxa"/>
            <w:bottom w:w="0" w:type="dxa"/>
            <w:right w:w="0" w:type="dxa"/>
          </w:tblCellMar>
        </w:tblPrEx>
        <w:trPr>
          <w:trHeight w:val="454" w:hRule="exact"/>
        </w:trPr>
        <w:tc>
          <w:tcPr>
            <w:tcW w:w="992"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default" w:ascii="宋体" w:hAnsi="宋体" w:cs="宋体" w:eastAsiaTheme="minorEastAsia"/>
                <w:sz w:val="24"/>
                <w:szCs w:val="24"/>
                <w:highlight w:val="none"/>
                <w:lang w:val="en-US" w:eastAsia="zh-CN"/>
              </w:rPr>
            </w:pPr>
            <w:r>
              <w:rPr>
                <w:rFonts w:hint="eastAsia"/>
                <w:highlight w:val="none"/>
                <w:lang w:val="en-US" w:eastAsia="zh-CN"/>
              </w:rPr>
              <w:t>2130105</w:t>
            </w:r>
          </w:p>
        </w:tc>
        <w:tc>
          <w:tcPr>
            <w:tcW w:w="373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default" w:ascii="宋体" w:hAnsi="宋体" w:cs="宋体" w:eastAsiaTheme="minorEastAsia"/>
                <w:sz w:val="24"/>
                <w:szCs w:val="24"/>
                <w:highlight w:val="none"/>
                <w:lang w:val="en-US" w:eastAsia="zh-CN"/>
              </w:rPr>
            </w:pPr>
            <w:r>
              <w:rPr>
                <w:rFonts w:hint="eastAsia"/>
                <w:highlight w:val="none"/>
                <w:lang w:val="en-US" w:eastAsia="zh-CN"/>
              </w:rPr>
              <w:t>农垦运行</w:t>
            </w:r>
          </w:p>
        </w:tc>
        <w:tc>
          <w:tcPr>
            <w:tcW w:w="169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highlight w:val="none"/>
              </w:rPr>
            </w:pPr>
            <w:r>
              <w:rPr>
                <w:rFonts w:hint="eastAsia"/>
                <w:highlight w:val="none"/>
                <w:lang w:val="en-US" w:eastAsia="zh-CN"/>
              </w:rPr>
              <w:t>13.41</w:t>
            </w:r>
            <w:r>
              <w:rPr>
                <w:rFonts w:hint="eastAsia"/>
                <w:highlight w:val="none"/>
              </w:rPr>
              <w:t>　</w:t>
            </w:r>
          </w:p>
        </w:tc>
        <w:tc>
          <w:tcPr>
            <w:tcW w:w="184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highlight w:val="none"/>
              </w:rPr>
            </w:pPr>
            <w:r>
              <w:rPr>
                <w:rFonts w:hint="eastAsia"/>
                <w:highlight w:val="none"/>
                <w:lang w:val="en-US" w:eastAsia="zh-CN"/>
              </w:rPr>
              <w:t>13.41</w:t>
            </w:r>
            <w:r>
              <w:rPr>
                <w:rFonts w:hint="eastAsia"/>
                <w:highlight w:val="none"/>
              </w:rPr>
              <w:t>　</w:t>
            </w:r>
          </w:p>
        </w:tc>
        <w:tc>
          <w:tcPr>
            <w:tcW w:w="151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highlight w:val="none"/>
              </w:rPr>
            </w:pPr>
            <w:r>
              <w:rPr>
                <w:rFonts w:hint="eastAsia"/>
                <w:highlight w:val="none"/>
              </w:rPr>
              <w:t>　</w:t>
            </w:r>
          </w:p>
        </w:tc>
        <w:tc>
          <w:tcPr>
            <w:tcW w:w="121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highlight w:val="none"/>
              </w:rPr>
            </w:pPr>
            <w:r>
              <w:rPr>
                <w:rFonts w:hint="eastAsia"/>
                <w:highlight w:val="none"/>
              </w:rPr>
              <w:t>　</w:t>
            </w:r>
          </w:p>
        </w:tc>
        <w:tc>
          <w:tcPr>
            <w:tcW w:w="132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highlight w:val="none"/>
              </w:rPr>
            </w:pPr>
            <w:r>
              <w:rPr>
                <w:rFonts w:hint="eastAsia"/>
                <w:highlight w:val="none"/>
              </w:rPr>
              <w:t>　</w:t>
            </w:r>
          </w:p>
        </w:tc>
        <w:tc>
          <w:tcPr>
            <w:tcW w:w="186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highlight w:val="none"/>
              </w:rPr>
            </w:pPr>
            <w:r>
              <w:rPr>
                <w:rFonts w:hint="eastAsia"/>
                <w:highlight w:val="none"/>
              </w:rPr>
              <w:t>　</w:t>
            </w:r>
          </w:p>
        </w:tc>
        <w:tc>
          <w:tcPr>
            <w:tcW w:w="124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highlight w:val="none"/>
              </w:rPr>
            </w:pPr>
            <w:r>
              <w:rPr>
                <w:rFonts w:hint="eastAsia"/>
                <w:highlight w:val="none"/>
              </w:rPr>
              <w:t>　</w:t>
            </w:r>
          </w:p>
        </w:tc>
      </w:tr>
      <w:tr>
        <w:tblPrEx>
          <w:tblLayout w:type="fixed"/>
          <w:tblCellMar>
            <w:top w:w="0" w:type="dxa"/>
            <w:left w:w="0" w:type="dxa"/>
            <w:bottom w:w="0" w:type="dxa"/>
            <w:right w:w="0" w:type="dxa"/>
          </w:tblCellMar>
        </w:tblPrEx>
        <w:trPr>
          <w:trHeight w:val="454" w:hRule="exact"/>
        </w:trPr>
        <w:tc>
          <w:tcPr>
            <w:tcW w:w="992"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default" w:ascii="宋体" w:hAnsi="宋体" w:cs="宋体" w:eastAsiaTheme="minorEastAsia"/>
                <w:sz w:val="24"/>
                <w:szCs w:val="24"/>
                <w:highlight w:val="none"/>
                <w:lang w:val="en-US" w:eastAsia="zh-CN"/>
              </w:rPr>
            </w:pPr>
            <w:r>
              <w:rPr>
                <w:rFonts w:hint="eastAsia"/>
                <w:highlight w:val="none"/>
                <w:lang w:val="en-US" w:eastAsia="zh-CN"/>
              </w:rPr>
              <w:t>2130122</w:t>
            </w:r>
          </w:p>
        </w:tc>
        <w:tc>
          <w:tcPr>
            <w:tcW w:w="373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default" w:ascii="宋体" w:hAnsi="宋体" w:cs="宋体" w:eastAsiaTheme="minorEastAsia"/>
                <w:sz w:val="24"/>
                <w:szCs w:val="24"/>
                <w:highlight w:val="none"/>
                <w:lang w:val="en-US" w:eastAsia="zh-CN"/>
              </w:rPr>
            </w:pPr>
            <w:r>
              <w:rPr>
                <w:rFonts w:hint="eastAsia"/>
                <w:highlight w:val="none"/>
                <w:lang w:val="en-US" w:eastAsia="zh-CN"/>
              </w:rPr>
              <w:t>农业生产发展</w:t>
            </w:r>
          </w:p>
        </w:tc>
        <w:tc>
          <w:tcPr>
            <w:tcW w:w="169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highlight w:val="none"/>
              </w:rPr>
            </w:pPr>
            <w:r>
              <w:rPr>
                <w:rFonts w:hint="eastAsia"/>
                <w:highlight w:val="none"/>
                <w:lang w:val="en-US" w:eastAsia="zh-CN"/>
              </w:rPr>
              <w:t>23</w:t>
            </w:r>
            <w:r>
              <w:rPr>
                <w:rFonts w:hint="eastAsia"/>
                <w:highlight w:val="none"/>
              </w:rPr>
              <w:t>　</w:t>
            </w:r>
          </w:p>
        </w:tc>
        <w:tc>
          <w:tcPr>
            <w:tcW w:w="184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highlight w:val="none"/>
              </w:rPr>
            </w:pPr>
            <w:r>
              <w:rPr>
                <w:rFonts w:hint="eastAsia"/>
                <w:highlight w:val="none"/>
                <w:lang w:val="en-US" w:eastAsia="zh-CN"/>
              </w:rPr>
              <w:t>23</w:t>
            </w:r>
            <w:r>
              <w:rPr>
                <w:rFonts w:hint="eastAsia"/>
                <w:highlight w:val="none"/>
              </w:rPr>
              <w:t>　</w:t>
            </w:r>
          </w:p>
        </w:tc>
        <w:tc>
          <w:tcPr>
            <w:tcW w:w="151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highlight w:val="none"/>
              </w:rPr>
            </w:pPr>
            <w:r>
              <w:rPr>
                <w:rFonts w:hint="eastAsia"/>
                <w:highlight w:val="none"/>
              </w:rPr>
              <w:t>　</w:t>
            </w:r>
          </w:p>
        </w:tc>
        <w:tc>
          <w:tcPr>
            <w:tcW w:w="121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highlight w:val="none"/>
              </w:rPr>
            </w:pPr>
            <w:r>
              <w:rPr>
                <w:rFonts w:hint="eastAsia"/>
                <w:highlight w:val="none"/>
              </w:rPr>
              <w:t>　</w:t>
            </w:r>
          </w:p>
        </w:tc>
        <w:tc>
          <w:tcPr>
            <w:tcW w:w="132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highlight w:val="none"/>
              </w:rPr>
            </w:pPr>
            <w:r>
              <w:rPr>
                <w:rFonts w:hint="eastAsia"/>
                <w:highlight w:val="none"/>
              </w:rPr>
              <w:t>　</w:t>
            </w:r>
          </w:p>
        </w:tc>
        <w:tc>
          <w:tcPr>
            <w:tcW w:w="186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highlight w:val="none"/>
              </w:rPr>
            </w:pPr>
            <w:r>
              <w:rPr>
                <w:rFonts w:hint="eastAsia"/>
                <w:highlight w:val="none"/>
              </w:rPr>
              <w:t>　</w:t>
            </w:r>
          </w:p>
        </w:tc>
        <w:tc>
          <w:tcPr>
            <w:tcW w:w="124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highlight w:val="none"/>
              </w:rPr>
            </w:pPr>
            <w:r>
              <w:rPr>
                <w:rFonts w:hint="eastAsia"/>
                <w:highlight w:val="none"/>
              </w:rPr>
              <w:t>　</w:t>
            </w:r>
          </w:p>
        </w:tc>
      </w:tr>
      <w:tr>
        <w:tblPrEx>
          <w:tblLayout w:type="fixed"/>
          <w:tblCellMar>
            <w:top w:w="0" w:type="dxa"/>
            <w:left w:w="0" w:type="dxa"/>
            <w:bottom w:w="0" w:type="dxa"/>
            <w:right w:w="0" w:type="dxa"/>
          </w:tblCellMar>
        </w:tblPrEx>
        <w:trPr>
          <w:trHeight w:val="615" w:hRule="atLeast"/>
        </w:trPr>
        <w:tc>
          <w:tcPr>
            <w:tcW w:w="15428" w:type="dxa"/>
            <w:gridSpan w:val="10"/>
            <w:tcBorders>
              <w:top w:val="nil"/>
              <w:left w:val="nil"/>
              <w:bottom w:val="nil"/>
              <w:right w:val="nil"/>
            </w:tcBorders>
            <w:shd w:val="clear" w:color="auto" w:fill="auto"/>
            <w:tcMar>
              <w:top w:w="15" w:type="dxa"/>
              <w:left w:w="15" w:type="dxa"/>
              <w:bottom w:w="0" w:type="dxa"/>
              <w:right w:w="15" w:type="dxa"/>
            </w:tcMar>
            <w:vAlign w:val="center"/>
          </w:tcPr>
          <w:p>
            <w:pPr>
              <w:rPr>
                <w:rFonts w:ascii="宋体" w:hAnsi="宋体" w:eastAsia="宋体" w:cs="宋体"/>
                <w:sz w:val="24"/>
                <w:szCs w:val="24"/>
                <w:highlight w:val="none"/>
              </w:rPr>
            </w:pPr>
            <w:r>
              <w:rPr>
                <w:rFonts w:hint="eastAsia"/>
                <w:highlight w:val="none"/>
              </w:rPr>
              <w:t>注：本表反映部门本年度取得的各项收入情况。</w:t>
            </w:r>
          </w:p>
        </w:tc>
      </w:tr>
    </w:tbl>
    <w:p>
      <w:pPr>
        <w:widowControl/>
        <w:jc w:val="left"/>
        <w:rPr>
          <w:rFonts w:ascii="Times New Roman" w:hAnsi="Times New Roman" w:eastAsia="方正小标宋_GBK" w:cs="Times New Roman"/>
          <w:color w:val="000000"/>
          <w:kern w:val="0"/>
          <w:sz w:val="36"/>
          <w:szCs w:val="36"/>
          <w:highlight w:val="red"/>
        </w:rPr>
      </w:pPr>
      <w:r>
        <w:rPr>
          <w:rFonts w:ascii="Times New Roman" w:hAnsi="Times New Roman" w:eastAsia="黑体" w:cs="Times New Roman"/>
          <w:bCs/>
          <w:kern w:val="0"/>
          <w:sz w:val="32"/>
          <w:szCs w:val="32"/>
          <w:highlight w:val="none"/>
        </w:rPr>
        <w:t xml:space="preserve"> </w:t>
      </w:r>
    </w:p>
    <w:tbl>
      <w:tblPr>
        <w:tblStyle w:val="10"/>
        <w:tblW w:w="15640" w:type="dxa"/>
        <w:tblInd w:w="91" w:type="dxa"/>
        <w:tblLayout w:type="fixed"/>
        <w:tblCellMar>
          <w:top w:w="0" w:type="dxa"/>
          <w:left w:w="108" w:type="dxa"/>
          <w:bottom w:w="0" w:type="dxa"/>
          <w:right w:w="108" w:type="dxa"/>
        </w:tblCellMar>
      </w:tblPr>
      <w:tblGrid>
        <w:gridCol w:w="1236"/>
        <w:gridCol w:w="410"/>
        <w:gridCol w:w="4039"/>
        <w:gridCol w:w="1639"/>
        <w:gridCol w:w="1468"/>
        <w:gridCol w:w="1296"/>
        <w:gridCol w:w="1725"/>
        <w:gridCol w:w="1383"/>
        <w:gridCol w:w="2444"/>
      </w:tblGrid>
      <w:tr>
        <w:tblPrEx>
          <w:tblLayout w:type="fixed"/>
          <w:tblCellMar>
            <w:top w:w="0" w:type="dxa"/>
            <w:left w:w="108" w:type="dxa"/>
            <w:bottom w:w="0" w:type="dxa"/>
            <w:right w:w="108" w:type="dxa"/>
          </w:tblCellMar>
        </w:tblPrEx>
        <w:trPr>
          <w:trHeight w:val="807" w:hRule="atLeast"/>
        </w:trPr>
        <w:tc>
          <w:tcPr>
            <w:tcW w:w="15640" w:type="dxa"/>
            <w:gridSpan w:val="9"/>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highlight w:val="none"/>
              </w:rPr>
            </w:pPr>
            <w:r>
              <w:rPr>
                <w:rFonts w:hint="eastAsia" w:ascii="华文中宋" w:hAnsi="华文中宋" w:eastAsia="华文中宋" w:cs="宋体"/>
                <w:color w:val="000000"/>
                <w:kern w:val="0"/>
                <w:sz w:val="32"/>
                <w:szCs w:val="32"/>
                <w:highlight w:val="none"/>
              </w:rPr>
              <w:t>支出决算表</w:t>
            </w:r>
          </w:p>
        </w:tc>
      </w:tr>
      <w:tr>
        <w:tblPrEx>
          <w:tblLayout w:type="fixed"/>
          <w:tblCellMar>
            <w:top w:w="0" w:type="dxa"/>
            <w:left w:w="108" w:type="dxa"/>
            <w:bottom w:w="0" w:type="dxa"/>
            <w:right w:w="108" w:type="dxa"/>
          </w:tblCellMar>
        </w:tblPrEx>
        <w:trPr>
          <w:trHeight w:val="403" w:hRule="atLeast"/>
        </w:trPr>
        <w:tc>
          <w:tcPr>
            <w:tcW w:w="1236"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c>
          <w:tcPr>
            <w:tcW w:w="410"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c>
          <w:tcPr>
            <w:tcW w:w="4039"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c>
          <w:tcPr>
            <w:tcW w:w="1639"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c>
          <w:tcPr>
            <w:tcW w:w="1468"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c>
          <w:tcPr>
            <w:tcW w:w="1296"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c>
          <w:tcPr>
            <w:tcW w:w="172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c>
          <w:tcPr>
            <w:tcW w:w="138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c>
          <w:tcPr>
            <w:tcW w:w="2444"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highlight w:val="none"/>
              </w:rPr>
            </w:pPr>
            <w:r>
              <w:rPr>
                <w:rFonts w:hint="eastAsia" w:ascii="宋体" w:hAnsi="宋体" w:eastAsia="宋体" w:cs="宋体"/>
                <w:color w:val="000000"/>
                <w:kern w:val="0"/>
                <w:sz w:val="20"/>
                <w:szCs w:val="20"/>
                <w:highlight w:val="none"/>
              </w:rPr>
              <w:t>公开03表</w:t>
            </w:r>
          </w:p>
        </w:tc>
      </w:tr>
      <w:tr>
        <w:tblPrEx>
          <w:tblLayout w:type="fixed"/>
          <w:tblCellMar>
            <w:top w:w="0" w:type="dxa"/>
            <w:left w:w="108" w:type="dxa"/>
            <w:bottom w:w="0" w:type="dxa"/>
            <w:right w:w="108" w:type="dxa"/>
          </w:tblCellMar>
        </w:tblPrEx>
        <w:trPr>
          <w:trHeight w:val="397" w:hRule="exact"/>
        </w:trPr>
        <w:tc>
          <w:tcPr>
            <w:tcW w:w="5685" w:type="dxa"/>
            <w:gridSpan w:val="3"/>
            <w:tcBorders>
              <w:top w:val="nil"/>
              <w:left w:val="nil"/>
              <w:bottom w:val="nil"/>
              <w:right w:val="nil"/>
            </w:tcBorders>
            <w:shd w:val="clear" w:color="000000" w:fill="FFFFFF"/>
            <w:noWrap/>
            <w:vAlign w:val="center"/>
          </w:tcPr>
          <w:p>
            <w:pPr>
              <w:widowControl/>
              <w:jc w:val="left"/>
              <w:rPr>
                <w:rFonts w:hint="default" w:ascii="宋体" w:hAnsi="宋体" w:eastAsia="宋体" w:cs="宋体"/>
                <w:color w:val="000000"/>
                <w:kern w:val="0"/>
                <w:sz w:val="20"/>
                <w:szCs w:val="20"/>
                <w:highlight w:val="none"/>
                <w:lang w:val="en-US" w:eastAsia="zh-CN"/>
              </w:rPr>
            </w:pPr>
            <w:r>
              <w:rPr>
                <w:rFonts w:hint="eastAsia" w:ascii="宋体" w:hAnsi="宋体" w:eastAsia="宋体" w:cs="宋体"/>
                <w:color w:val="000000"/>
                <w:kern w:val="0"/>
                <w:sz w:val="20"/>
                <w:szCs w:val="20"/>
                <w:highlight w:val="none"/>
              </w:rPr>
              <w:t>部门：</w:t>
            </w:r>
            <w:r>
              <w:rPr>
                <w:rFonts w:hint="eastAsia" w:ascii="宋体" w:hAnsi="宋体" w:eastAsia="宋体" w:cs="宋体"/>
                <w:color w:val="000000"/>
                <w:kern w:val="0"/>
                <w:sz w:val="20"/>
                <w:szCs w:val="20"/>
                <w:highlight w:val="none"/>
                <w:lang w:val="en-US" w:eastAsia="zh-CN"/>
              </w:rPr>
              <w:t>湖南省农垦管理服务站</w:t>
            </w:r>
          </w:p>
          <w:p>
            <w:pPr>
              <w:widowControl/>
              <w:jc w:val="right"/>
              <w:rPr>
                <w:rFonts w:ascii="宋体" w:hAnsi="宋体" w:eastAsia="宋体" w:cs="宋体"/>
                <w:kern w:val="0"/>
                <w:sz w:val="24"/>
                <w:szCs w:val="24"/>
                <w:highlight w:val="none"/>
              </w:rPr>
            </w:pPr>
            <w:r>
              <w:rPr>
                <w:rFonts w:hint="eastAsia" w:ascii="宋体" w:hAnsi="宋体" w:eastAsia="宋体" w:cs="宋体"/>
                <w:kern w:val="0"/>
                <w:sz w:val="24"/>
                <w:szCs w:val="24"/>
                <w:highlight w:val="none"/>
              </w:rPr>
              <w:t>　</w:t>
            </w:r>
          </w:p>
          <w:p>
            <w:pPr>
              <w:widowControl/>
              <w:jc w:val="right"/>
              <w:rPr>
                <w:rFonts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c>
          <w:tcPr>
            <w:tcW w:w="1639"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c>
          <w:tcPr>
            <w:tcW w:w="1468"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c>
          <w:tcPr>
            <w:tcW w:w="1296" w:type="dxa"/>
            <w:tcBorders>
              <w:top w:val="nil"/>
              <w:left w:val="nil"/>
              <w:bottom w:val="nil"/>
              <w:right w:val="nil"/>
            </w:tcBorders>
            <w:shd w:val="clear" w:color="000000" w:fill="FFFFFF"/>
            <w:noWrap/>
            <w:vAlign w:val="center"/>
          </w:tcPr>
          <w:p>
            <w:pPr>
              <w:widowControl/>
              <w:jc w:val="center"/>
              <w:rPr>
                <w:rFonts w:ascii="宋体" w:hAnsi="宋体" w:eastAsia="宋体" w:cs="宋体"/>
                <w:color w:val="000000"/>
                <w:kern w:val="0"/>
                <w:sz w:val="20"/>
                <w:szCs w:val="20"/>
                <w:highlight w:val="none"/>
              </w:rPr>
            </w:pPr>
            <w:r>
              <w:rPr>
                <w:rFonts w:hint="eastAsia" w:ascii="宋体" w:hAnsi="宋体" w:eastAsia="宋体" w:cs="宋体"/>
                <w:color w:val="000000"/>
                <w:kern w:val="0"/>
                <w:sz w:val="20"/>
                <w:szCs w:val="20"/>
                <w:highlight w:val="none"/>
              </w:rPr>
              <w:t>　</w:t>
            </w:r>
          </w:p>
        </w:tc>
        <w:tc>
          <w:tcPr>
            <w:tcW w:w="172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c>
          <w:tcPr>
            <w:tcW w:w="138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c>
          <w:tcPr>
            <w:tcW w:w="2444"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highlight w:val="none"/>
              </w:rPr>
            </w:pPr>
            <w:r>
              <w:rPr>
                <w:rFonts w:hint="eastAsia" w:ascii="宋体" w:hAnsi="宋体" w:eastAsia="宋体" w:cs="宋体"/>
                <w:color w:val="000000"/>
                <w:kern w:val="0"/>
                <w:sz w:val="20"/>
                <w:szCs w:val="20"/>
                <w:highlight w:val="none"/>
              </w:rPr>
              <w:t>单位：万元</w:t>
            </w:r>
          </w:p>
        </w:tc>
      </w:tr>
      <w:tr>
        <w:tblPrEx>
          <w:tblLayout w:type="fixed"/>
          <w:tblCellMar>
            <w:top w:w="0" w:type="dxa"/>
            <w:left w:w="108" w:type="dxa"/>
            <w:bottom w:w="0" w:type="dxa"/>
            <w:right w:w="108" w:type="dxa"/>
          </w:tblCellMar>
        </w:tblPrEx>
        <w:trPr>
          <w:trHeight w:val="397" w:hRule="exact"/>
        </w:trPr>
        <w:tc>
          <w:tcPr>
            <w:tcW w:w="5685" w:type="dxa"/>
            <w:gridSpan w:val="3"/>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highlight w:val="none"/>
              </w:rPr>
            </w:pPr>
            <w:r>
              <w:rPr>
                <w:rFonts w:hint="eastAsia" w:ascii="宋体" w:hAnsi="宋体" w:eastAsia="宋体" w:cs="宋体"/>
                <w:kern w:val="0"/>
                <w:sz w:val="24"/>
                <w:szCs w:val="24"/>
                <w:highlight w:val="none"/>
              </w:rPr>
              <w:t>项    目</w:t>
            </w:r>
          </w:p>
        </w:tc>
        <w:tc>
          <w:tcPr>
            <w:tcW w:w="1639"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highlight w:val="none"/>
              </w:rPr>
            </w:pPr>
            <w:r>
              <w:rPr>
                <w:rFonts w:hint="eastAsia" w:ascii="宋体" w:hAnsi="宋体" w:eastAsia="宋体" w:cs="宋体"/>
                <w:kern w:val="0"/>
                <w:sz w:val="24"/>
                <w:szCs w:val="24"/>
                <w:highlight w:val="none"/>
              </w:rPr>
              <w:t>本年支出合计</w:t>
            </w:r>
          </w:p>
        </w:tc>
        <w:tc>
          <w:tcPr>
            <w:tcW w:w="1468"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highlight w:val="none"/>
              </w:rPr>
            </w:pPr>
            <w:r>
              <w:rPr>
                <w:rFonts w:hint="eastAsia" w:ascii="宋体" w:hAnsi="宋体" w:eastAsia="宋体" w:cs="宋体"/>
                <w:kern w:val="0"/>
                <w:sz w:val="24"/>
                <w:szCs w:val="24"/>
                <w:highlight w:val="none"/>
              </w:rPr>
              <w:t>基本支出</w:t>
            </w:r>
          </w:p>
        </w:tc>
        <w:tc>
          <w:tcPr>
            <w:tcW w:w="1296"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highlight w:val="none"/>
              </w:rPr>
            </w:pPr>
            <w:r>
              <w:rPr>
                <w:rFonts w:hint="eastAsia" w:ascii="宋体" w:hAnsi="宋体" w:eastAsia="宋体" w:cs="宋体"/>
                <w:kern w:val="0"/>
                <w:sz w:val="24"/>
                <w:szCs w:val="24"/>
                <w:highlight w:val="none"/>
              </w:rPr>
              <w:t>项目支出</w:t>
            </w:r>
          </w:p>
        </w:tc>
        <w:tc>
          <w:tcPr>
            <w:tcW w:w="1725"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highlight w:val="none"/>
              </w:rPr>
            </w:pPr>
            <w:r>
              <w:rPr>
                <w:rFonts w:hint="eastAsia" w:ascii="宋体" w:hAnsi="宋体" w:eastAsia="宋体" w:cs="宋体"/>
                <w:kern w:val="0"/>
                <w:sz w:val="24"/>
                <w:szCs w:val="24"/>
                <w:highlight w:val="none"/>
              </w:rPr>
              <w:t>上缴上级支出</w:t>
            </w:r>
          </w:p>
        </w:tc>
        <w:tc>
          <w:tcPr>
            <w:tcW w:w="1383"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highlight w:val="none"/>
              </w:rPr>
            </w:pPr>
            <w:r>
              <w:rPr>
                <w:rFonts w:hint="eastAsia" w:ascii="宋体" w:hAnsi="宋体" w:eastAsia="宋体" w:cs="宋体"/>
                <w:kern w:val="0"/>
                <w:sz w:val="24"/>
                <w:szCs w:val="24"/>
                <w:highlight w:val="none"/>
              </w:rPr>
              <w:t>经营支出</w:t>
            </w:r>
          </w:p>
        </w:tc>
        <w:tc>
          <w:tcPr>
            <w:tcW w:w="244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highlight w:val="none"/>
              </w:rPr>
            </w:pPr>
            <w:r>
              <w:rPr>
                <w:rFonts w:hint="eastAsia" w:ascii="宋体" w:hAnsi="宋体" w:eastAsia="宋体" w:cs="宋体"/>
                <w:kern w:val="0"/>
                <w:sz w:val="24"/>
                <w:szCs w:val="24"/>
                <w:highlight w:val="none"/>
              </w:rPr>
              <w:t>对附属单位补助支出</w:t>
            </w:r>
          </w:p>
        </w:tc>
      </w:tr>
      <w:tr>
        <w:tblPrEx>
          <w:tblLayout w:type="fixed"/>
          <w:tblCellMar>
            <w:top w:w="0" w:type="dxa"/>
            <w:left w:w="108" w:type="dxa"/>
            <w:bottom w:w="0" w:type="dxa"/>
            <w:right w:w="108" w:type="dxa"/>
          </w:tblCellMar>
        </w:tblPrEx>
        <w:trPr>
          <w:trHeight w:val="397" w:hRule="exact"/>
        </w:trPr>
        <w:tc>
          <w:tcPr>
            <w:tcW w:w="1646" w:type="dxa"/>
            <w:gridSpan w:val="2"/>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highlight w:val="none"/>
              </w:rPr>
            </w:pPr>
            <w:r>
              <w:rPr>
                <w:rFonts w:hint="eastAsia" w:ascii="宋体" w:hAnsi="宋体" w:eastAsia="宋体" w:cs="宋体"/>
                <w:kern w:val="0"/>
                <w:sz w:val="24"/>
                <w:szCs w:val="24"/>
                <w:highlight w:val="none"/>
              </w:rPr>
              <w:t>功能分类科目编码</w:t>
            </w:r>
          </w:p>
        </w:tc>
        <w:tc>
          <w:tcPr>
            <w:tcW w:w="4039"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highlight w:val="none"/>
              </w:rPr>
            </w:pPr>
            <w:r>
              <w:rPr>
                <w:rFonts w:hint="eastAsia" w:ascii="宋体" w:hAnsi="宋体" w:eastAsia="宋体" w:cs="宋体"/>
                <w:kern w:val="0"/>
                <w:sz w:val="24"/>
                <w:szCs w:val="24"/>
                <w:highlight w:val="none"/>
              </w:rPr>
              <w:t>科目名称</w:t>
            </w:r>
          </w:p>
        </w:tc>
        <w:tc>
          <w:tcPr>
            <w:tcW w:w="163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highlight w:val="none"/>
              </w:rPr>
            </w:pPr>
          </w:p>
        </w:tc>
        <w:tc>
          <w:tcPr>
            <w:tcW w:w="146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highlight w:val="none"/>
              </w:rPr>
            </w:pPr>
          </w:p>
        </w:tc>
        <w:tc>
          <w:tcPr>
            <w:tcW w:w="129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highlight w:val="none"/>
              </w:rPr>
            </w:pPr>
          </w:p>
        </w:tc>
        <w:tc>
          <w:tcPr>
            <w:tcW w:w="172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highlight w:val="none"/>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highlight w:val="none"/>
              </w:rPr>
            </w:pPr>
          </w:p>
        </w:tc>
        <w:tc>
          <w:tcPr>
            <w:tcW w:w="24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highlight w:val="none"/>
              </w:rPr>
            </w:pPr>
          </w:p>
        </w:tc>
      </w:tr>
      <w:tr>
        <w:tblPrEx>
          <w:tblLayout w:type="fixed"/>
          <w:tblCellMar>
            <w:top w:w="0" w:type="dxa"/>
            <w:left w:w="108" w:type="dxa"/>
            <w:bottom w:w="0" w:type="dxa"/>
            <w:right w:w="108" w:type="dxa"/>
          </w:tblCellMar>
        </w:tblPrEx>
        <w:trPr>
          <w:trHeight w:val="397" w:hRule="exact"/>
        </w:trPr>
        <w:tc>
          <w:tcPr>
            <w:tcW w:w="164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highlight w:val="none"/>
              </w:rPr>
            </w:pPr>
          </w:p>
        </w:tc>
        <w:tc>
          <w:tcPr>
            <w:tcW w:w="403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highlight w:val="none"/>
              </w:rPr>
            </w:pPr>
          </w:p>
        </w:tc>
        <w:tc>
          <w:tcPr>
            <w:tcW w:w="163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highlight w:val="none"/>
              </w:rPr>
            </w:pPr>
          </w:p>
        </w:tc>
        <w:tc>
          <w:tcPr>
            <w:tcW w:w="146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highlight w:val="none"/>
              </w:rPr>
            </w:pPr>
          </w:p>
        </w:tc>
        <w:tc>
          <w:tcPr>
            <w:tcW w:w="129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highlight w:val="none"/>
              </w:rPr>
            </w:pPr>
          </w:p>
        </w:tc>
        <w:tc>
          <w:tcPr>
            <w:tcW w:w="172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highlight w:val="none"/>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highlight w:val="none"/>
              </w:rPr>
            </w:pPr>
          </w:p>
        </w:tc>
        <w:tc>
          <w:tcPr>
            <w:tcW w:w="24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highlight w:val="none"/>
              </w:rPr>
            </w:pPr>
          </w:p>
        </w:tc>
      </w:tr>
      <w:tr>
        <w:tblPrEx>
          <w:tblLayout w:type="fixed"/>
          <w:tblCellMar>
            <w:top w:w="0" w:type="dxa"/>
            <w:left w:w="108" w:type="dxa"/>
            <w:bottom w:w="0" w:type="dxa"/>
            <w:right w:w="108" w:type="dxa"/>
          </w:tblCellMar>
        </w:tblPrEx>
        <w:trPr>
          <w:trHeight w:val="397" w:hRule="exact"/>
        </w:trPr>
        <w:tc>
          <w:tcPr>
            <w:tcW w:w="5685"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highlight w:val="none"/>
              </w:rPr>
            </w:pPr>
            <w:r>
              <w:rPr>
                <w:rFonts w:hint="eastAsia" w:ascii="宋体" w:hAnsi="宋体" w:eastAsia="宋体" w:cs="宋体"/>
                <w:kern w:val="0"/>
                <w:sz w:val="24"/>
                <w:szCs w:val="24"/>
                <w:highlight w:val="none"/>
              </w:rPr>
              <w:t>栏次</w:t>
            </w:r>
          </w:p>
        </w:tc>
        <w:tc>
          <w:tcPr>
            <w:tcW w:w="163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highlight w:val="none"/>
              </w:rPr>
            </w:pPr>
            <w:r>
              <w:rPr>
                <w:rFonts w:hint="eastAsia" w:ascii="宋体" w:hAnsi="宋体" w:eastAsia="宋体" w:cs="宋体"/>
                <w:kern w:val="0"/>
                <w:sz w:val="24"/>
                <w:szCs w:val="24"/>
                <w:highlight w:val="none"/>
              </w:rPr>
              <w:t>1</w:t>
            </w:r>
          </w:p>
        </w:tc>
        <w:tc>
          <w:tcPr>
            <w:tcW w:w="1468"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highlight w:val="none"/>
              </w:rPr>
            </w:pPr>
            <w:r>
              <w:rPr>
                <w:rFonts w:hint="eastAsia" w:ascii="宋体" w:hAnsi="宋体" w:eastAsia="宋体" w:cs="宋体"/>
                <w:kern w:val="0"/>
                <w:sz w:val="24"/>
                <w:szCs w:val="24"/>
                <w:highlight w:val="none"/>
              </w:rPr>
              <w:t>2</w:t>
            </w:r>
          </w:p>
        </w:tc>
        <w:tc>
          <w:tcPr>
            <w:tcW w:w="129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highlight w:val="none"/>
              </w:rPr>
            </w:pPr>
            <w:r>
              <w:rPr>
                <w:rFonts w:hint="eastAsia" w:ascii="宋体" w:hAnsi="宋体" w:eastAsia="宋体" w:cs="宋体"/>
                <w:kern w:val="0"/>
                <w:sz w:val="24"/>
                <w:szCs w:val="24"/>
                <w:highlight w:val="none"/>
              </w:rPr>
              <w:t>3</w:t>
            </w:r>
          </w:p>
        </w:tc>
        <w:tc>
          <w:tcPr>
            <w:tcW w:w="172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highlight w:val="none"/>
              </w:rPr>
            </w:pPr>
            <w:r>
              <w:rPr>
                <w:rFonts w:hint="eastAsia" w:ascii="宋体" w:hAnsi="宋体" w:eastAsia="宋体" w:cs="宋体"/>
                <w:kern w:val="0"/>
                <w:sz w:val="24"/>
                <w:szCs w:val="24"/>
                <w:highlight w:val="none"/>
              </w:rPr>
              <w:t>4</w:t>
            </w:r>
          </w:p>
        </w:tc>
        <w:tc>
          <w:tcPr>
            <w:tcW w:w="138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highlight w:val="none"/>
              </w:rPr>
            </w:pPr>
            <w:r>
              <w:rPr>
                <w:rFonts w:hint="eastAsia" w:ascii="宋体" w:hAnsi="宋体" w:eastAsia="宋体" w:cs="宋体"/>
                <w:kern w:val="0"/>
                <w:sz w:val="24"/>
                <w:szCs w:val="24"/>
                <w:highlight w:val="none"/>
              </w:rPr>
              <w:t>5</w:t>
            </w:r>
          </w:p>
        </w:tc>
        <w:tc>
          <w:tcPr>
            <w:tcW w:w="2444"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highlight w:val="none"/>
              </w:rPr>
            </w:pPr>
            <w:r>
              <w:rPr>
                <w:rFonts w:hint="eastAsia" w:ascii="宋体" w:hAnsi="宋体" w:eastAsia="宋体" w:cs="宋体"/>
                <w:kern w:val="0"/>
                <w:sz w:val="24"/>
                <w:szCs w:val="24"/>
                <w:highlight w:val="none"/>
              </w:rPr>
              <w:t>6</w:t>
            </w:r>
          </w:p>
        </w:tc>
      </w:tr>
      <w:tr>
        <w:tblPrEx>
          <w:tblLayout w:type="fixed"/>
          <w:tblCellMar>
            <w:top w:w="0" w:type="dxa"/>
            <w:left w:w="108" w:type="dxa"/>
            <w:bottom w:w="0" w:type="dxa"/>
            <w:right w:w="108" w:type="dxa"/>
          </w:tblCellMar>
        </w:tblPrEx>
        <w:trPr>
          <w:trHeight w:val="397" w:hRule="exact"/>
        </w:trPr>
        <w:tc>
          <w:tcPr>
            <w:tcW w:w="5685"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highlight w:val="none"/>
              </w:rPr>
            </w:pPr>
            <w:r>
              <w:rPr>
                <w:rFonts w:hint="eastAsia" w:ascii="宋体" w:hAnsi="宋体" w:eastAsia="宋体" w:cs="宋体"/>
                <w:kern w:val="0"/>
                <w:sz w:val="24"/>
                <w:szCs w:val="24"/>
                <w:highlight w:val="none"/>
              </w:rPr>
              <w:t>合计</w:t>
            </w:r>
          </w:p>
        </w:tc>
        <w:tc>
          <w:tcPr>
            <w:tcW w:w="163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789.01</w:t>
            </w:r>
            <w:r>
              <w:rPr>
                <w:rFonts w:hint="eastAsia" w:ascii="宋体" w:hAnsi="宋体" w:eastAsia="宋体" w:cs="宋体"/>
                <w:kern w:val="0"/>
                <w:sz w:val="24"/>
                <w:szCs w:val="24"/>
                <w:highlight w:val="none"/>
              </w:rPr>
              <w:t>　</w:t>
            </w:r>
          </w:p>
        </w:tc>
        <w:tc>
          <w:tcPr>
            <w:tcW w:w="146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688.37</w:t>
            </w:r>
            <w:r>
              <w:rPr>
                <w:rFonts w:hint="eastAsia" w:ascii="宋体" w:hAnsi="宋体" w:eastAsia="宋体" w:cs="宋体"/>
                <w:kern w:val="0"/>
                <w:sz w:val="24"/>
                <w:szCs w:val="24"/>
                <w:highlight w:val="none"/>
              </w:rPr>
              <w:t>　</w:t>
            </w:r>
          </w:p>
        </w:tc>
        <w:tc>
          <w:tcPr>
            <w:tcW w:w="129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100.64</w:t>
            </w:r>
            <w:r>
              <w:rPr>
                <w:rFonts w:hint="eastAsia" w:ascii="宋体" w:hAnsi="宋体" w:eastAsia="宋体" w:cs="宋体"/>
                <w:kern w:val="0"/>
                <w:sz w:val="24"/>
                <w:szCs w:val="24"/>
                <w:highlight w:val="none"/>
              </w:rPr>
              <w:t>　</w:t>
            </w:r>
          </w:p>
        </w:tc>
        <w:tc>
          <w:tcPr>
            <w:tcW w:w="172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c>
          <w:tcPr>
            <w:tcW w:w="138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c>
          <w:tcPr>
            <w:tcW w:w="244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r>
      <w:tr>
        <w:tblPrEx>
          <w:tblLayout w:type="fixed"/>
          <w:tblCellMar>
            <w:top w:w="0" w:type="dxa"/>
            <w:left w:w="108" w:type="dxa"/>
            <w:bottom w:w="0" w:type="dxa"/>
            <w:right w:w="108" w:type="dxa"/>
          </w:tblCellMar>
        </w:tblPrEx>
        <w:trPr>
          <w:trHeight w:val="397" w:hRule="exact"/>
        </w:trPr>
        <w:tc>
          <w:tcPr>
            <w:tcW w:w="1646"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default" w:eastAsiaTheme="minorEastAsia"/>
                <w:highlight w:val="none"/>
                <w:lang w:val="en-US" w:eastAsia="zh-CN"/>
              </w:rPr>
            </w:pPr>
            <w:r>
              <w:rPr>
                <w:rFonts w:hint="eastAsia"/>
                <w:highlight w:val="none"/>
                <w:lang w:val="en-US" w:eastAsia="zh-CN"/>
              </w:rPr>
              <w:t>201</w:t>
            </w:r>
          </w:p>
        </w:tc>
        <w:tc>
          <w:tcPr>
            <w:tcW w:w="4039" w:type="dxa"/>
            <w:tcBorders>
              <w:top w:val="nil"/>
              <w:left w:val="nil"/>
              <w:bottom w:val="single" w:color="auto" w:sz="4" w:space="0"/>
              <w:right w:val="single" w:color="auto" w:sz="4" w:space="0"/>
            </w:tcBorders>
            <w:shd w:val="clear" w:color="000000" w:fill="FFFFFF"/>
            <w:noWrap/>
            <w:vAlign w:val="center"/>
          </w:tcPr>
          <w:p>
            <w:pPr>
              <w:jc w:val="left"/>
              <w:rPr>
                <w:rFonts w:hint="default" w:eastAsiaTheme="minorEastAsia"/>
                <w:highlight w:val="none"/>
                <w:lang w:val="en-US" w:eastAsia="zh-CN"/>
              </w:rPr>
            </w:pPr>
            <w:r>
              <w:rPr>
                <w:rFonts w:hint="eastAsia"/>
                <w:highlight w:val="none"/>
                <w:lang w:val="en-US" w:eastAsia="zh-CN"/>
              </w:rPr>
              <w:t>一般公共服务支出</w:t>
            </w:r>
          </w:p>
        </w:tc>
        <w:tc>
          <w:tcPr>
            <w:tcW w:w="1639"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59.59</w:t>
            </w:r>
          </w:p>
        </w:tc>
        <w:tc>
          <w:tcPr>
            <w:tcW w:w="146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highlight w:val="none"/>
                <w:lang w:val="en-US" w:eastAsia="zh-CN"/>
              </w:rPr>
            </w:pPr>
          </w:p>
        </w:tc>
        <w:tc>
          <w:tcPr>
            <w:tcW w:w="1296"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59.59</w:t>
            </w:r>
          </w:p>
        </w:tc>
        <w:tc>
          <w:tcPr>
            <w:tcW w:w="172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highlight w:val="none"/>
              </w:rPr>
            </w:pPr>
          </w:p>
        </w:tc>
        <w:tc>
          <w:tcPr>
            <w:tcW w:w="138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highlight w:val="none"/>
              </w:rPr>
            </w:pPr>
          </w:p>
        </w:tc>
        <w:tc>
          <w:tcPr>
            <w:tcW w:w="2444"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highlight w:val="none"/>
              </w:rPr>
            </w:pPr>
          </w:p>
        </w:tc>
      </w:tr>
      <w:tr>
        <w:tblPrEx>
          <w:tblLayout w:type="fixed"/>
          <w:tblCellMar>
            <w:top w:w="0" w:type="dxa"/>
            <w:left w:w="108" w:type="dxa"/>
            <w:bottom w:w="0" w:type="dxa"/>
            <w:right w:w="108" w:type="dxa"/>
          </w:tblCellMar>
        </w:tblPrEx>
        <w:trPr>
          <w:trHeight w:val="397" w:hRule="exact"/>
        </w:trPr>
        <w:tc>
          <w:tcPr>
            <w:tcW w:w="1646"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default" w:eastAsiaTheme="minorEastAsia"/>
                <w:highlight w:val="none"/>
                <w:lang w:val="en-US" w:eastAsia="zh-CN"/>
              </w:rPr>
            </w:pPr>
            <w:r>
              <w:rPr>
                <w:rFonts w:hint="eastAsia"/>
                <w:highlight w:val="none"/>
                <w:lang w:val="en-US" w:eastAsia="zh-CN"/>
              </w:rPr>
              <w:t>20106</w:t>
            </w:r>
          </w:p>
        </w:tc>
        <w:tc>
          <w:tcPr>
            <w:tcW w:w="4039" w:type="dxa"/>
            <w:tcBorders>
              <w:top w:val="nil"/>
              <w:left w:val="nil"/>
              <w:bottom w:val="single" w:color="auto" w:sz="4" w:space="0"/>
              <w:right w:val="single" w:color="auto" w:sz="4" w:space="0"/>
            </w:tcBorders>
            <w:shd w:val="clear" w:color="000000" w:fill="FFFFFF"/>
            <w:noWrap/>
            <w:vAlign w:val="center"/>
          </w:tcPr>
          <w:p>
            <w:pPr>
              <w:jc w:val="left"/>
              <w:rPr>
                <w:rFonts w:hint="default" w:eastAsiaTheme="minorEastAsia"/>
                <w:highlight w:val="none"/>
                <w:lang w:val="en-US" w:eastAsia="zh-CN"/>
              </w:rPr>
            </w:pPr>
            <w:r>
              <w:rPr>
                <w:rFonts w:hint="eastAsia"/>
                <w:highlight w:val="none"/>
                <w:lang w:val="en-US" w:eastAsia="zh-CN"/>
              </w:rPr>
              <w:t>财政事务</w:t>
            </w:r>
          </w:p>
        </w:tc>
        <w:tc>
          <w:tcPr>
            <w:tcW w:w="1639" w:type="dxa"/>
            <w:tcBorders>
              <w:top w:val="nil"/>
              <w:left w:val="nil"/>
              <w:bottom w:val="single" w:color="auto" w:sz="4" w:space="0"/>
              <w:right w:val="single" w:color="auto" w:sz="4" w:space="0"/>
            </w:tcBorders>
            <w:shd w:val="clear" w:color="auto" w:fill="auto"/>
            <w:noWrap/>
            <w:vAlign w:val="center"/>
          </w:tcPr>
          <w:p>
            <w:pPr>
              <w:widowControl/>
              <w:jc w:val="right"/>
              <w:rPr>
                <w:rFonts w:hint="default"/>
                <w:lang w:val="en-US" w:eastAsia="zh-CN"/>
              </w:rPr>
            </w:pPr>
            <w:r>
              <w:rPr>
                <w:rFonts w:hint="eastAsia" w:ascii="宋体" w:hAnsi="宋体" w:eastAsia="宋体" w:cs="宋体"/>
                <w:kern w:val="0"/>
                <w:sz w:val="24"/>
                <w:szCs w:val="24"/>
                <w:highlight w:val="none"/>
                <w:lang w:val="en-US" w:eastAsia="zh-CN"/>
              </w:rPr>
              <w:t>59.59</w:t>
            </w:r>
          </w:p>
        </w:tc>
        <w:tc>
          <w:tcPr>
            <w:tcW w:w="146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highlight w:val="none"/>
                <w:lang w:val="en-US" w:eastAsia="zh-CN"/>
              </w:rPr>
            </w:pPr>
          </w:p>
        </w:tc>
        <w:tc>
          <w:tcPr>
            <w:tcW w:w="1296"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59.59</w:t>
            </w:r>
          </w:p>
        </w:tc>
        <w:tc>
          <w:tcPr>
            <w:tcW w:w="172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highlight w:val="none"/>
              </w:rPr>
            </w:pPr>
          </w:p>
        </w:tc>
        <w:tc>
          <w:tcPr>
            <w:tcW w:w="138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highlight w:val="none"/>
              </w:rPr>
            </w:pPr>
          </w:p>
        </w:tc>
        <w:tc>
          <w:tcPr>
            <w:tcW w:w="2444"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highlight w:val="none"/>
              </w:rPr>
            </w:pPr>
          </w:p>
        </w:tc>
      </w:tr>
      <w:tr>
        <w:tblPrEx>
          <w:tblLayout w:type="fixed"/>
          <w:tblCellMar>
            <w:top w:w="0" w:type="dxa"/>
            <w:left w:w="108" w:type="dxa"/>
            <w:bottom w:w="0" w:type="dxa"/>
            <w:right w:w="108" w:type="dxa"/>
          </w:tblCellMar>
        </w:tblPrEx>
        <w:trPr>
          <w:trHeight w:val="397" w:hRule="exact"/>
        </w:trPr>
        <w:tc>
          <w:tcPr>
            <w:tcW w:w="1646"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eastAsia" w:ascii="宋体" w:hAnsi="宋体" w:eastAsia="宋体" w:cs="宋体"/>
                <w:kern w:val="0"/>
                <w:sz w:val="24"/>
                <w:szCs w:val="24"/>
                <w:highlight w:val="none"/>
                <w:lang w:val="en-US" w:eastAsia="zh-CN" w:bidi="ar-SA"/>
              </w:rPr>
            </w:pPr>
            <w:r>
              <w:rPr>
                <w:rFonts w:hint="eastAsia"/>
                <w:highlight w:val="none"/>
                <w:lang w:val="en-US" w:eastAsia="zh-CN"/>
              </w:rPr>
              <w:t>2010699</w:t>
            </w:r>
          </w:p>
        </w:tc>
        <w:tc>
          <w:tcPr>
            <w:tcW w:w="4039" w:type="dxa"/>
            <w:tcBorders>
              <w:top w:val="nil"/>
              <w:left w:val="nil"/>
              <w:bottom w:val="single" w:color="auto" w:sz="4" w:space="0"/>
              <w:right w:val="single" w:color="auto" w:sz="4" w:space="0"/>
            </w:tcBorders>
            <w:shd w:val="clear" w:color="000000" w:fill="FFFFFF"/>
            <w:noWrap/>
            <w:vAlign w:val="center"/>
          </w:tcPr>
          <w:p>
            <w:pPr>
              <w:jc w:val="left"/>
              <w:rPr>
                <w:rFonts w:hint="eastAsia" w:ascii="宋体" w:hAnsi="宋体" w:eastAsia="宋体" w:cs="宋体"/>
                <w:kern w:val="0"/>
                <w:sz w:val="24"/>
                <w:szCs w:val="24"/>
                <w:highlight w:val="none"/>
                <w:lang w:val="en-US" w:eastAsia="zh-CN" w:bidi="ar-SA"/>
              </w:rPr>
            </w:pPr>
            <w:r>
              <w:rPr>
                <w:rFonts w:hint="eastAsia"/>
                <w:highlight w:val="none"/>
                <w:lang w:val="en-US" w:eastAsia="zh-CN"/>
              </w:rPr>
              <w:t>其他财政事务支出</w:t>
            </w:r>
          </w:p>
        </w:tc>
        <w:tc>
          <w:tcPr>
            <w:tcW w:w="1639"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rPr>
              <w:t>59.59</w:t>
            </w:r>
            <w:r>
              <w:rPr>
                <w:rFonts w:hint="eastAsia" w:ascii="宋体" w:hAnsi="宋体" w:eastAsia="宋体" w:cs="宋体"/>
                <w:kern w:val="0"/>
                <w:sz w:val="24"/>
                <w:szCs w:val="24"/>
                <w:highlight w:val="none"/>
              </w:rPr>
              <w:t>　</w:t>
            </w:r>
          </w:p>
        </w:tc>
        <w:tc>
          <w:tcPr>
            <w:tcW w:w="146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rPr>
              <w:t>　</w:t>
            </w:r>
          </w:p>
        </w:tc>
        <w:tc>
          <w:tcPr>
            <w:tcW w:w="1296"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rPr>
              <w:t>59.59</w:t>
            </w:r>
            <w:r>
              <w:rPr>
                <w:rFonts w:hint="eastAsia" w:ascii="宋体" w:hAnsi="宋体" w:eastAsia="宋体" w:cs="宋体"/>
                <w:kern w:val="0"/>
                <w:sz w:val="24"/>
                <w:szCs w:val="24"/>
                <w:highlight w:val="none"/>
              </w:rPr>
              <w:t>　</w:t>
            </w:r>
          </w:p>
        </w:tc>
        <w:tc>
          <w:tcPr>
            <w:tcW w:w="172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highlight w:val="none"/>
              </w:rPr>
            </w:pPr>
          </w:p>
        </w:tc>
        <w:tc>
          <w:tcPr>
            <w:tcW w:w="138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highlight w:val="none"/>
              </w:rPr>
            </w:pPr>
          </w:p>
        </w:tc>
        <w:tc>
          <w:tcPr>
            <w:tcW w:w="2444"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highlight w:val="none"/>
              </w:rPr>
            </w:pPr>
          </w:p>
        </w:tc>
      </w:tr>
      <w:tr>
        <w:tblPrEx>
          <w:tblLayout w:type="fixed"/>
          <w:tblCellMar>
            <w:top w:w="0" w:type="dxa"/>
            <w:left w:w="108" w:type="dxa"/>
            <w:bottom w:w="0" w:type="dxa"/>
            <w:right w:w="108" w:type="dxa"/>
          </w:tblCellMar>
        </w:tblPrEx>
        <w:trPr>
          <w:trHeight w:val="397" w:hRule="exact"/>
        </w:trPr>
        <w:tc>
          <w:tcPr>
            <w:tcW w:w="1646"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default" w:eastAsiaTheme="minorEastAsia"/>
                <w:highlight w:val="none"/>
                <w:lang w:val="en-US" w:eastAsia="zh-CN"/>
              </w:rPr>
            </w:pPr>
            <w:r>
              <w:rPr>
                <w:rFonts w:hint="eastAsia"/>
                <w:highlight w:val="none"/>
                <w:lang w:val="en-US" w:eastAsia="zh-CN"/>
              </w:rPr>
              <w:t>208</w:t>
            </w:r>
          </w:p>
        </w:tc>
        <w:tc>
          <w:tcPr>
            <w:tcW w:w="4039" w:type="dxa"/>
            <w:tcBorders>
              <w:top w:val="nil"/>
              <w:left w:val="nil"/>
              <w:bottom w:val="single" w:color="auto" w:sz="4" w:space="0"/>
              <w:right w:val="single" w:color="auto" w:sz="4" w:space="0"/>
            </w:tcBorders>
            <w:shd w:val="clear" w:color="000000" w:fill="FFFFFF"/>
            <w:noWrap/>
            <w:vAlign w:val="center"/>
          </w:tcPr>
          <w:p>
            <w:pPr>
              <w:jc w:val="left"/>
              <w:rPr>
                <w:rFonts w:hint="default" w:eastAsiaTheme="minorEastAsia"/>
                <w:highlight w:val="none"/>
                <w:lang w:val="en-US" w:eastAsia="zh-CN"/>
              </w:rPr>
            </w:pPr>
            <w:r>
              <w:rPr>
                <w:rFonts w:hint="eastAsia"/>
                <w:highlight w:val="none"/>
                <w:lang w:val="en-US" w:eastAsia="zh-CN"/>
              </w:rPr>
              <w:t>社会保障和就业支出</w:t>
            </w:r>
          </w:p>
        </w:tc>
        <w:tc>
          <w:tcPr>
            <w:tcW w:w="1639"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154.98</w:t>
            </w:r>
          </w:p>
        </w:tc>
        <w:tc>
          <w:tcPr>
            <w:tcW w:w="146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154.98</w:t>
            </w:r>
          </w:p>
        </w:tc>
        <w:tc>
          <w:tcPr>
            <w:tcW w:w="1296"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highlight w:val="none"/>
              </w:rPr>
            </w:pPr>
          </w:p>
        </w:tc>
        <w:tc>
          <w:tcPr>
            <w:tcW w:w="172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highlight w:val="none"/>
              </w:rPr>
            </w:pPr>
          </w:p>
        </w:tc>
        <w:tc>
          <w:tcPr>
            <w:tcW w:w="138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highlight w:val="none"/>
              </w:rPr>
            </w:pPr>
          </w:p>
        </w:tc>
        <w:tc>
          <w:tcPr>
            <w:tcW w:w="2444"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highlight w:val="none"/>
              </w:rPr>
            </w:pPr>
          </w:p>
        </w:tc>
      </w:tr>
      <w:tr>
        <w:tblPrEx>
          <w:tblLayout w:type="fixed"/>
          <w:tblCellMar>
            <w:top w:w="0" w:type="dxa"/>
            <w:left w:w="108" w:type="dxa"/>
            <w:bottom w:w="0" w:type="dxa"/>
            <w:right w:w="108" w:type="dxa"/>
          </w:tblCellMar>
        </w:tblPrEx>
        <w:trPr>
          <w:trHeight w:val="397" w:hRule="exact"/>
        </w:trPr>
        <w:tc>
          <w:tcPr>
            <w:tcW w:w="1646"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default" w:eastAsiaTheme="minorEastAsia"/>
                <w:highlight w:val="none"/>
                <w:lang w:val="en-US" w:eastAsia="zh-CN"/>
              </w:rPr>
            </w:pPr>
            <w:r>
              <w:rPr>
                <w:rFonts w:hint="eastAsia"/>
                <w:highlight w:val="none"/>
                <w:lang w:val="en-US" w:eastAsia="zh-CN"/>
              </w:rPr>
              <w:t>20805</w:t>
            </w:r>
          </w:p>
        </w:tc>
        <w:tc>
          <w:tcPr>
            <w:tcW w:w="4039" w:type="dxa"/>
            <w:tcBorders>
              <w:top w:val="nil"/>
              <w:left w:val="nil"/>
              <w:bottom w:val="single" w:color="auto" w:sz="4" w:space="0"/>
              <w:right w:val="single" w:color="auto" w:sz="4" w:space="0"/>
            </w:tcBorders>
            <w:shd w:val="clear" w:color="000000" w:fill="FFFFFF"/>
            <w:noWrap/>
            <w:vAlign w:val="center"/>
          </w:tcPr>
          <w:p>
            <w:pPr>
              <w:jc w:val="left"/>
              <w:rPr>
                <w:rFonts w:hint="default" w:eastAsiaTheme="minorEastAsia"/>
                <w:highlight w:val="none"/>
                <w:lang w:val="en-US" w:eastAsia="zh-CN"/>
              </w:rPr>
            </w:pPr>
            <w:r>
              <w:rPr>
                <w:rFonts w:hint="eastAsia"/>
                <w:highlight w:val="none"/>
                <w:lang w:val="en-US" w:eastAsia="zh-CN"/>
              </w:rPr>
              <w:t>行政事业单位养老支出</w:t>
            </w:r>
          </w:p>
        </w:tc>
        <w:tc>
          <w:tcPr>
            <w:tcW w:w="1639"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92.69</w:t>
            </w:r>
          </w:p>
        </w:tc>
        <w:tc>
          <w:tcPr>
            <w:tcW w:w="146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92.69</w:t>
            </w:r>
          </w:p>
        </w:tc>
        <w:tc>
          <w:tcPr>
            <w:tcW w:w="1296"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highlight w:val="none"/>
              </w:rPr>
            </w:pPr>
          </w:p>
        </w:tc>
        <w:tc>
          <w:tcPr>
            <w:tcW w:w="172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highlight w:val="none"/>
              </w:rPr>
            </w:pPr>
          </w:p>
        </w:tc>
        <w:tc>
          <w:tcPr>
            <w:tcW w:w="138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highlight w:val="none"/>
              </w:rPr>
            </w:pPr>
          </w:p>
        </w:tc>
        <w:tc>
          <w:tcPr>
            <w:tcW w:w="2444"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highlight w:val="none"/>
              </w:rPr>
            </w:pPr>
          </w:p>
        </w:tc>
      </w:tr>
      <w:tr>
        <w:tblPrEx>
          <w:tblLayout w:type="fixed"/>
          <w:tblCellMar>
            <w:top w:w="0" w:type="dxa"/>
            <w:left w:w="108" w:type="dxa"/>
            <w:bottom w:w="0" w:type="dxa"/>
            <w:right w:w="108" w:type="dxa"/>
          </w:tblCellMar>
        </w:tblPrEx>
        <w:trPr>
          <w:trHeight w:val="397" w:hRule="exact"/>
        </w:trPr>
        <w:tc>
          <w:tcPr>
            <w:tcW w:w="1646"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ascii="宋体" w:hAnsi="宋体" w:eastAsia="宋体" w:cs="宋体"/>
                <w:kern w:val="0"/>
                <w:sz w:val="24"/>
                <w:szCs w:val="24"/>
                <w:highlight w:val="none"/>
              </w:rPr>
            </w:pPr>
            <w:r>
              <w:rPr>
                <w:rFonts w:hint="eastAsia"/>
                <w:highlight w:val="none"/>
                <w:lang w:val="en-US" w:eastAsia="zh-CN"/>
              </w:rPr>
              <w:t>2080505</w:t>
            </w:r>
          </w:p>
        </w:tc>
        <w:tc>
          <w:tcPr>
            <w:tcW w:w="4039" w:type="dxa"/>
            <w:tcBorders>
              <w:top w:val="nil"/>
              <w:left w:val="nil"/>
              <w:bottom w:val="single" w:color="auto" w:sz="4" w:space="0"/>
              <w:right w:val="single" w:color="auto" w:sz="4" w:space="0"/>
            </w:tcBorders>
            <w:shd w:val="clear" w:color="000000" w:fill="FFFFFF"/>
            <w:noWrap/>
            <w:vAlign w:val="center"/>
          </w:tcPr>
          <w:p>
            <w:pPr>
              <w:jc w:val="left"/>
              <w:rPr>
                <w:rFonts w:ascii="宋体" w:hAnsi="宋体" w:eastAsia="宋体" w:cs="宋体"/>
                <w:kern w:val="0"/>
                <w:sz w:val="24"/>
                <w:szCs w:val="24"/>
                <w:highlight w:val="none"/>
              </w:rPr>
            </w:pPr>
            <w:r>
              <w:rPr>
                <w:rFonts w:hint="eastAsia"/>
                <w:highlight w:val="none"/>
                <w:lang w:val="en-US" w:eastAsia="zh-CN"/>
              </w:rPr>
              <w:t>机关事业单位基本养老保险缴费支出</w:t>
            </w:r>
          </w:p>
        </w:tc>
        <w:tc>
          <w:tcPr>
            <w:tcW w:w="163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92.69</w:t>
            </w:r>
            <w:r>
              <w:rPr>
                <w:rFonts w:hint="eastAsia" w:ascii="宋体" w:hAnsi="宋体" w:eastAsia="宋体" w:cs="宋体"/>
                <w:kern w:val="0"/>
                <w:sz w:val="24"/>
                <w:szCs w:val="24"/>
                <w:highlight w:val="none"/>
              </w:rPr>
              <w:t>　</w:t>
            </w:r>
          </w:p>
        </w:tc>
        <w:tc>
          <w:tcPr>
            <w:tcW w:w="146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92.69</w:t>
            </w:r>
            <w:r>
              <w:rPr>
                <w:rFonts w:hint="eastAsia" w:ascii="宋体" w:hAnsi="宋体" w:eastAsia="宋体" w:cs="宋体"/>
                <w:kern w:val="0"/>
                <w:sz w:val="24"/>
                <w:szCs w:val="24"/>
                <w:highlight w:val="none"/>
              </w:rPr>
              <w:t>　</w:t>
            </w:r>
          </w:p>
        </w:tc>
        <w:tc>
          <w:tcPr>
            <w:tcW w:w="129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c>
          <w:tcPr>
            <w:tcW w:w="172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c>
          <w:tcPr>
            <w:tcW w:w="138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c>
          <w:tcPr>
            <w:tcW w:w="244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r>
      <w:tr>
        <w:tblPrEx>
          <w:tblLayout w:type="fixed"/>
          <w:tblCellMar>
            <w:top w:w="0" w:type="dxa"/>
            <w:left w:w="108" w:type="dxa"/>
            <w:bottom w:w="0" w:type="dxa"/>
            <w:right w:w="108" w:type="dxa"/>
          </w:tblCellMar>
        </w:tblPrEx>
        <w:trPr>
          <w:trHeight w:val="397" w:hRule="exact"/>
        </w:trPr>
        <w:tc>
          <w:tcPr>
            <w:tcW w:w="1646"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ascii="宋体" w:hAnsi="宋体" w:eastAsia="宋体" w:cs="宋体"/>
                <w:kern w:val="0"/>
                <w:sz w:val="24"/>
                <w:szCs w:val="24"/>
                <w:highlight w:val="none"/>
              </w:rPr>
            </w:pPr>
            <w:r>
              <w:rPr>
                <w:rFonts w:hint="eastAsia"/>
                <w:highlight w:val="none"/>
                <w:lang w:val="en-US" w:eastAsia="zh-CN"/>
              </w:rPr>
              <w:t>20808</w:t>
            </w:r>
          </w:p>
        </w:tc>
        <w:tc>
          <w:tcPr>
            <w:tcW w:w="4039" w:type="dxa"/>
            <w:tcBorders>
              <w:top w:val="nil"/>
              <w:left w:val="nil"/>
              <w:bottom w:val="single" w:color="auto" w:sz="4" w:space="0"/>
              <w:right w:val="single" w:color="auto" w:sz="4" w:space="0"/>
            </w:tcBorders>
            <w:shd w:val="clear" w:color="000000" w:fill="FFFFFF"/>
            <w:noWrap/>
            <w:vAlign w:val="center"/>
          </w:tcPr>
          <w:p>
            <w:pPr>
              <w:jc w:val="left"/>
              <w:rPr>
                <w:rFonts w:ascii="宋体" w:hAnsi="宋体" w:eastAsia="宋体" w:cs="宋体"/>
                <w:kern w:val="0"/>
                <w:sz w:val="24"/>
                <w:szCs w:val="24"/>
                <w:highlight w:val="none"/>
              </w:rPr>
            </w:pPr>
            <w:r>
              <w:rPr>
                <w:rFonts w:hint="eastAsia"/>
                <w:highlight w:val="none"/>
                <w:lang w:val="en-US" w:eastAsia="zh-CN"/>
              </w:rPr>
              <w:t>抚恤</w:t>
            </w:r>
          </w:p>
        </w:tc>
        <w:tc>
          <w:tcPr>
            <w:tcW w:w="163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62.29</w:t>
            </w:r>
            <w:r>
              <w:rPr>
                <w:rFonts w:hint="eastAsia" w:ascii="宋体" w:hAnsi="宋体" w:eastAsia="宋体" w:cs="宋体"/>
                <w:kern w:val="0"/>
                <w:sz w:val="24"/>
                <w:szCs w:val="24"/>
                <w:highlight w:val="none"/>
              </w:rPr>
              <w:t>　</w:t>
            </w:r>
          </w:p>
        </w:tc>
        <w:tc>
          <w:tcPr>
            <w:tcW w:w="146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62.29</w:t>
            </w:r>
            <w:r>
              <w:rPr>
                <w:rFonts w:hint="eastAsia" w:ascii="宋体" w:hAnsi="宋体" w:eastAsia="宋体" w:cs="宋体"/>
                <w:kern w:val="0"/>
                <w:sz w:val="24"/>
                <w:szCs w:val="24"/>
                <w:highlight w:val="none"/>
              </w:rPr>
              <w:t>　</w:t>
            </w:r>
          </w:p>
        </w:tc>
        <w:tc>
          <w:tcPr>
            <w:tcW w:w="129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c>
          <w:tcPr>
            <w:tcW w:w="172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c>
          <w:tcPr>
            <w:tcW w:w="138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c>
          <w:tcPr>
            <w:tcW w:w="244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r>
      <w:tr>
        <w:tblPrEx>
          <w:tblLayout w:type="fixed"/>
          <w:tblCellMar>
            <w:top w:w="0" w:type="dxa"/>
            <w:left w:w="108" w:type="dxa"/>
            <w:bottom w:w="0" w:type="dxa"/>
            <w:right w:w="108" w:type="dxa"/>
          </w:tblCellMar>
        </w:tblPrEx>
        <w:trPr>
          <w:trHeight w:val="397" w:hRule="exact"/>
        </w:trPr>
        <w:tc>
          <w:tcPr>
            <w:tcW w:w="1646"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default" w:ascii="宋体" w:hAnsi="宋体" w:cs="宋体" w:eastAsiaTheme="minorEastAsia"/>
                <w:kern w:val="0"/>
                <w:sz w:val="24"/>
                <w:szCs w:val="24"/>
                <w:highlight w:val="none"/>
                <w:lang w:val="en-US" w:eastAsia="zh-CN"/>
              </w:rPr>
            </w:pPr>
            <w:r>
              <w:rPr>
                <w:rFonts w:hint="eastAsia"/>
                <w:highlight w:val="none"/>
                <w:lang w:val="en-US" w:eastAsia="zh-CN"/>
              </w:rPr>
              <w:t>2080801</w:t>
            </w:r>
          </w:p>
        </w:tc>
        <w:tc>
          <w:tcPr>
            <w:tcW w:w="4039" w:type="dxa"/>
            <w:tcBorders>
              <w:top w:val="nil"/>
              <w:left w:val="nil"/>
              <w:bottom w:val="single" w:color="auto" w:sz="4" w:space="0"/>
              <w:right w:val="single" w:color="auto" w:sz="4" w:space="0"/>
            </w:tcBorders>
            <w:shd w:val="clear" w:color="000000" w:fill="FFFFFF"/>
            <w:noWrap/>
            <w:vAlign w:val="center"/>
          </w:tcPr>
          <w:p>
            <w:pPr>
              <w:jc w:val="left"/>
              <w:rPr>
                <w:rFonts w:hint="default" w:ascii="宋体" w:hAnsi="宋体" w:cs="宋体" w:eastAsiaTheme="minorEastAsia"/>
                <w:kern w:val="0"/>
                <w:sz w:val="24"/>
                <w:szCs w:val="24"/>
                <w:highlight w:val="none"/>
                <w:lang w:val="en-US" w:eastAsia="zh-CN"/>
              </w:rPr>
            </w:pPr>
            <w:r>
              <w:rPr>
                <w:rFonts w:hint="eastAsia"/>
                <w:highlight w:val="none"/>
                <w:lang w:val="en-US" w:eastAsia="zh-CN"/>
              </w:rPr>
              <w:t>死亡抚恤</w:t>
            </w:r>
          </w:p>
        </w:tc>
        <w:tc>
          <w:tcPr>
            <w:tcW w:w="163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62.29</w:t>
            </w:r>
            <w:r>
              <w:rPr>
                <w:rFonts w:hint="eastAsia" w:ascii="宋体" w:hAnsi="宋体" w:eastAsia="宋体" w:cs="宋体"/>
                <w:kern w:val="0"/>
                <w:sz w:val="24"/>
                <w:szCs w:val="24"/>
                <w:highlight w:val="none"/>
              </w:rPr>
              <w:t>　</w:t>
            </w:r>
          </w:p>
        </w:tc>
        <w:tc>
          <w:tcPr>
            <w:tcW w:w="146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62.29</w:t>
            </w:r>
            <w:r>
              <w:rPr>
                <w:rFonts w:hint="eastAsia" w:ascii="宋体" w:hAnsi="宋体" w:eastAsia="宋体" w:cs="宋体"/>
                <w:kern w:val="0"/>
                <w:sz w:val="24"/>
                <w:szCs w:val="24"/>
                <w:highlight w:val="none"/>
              </w:rPr>
              <w:t>　</w:t>
            </w:r>
          </w:p>
        </w:tc>
        <w:tc>
          <w:tcPr>
            <w:tcW w:w="129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c>
          <w:tcPr>
            <w:tcW w:w="172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c>
          <w:tcPr>
            <w:tcW w:w="138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c>
          <w:tcPr>
            <w:tcW w:w="244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r>
      <w:tr>
        <w:tblPrEx>
          <w:tblLayout w:type="fixed"/>
          <w:tblCellMar>
            <w:top w:w="0" w:type="dxa"/>
            <w:left w:w="108" w:type="dxa"/>
            <w:bottom w:w="0" w:type="dxa"/>
            <w:right w:w="108" w:type="dxa"/>
          </w:tblCellMar>
        </w:tblPrEx>
        <w:trPr>
          <w:trHeight w:val="397" w:hRule="exact"/>
        </w:trPr>
        <w:tc>
          <w:tcPr>
            <w:tcW w:w="1646"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default" w:eastAsiaTheme="minorEastAsia"/>
                <w:highlight w:val="none"/>
                <w:lang w:val="en-US" w:eastAsia="zh-CN"/>
              </w:rPr>
            </w:pPr>
            <w:r>
              <w:rPr>
                <w:rFonts w:hint="eastAsia"/>
                <w:highlight w:val="none"/>
                <w:lang w:val="en-US" w:eastAsia="zh-CN"/>
              </w:rPr>
              <w:t>213</w:t>
            </w:r>
          </w:p>
        </w:tc>
        <w:tc>
          <w:tcPr>
            <w:tcW w:w="4039" w:type="dxa"/>
            <w:tcBorders>
              <w:top w:val="nil"/>
              <w:left w:val="nil"/>
              <w:bottom w:val="single" w:color="auto" w:sz="4" w:space="0"/>
              <w:right w:val="single" w:color="auto" w:sz="4" w:space="0"/>
            </w:tcBorders>
            <w:shd w:val="clear" w:color="000000" w:fill="FFFFFF"/>
            <w:noWrap/>
            <w:vAlign w:val="center"/>
          </w:tcPr>
          <w:p>
            <w:pPr>
              <w:jc w:val="left"/>
              <w:rPr>
                <w:rFonts w:hint="default" w:eastAsiaTheme="minorEastAsia"/>
                <w:highlight w:val="none"/>
                <w:lang w:val="en-US" w:eastAsia="zh-CN"/>
              </w:rPr>
            </w:pPr>
            <w:r>
              <w:rPr>
                <w:rFonts w:hint="eastAsia"/>
                <w:highlight w:val="none"/>
                <w:lang w:val="en-US" w:eastAsia="zh-CN"/>
              </w:rPr>
              <w:t>农林水支出</w:t>
            </w:r>
          </w:p>
        </w:tc>
        <w:tc>
          <w:tcPr>
            <w:tcW w:w="1639"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574.44</w:t>
            </w:r>
          </w:p>
        </w:tc>
        <w:tc>
          <w:tcPr>
            <w:tcW w:w="146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533.39</w:t>
            </w:r>
          </w:p>
        </w:tc>
        <w:tc>
          <w:tcPr>
            <w:tcW w:w="1296"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41.05</w:t>
            </w:r>
          </w:p>
        </w:tc>
        <w:tc>
          <w:tcPr>
            <w:tcW w:w="172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highlight w:val="none"/>
              </w:rPr>
            </w:pPr>
          </w:p>
        </w:tc>
        <w:tc>
          <w:tcPr>
            <w:tcW w:w="138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highlight w:val="none"/>
              </w:rPr>
            </w:pPr>
          </w:p>
        </w:tc>
        <w:tc>
          <w:tcPr>
            <w:tcW w:w="2444"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highlight w:val="none"/>
              </w:rPr>
            </w:pPr>
          </w:p>
        </w:tc>
      </w:tr>
      <w:tr>
        <w:tblPrEx>
          <w:tblLayout w:type="fixed"/>
          <w:tblCellMar>
            <w:top w:w="0" w:type="dxa"/>
            <w:left w:w="108" w:type="dxa"/>
            <w:bottom w:w="0" w:type="dxa"/>
            <w:right w:w="108" w:type="dxa"/>
          </w:tblCellMar>
        </w:tblPrEx>
        <w:trPr>
          <w:trHeight w:val="397" w:hRule="exact"/>
        </w:trPr>
        <w:tc>
          <w:tcPr>
            <w:tcW w:w="1646"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ascii="宋体" w:hAnsi="宋体" w:eastAsia="宋体" w:cs="宋体"/>
                <w:kern w:val="0"/>
                <w:sz w:val="24"/>
                <w:szCs w:val="24"/>
                <w:highlight w:val="none"/>
              </w:rPr>
            </w:pPr>
            <w:r>
              <w:rPr>
                <w:rFonts w:hint="eastAsia"/>
                <w:highlight w:val="none"/>
                <w:lang w:val="en-US" w:eastAsia="zh-CN"/>
              </w:rPr>
              <w:t>21301</w:t>
            </w:r>
          </w:p>
        </w:tc>
        <w:tc>
          <w:tcPr>
            <w:tcW w:w="4039" w:type="dxa"/>
            <w:tcBorders>
              <w:top w:val="nil"/>
              <w:left w:val="nil"/>
              <w:bottom w:val="single" w:color="auto" w:sz="4" w:space="0"/>
              <w:right w:val="single" w:color="auto" w:sz="4" w:space="0"/>
            </w:tcBorders>
            <w:shd w:val="clear" w:color="000000" w:fill="FFFFFF"/>
            <w:noWrap/>
            <w:vAlign w:val="center"/>
          </w:tcPr>
          <w:p>
            <w:pPr>
              <w:jc w:val="left"/>
              <w:rPr>
                <w:rFonts w:hint="default" w:ascii="宋体" w:hAnsi="宋体" w:eastAsia="宋体" w:cs="宋体"/>
                <w:kern w:val="0"/>
                <w:sz w:val="24"/>
                <w:szCs w:val="24"/>
                <w:highlight w:val="none"/>
                <w:lang w:val="en-US"/>
              </w:rPr>
            </w:pPr>
            <w:r>
              <w:rPr>
                <w:rFonts w:hint="eastAsia"/>
                <w:highlight w:val="none"/>
                <w:lang w:val="en-US" w:eastAsia="zh-CN"/>
              </w:rPr>
              <w:t>农业农村</w:t>
            </w:r>
          </w:p>
        </w:tc>
        <w:tc>
          <w:tcPr>
            <w:tcW w:w="163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574.44</w:t>
            </w:r>
            <w:r>
              <w:rPr>
                <w:rFonts w:hint="eastAsia" w:ascii="宋体" w:hAnsi="宋体" w:eastAsia="宋体" w:cs="宋体"/>
                <w:kern w:val="0"/>
                <w:sz w:val="24"/>
                <w:szCs w:val="24"/>
                <w:highlight w:val="none"/>
              </w:rPr>
              <w:t>　</w:t>
            </w:r>
          </w:p>
        </w:tc>
        <w:tc>
          <w:tcPr>
            <w:tcW w:w="146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533.39</w:t>
            </w:r>
            <w:r>
              <w:rPr>
                <w:rFonts w:hint="eastAsia" w:ascii="宋体" w:hAnsi="宋体" w:eastAsia="宋体" w:cs="宋体"/>
                <w:kern w:val="0"/>
                <w:sz w:val="24"/>
                <w:szCs w:val="24"/>
                <w:highlight w:val="none"/>
              </w:rPr>
              <w:t>　</w:t>
            </w:r>
          </w:p>
        </w:tc>
        <w:tc>
          <w:tcPr>
            <w:tcW w:w="129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41.05</w:t>
            </w:r>
            <w:r>
              <w:rPr>
                <w:rFonts w:hint="eastAsia" w:ascii="宋体" w:hAnsi="宋体" w:eastAsia="宋体" w:cs="宋体"/>
                <w:kern w:val="0"/>
                <w:sz w:val="24"/>
                <w:szCs w:val="24"/>
                <w:highlight w:val="none"/>
              </w:rPr>
              <w:t>　</w:t>
            </w:r>
          </w:p>
        </w:tc>
        <w:tc>
          <w:tcPr>
            <w:tcW w:w="172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c>
          <w:tcPr>
            <w:tcW w:w="138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c>
          <w:tcPr>
            <w:tcW w:w="244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r>
      <w:tr>
        <w:tblPrEx>
          <w:tblLayout w:type="fixed"/>
          <w:tblCellMar>
            <w:top w:w="0" w:type="dxa"/>
            <w:left w:w="108" w:type="dxa"/>
            <w:bottom w:w="0" w:type="dxa"/>
            <w:right w:w="108" w:type="dxa"/>
          </w:tblCellMar>
        </w:tblPrEx>
        <w:trPr>
          <w:trHeight w:val="397" w:hRule="exact"/>
        </w:trPr>
        <w:tc>
          <w:tcPr>
            <w:tcW w:w="1646"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ascii="宋体" w:hAnsi="宋体" w:eastAsia="宋体" w:cs="宋体"/>
                <w:kern w:val="0"/>
                <w:sz w:val="24"/>
                <w:szCs w:val="24"/>
                <w:highlight w:val="none"/>
              </w:rPr>
            </w:pPr>
            <w:r>
              <w:rPr>
                <w:rFonts w:hint="eastAsia"/>
                <w:highlight w:val="none"/>
                <w:lang w:val="en-US" w:eastAsia="zh-CN"/>
              </w:rPr>
              <w:t>2130101</w:t>
            </w:r>
          </w:p>
        </w:tc>
        <w:tc>
          <w:tcPr>
            <w:tcW w:w="4039" w:type="dxa"/>
            <w:tcBorders>
              <w:top w:val="nil"/>
              <w:left w:val="nil"/>
              <w:bottom w:val="single" w:color="auto" w:sz="4" w:space="0"/>
              <w:right w:val="single" w:color="auto" w:sz="4" w:space="0"/>
            </w:tcBorders>
            <w:shd w:val="clear" w:color="000000" w:fill="FFFFFF"/>
            <w:noWrap/>
            <w:vAlign w:val="center"/>
          </w:tcPr>
          <w:p>
            <w:pPr>
              <w:jc w:val="left"/>
              <w:rPr>
                <w:rFonts w:ascii="宋体" w:hAnsi="宋体" w:eastAsia="宋体" w:cs="宋体"/>
                <w:kern w:val="0"/>
                <w:sz w:val="24"/>
                <w:szCs w:val="24"/>
                <w:highlight w:val="none"/>
              </w:rPr>
            </w:pPr>
            <w:r>
              <w:rPr>
                <w:rFonts w:hint="eastAsia"/>
                <w:highlight w:val="none"/>
                <w:lang w:val="en-US" w:eastAsia="zh-CN"/>
              </w:rPr>
              <w:t>行政运行</w:t>
            </w:r>
          </w:p>
        </w:tc>
        <w:tc>
          <w:tcPr>
            <w:tcW w:w="163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533.39</w:t>
            </w:r>
            <w:r>
              <w:rPr>
                <w:rFonts w:hint="eastAsia" w:ascii="宋体" w:hAnsi="宋体" w:eastAsia="宋体" w:cs="宋体"/>
                <w:kern w:val="0"/>
                <w:sz w:val="24"/>
                <w:szCs w:val="24"/>
                <w:highlight w:val="none"/>
              </w:rPr>
              <w:t>　</w:t>
            </w:r>
          </w:p>
        </w:tc>
        <w:tc>
          <w:tcPr>
            <w:tcW w:w="146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533.39</w:t>
            </w:r>
            <w:r>
              <w:rPr>
                <w:rFonts w:hint="eastAsia" w:ascii="宋体" w:hAnsi="宋体" w:eastAsia="宋体" w:cs="宋体"/>
                <w:kern w:val="0"/>
                <w:sz w:val="24"/>
                <w:szCs w:val="24"/>
                <w:highlight w:val="none"/>
              </w:rPr>
              <w:t>　</w:t>
            </w:r>
          </w:p>
        </w:tc>
        <w:tc>
          <w:tcPr>
            <w:tcW w:w="129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c>
          <w:tcPr>
            <w:tcW w:w="172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c>
          <w:tcPr>
            <w:tcW w:w="138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c>
          <w:tcPr>
            <w:tcW w:w="244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r>
      <w:tr>
        <w:tblPrEx>
          <w:tblLayout w:type="fixed"/>
          <w:tblCellMar>
            <w:top w:w="0" w:type="dxa"/>
            <w:left w:w="108" w:type="dxa"/>
            <w:bottom w:w="0" w:type="dxa"/>
            <w:right w:w="108" w:type="dxa"/>
          </w:tblCellMar>
        </w:tblPrEx>
        <w:trPr>
          <w:trHeight w:val="397" w:hRule="exact"/>
        </w:trPr>
        <w:tc>
          <w:tcPr>
            <w:tcW w:w="1646"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ascii="宋体" w:hAnsi="宋体" w:eastAsia="宋体" w:cs="宋体"/>
                <w:kern w:val="0"/>
                <w:sz w:val="24"/>
                <w:szCs w:val="24"/>
                <w:highlight w:val="none"/>
              </w:rPr>
            </w:pPr>
            <w:r>
              <w:rPr>
                <w:rFonts w:hint="eastAsia"/>
                <w:highlight w:val="none"/>
                <w:lang w:val="en-US" w:eastAsia="zh-CN"/>
              </w:rPr>
              <w:t>2130105</w:t>
            </w:r>
          </w:p>
        </w:tc>
        <w:tc>
          <w:tcPr>
            <w:tcW w:w="4039" w:type="dxa"/>
            <w:tcBorders>
              <w:top w:val="nil"/>
              <w:left w:val="nil"/>
              <w:bottom w:val="single" w:color="auto" w:sz="4" w:space="0"/>
              <w:right w:val="single" w:color="auto" w:sz="4" w:space="0"/>
            </w:tcBorders>
            <w:shd w:val="clear" w:color="000000" w:fill="FFFFFF"/>
            <w:noWrap/>
            <w:vAlign w:val="center"/>
          </w:tcPr>
          <w:p>
            <w:pPr>
              <w:jc w:val="left"/>
              <w:rPr>
                <w:rFonts w:ascii="宋体" w:hAnsi="宋体" w:eastAsia="宋体" w:cs="宋体"/>
                <w:kern w:val="0"/>
                <w:sz w:val="24"/>
                <w:szCs w:val="24"/>
                <w:highlight w:val="none"/>
              </w:rPr>
            </w:pPr>
            <w:r>
              <w:rPr>
                <w:rFonts w:hint="eastAsia"/>
                <w:highlight w:val="none"/>
                <w:lang w:val="en-US" w:eastAsia="zh-CN"/>
              </w:rPr>
              <w:t>农垦运行</w:t>
            </w:r>
          </w:p>
        </w:tc>
        <w:tc>
          <w:tcPr>
            <w:tcW w:w="163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23.71</w:t>
            </w:r>
            <w:r>
              <w:rPr>
                <w:rFonts w:hint="eastAsia" w:ascii="宋体" w:hAnsi="宋体" w:eastAsia="宋体" w:cs="宋体"/>
                <w:kern w:val="0"/>
                <w:sz w:val="24"/>
                <w:szCs w:val="24"/>
                <w:highlight w:val="none"/>
              </w:rPr>
              <w:t>　</w:t>
            </w:r>
          </w:p>
        </w:tc>
        <w:tc>
          <w:tcPr>
            <w:tcW w:w="146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c>
          <w:tcPr>
            <w:tcW w:w="129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23.71</w:t>
            </w:r>
            <w:r>
              <w:rPr>
                <w:rFonts w:hint="eastAsia" w:ascii="宋体" w:hAnsi="宋体" w:eastAsia="宋体" w:cs="宋体"/>
                <w:kern w:val="0"/>
                <w:sz w:val="24"/>
                <w:szCs w:val="24"/>
                <w:highlight w:val="none"/>
              </w:rPr>
              <w:t>　</w:t>
            </w:r>
          </w:p>
        </w:tc>
        <w:tc>
          <w:tcPr>
            <w:tcW w:w="172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c>
          <w:tcPr>
            <w:tcW w:w="138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c>
          <w:tcPr>
            <w:tcW w:w="244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r>
      <w:tr>
        <w:tblPrEx>
          <w:tblLayout w:type="fixed"/>
          <w:tblCellMar>
            <w:top w:w="0" w:type="dxa"/>
            <w:left w:w="108" w:type="dxa"/>
            <w:bottom w:w="0" w:type="dxa"/>
            <w:right w:w="108" w:type="dxa"/>
          </w:tblCellMar>
        </w:tblPrEx>
        <w:trPr>
          <w:trHeight w:val="397" w:hRule="exact"/>
        </w:trPr>
        <w:tc>
          <w:tcPr>
            <w:tcW w:w="1646"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eastAsia" w:ascii="宋体" w:hAnsi="宋体" w:eastAsia="宋体" w:cs="宋体"/>
                <w:kern w:val="0"/>
                <w:sz w:val="24"/>
                <w:szCs w:val="24"/>
                <w:highlight w:val="none"/>
                <w:lang w:val="en-US" w:eastAsia="zh-CN" w:bidi="ar-SA"/>
              </w:rPr>
            </w:pPr>
            <w:r>
              <w:rPr>
                <w:rFonts w:hint="eastAsia"/>
                <w:highlight w:val="none"/>
                <w:lang w:val="en-US" w:eastAsia="zh-CN"/>
              </w:rPr>
              <w:t>2130122</w:t>
            </w:r>
          </w:p>
        </w:tc>
        <w:tc>
          <w:tcPr>
            <w:tcW w:w="4039" w:type="dxa"/>
            <w:tcBorders>
              <w:top w:val="nil"/>
              <w:left w:val="nil"/>
              <w:bottom w:val="single" w:color="auto" w:sz="4" w:space="0"/>
              <w:right w:val="single" w:color="auto" w:sz="4" w:space="0"/>
            </w:tcBorders>
            <w:shd w:val="clear" w:color="000000" w:fill="FFFFFF"/>
            <w:noWrap/>
            <w:vAlign w:val="center"/>
          </w:tcPr>
          <w:p>
            <w:pPr>
              <w:jc w:val="left"/>
              <w:rPr>
                <w:rFonts w:hint="eastAsia" w:ascii="宋体" w:hAnsi="宋体" w:eastAsia="宋体" w:cs="宋体"/>
                <w:kern w:val="0"/>
                <w:sz w:val="24"/>
                <w:szCs w:val="24"/>
                <w:highlight w:val="none"/>
                <w:lang w:val="en-US" w:eastAsia="zh-CN" w:bidi="ar-SA"/>
              </w:rPr>
            </w:pPr>
            <w:r>
              <w:rPr>
                <w:rFonts w:hint="eastAsia"/>
                <w:highlight w:val="none"/>
                <w:lang w:val="en-US" w:eastAsia="zh-CN"/>
              </w:rPr>
              <w:t>农业生产发展</w:t>
            </w:r>
          </w:p>
        </w:tc>
        <w:tc>
          <w:tcPr>
            <w:tcW w:w="1639"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rPr>
              <w:t>17.34</w:t>
            </w:r>
            <w:r>
              <w:rPr>
                <w:rFonts w:hint="eastAsia" w:ascii="宋体" w:hAnsi="宋体" w:eastAsia="宋体" w:cs="宋体"/>
                <w:kern w:val="0"/>
                <w:sz w:val="24"/>
                <w:szCs w:val="24"/>
                <w:highlight w:val="none"/>
              </w:rPr>
              <w:t>　</w:t>
            </w:r>
          </w:p>
        </w:tc>
        <w:tc>
          <w:tcPr>
            <w:tcW w:w="146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rPr>
              <w:t>　</w:t>
            </w:r>
          </w:p>
        </w:tc>
        <w:tc>
          <w:tcPr>
            <w:tcW w:w="1296"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rPr>
              <w:t>17.34</w:t>
            </w:r>
            <w:r>
              <w:rPr>
                <w:rFonts w:hint="eastAsia" w:ascii="宋体" w:hAnsi="宋体" w:eastAsia="宋体" w:cs="宋体"/>
                <w:kern w:val="0"/>
                <w:sz w:val="24"/>
                <w:szCs w:val="24"/>
                <w:highlight w:val="none"/>
              </w:rPr>
              <w:t>　</w:t>
            </w:r>
          </w:p>
        </w:tc>
        <w:tc>
          <w:tcPr>
            <w:tcW w:w="172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highlight w:val="none"/>
              </w:rPr>
            </w:pPr>
          </w:p>
        </w:tc>
        <w:tc>
          <w:tcPr>
            <w:tcW w:w="138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highlight w:val="none"/>
              </w:rPr>
            </w:pPr>
          </w:p>
        </w:tc>
        <w:tc>
          <w:tcPr>
            <w:tcW w:w="2444"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highlight w:val="none"/>
              </w:rPr>
            </w:pPr>
          </w:p>
        </w:tc>
      </w:tr>
      <w:tr>
        <w:tblPrEx>
          <w:tblLayout w:type="fixed"/>
          <w:tblCellMar>
            <w:top w:w="0" w:type="dxa"/>
            <w:left w:w="108" w:type="dxa"/>
            <w:bottom w:w="0" w:type="dxa"/>
            <w:right w:w="108" w:type="dxa"/>
          </w:tblCellMar>
        </w:tblPrEx>
        <w:trPr>
          <w:trHeight w:val="828" w:hRule="atLeast"/>
        </w:trPr>
        <w:tc>
          <w:tcPr>
            <w:tcW w:w="15640" w:type="dxa"/>
            <w:gridSpan w:val="9"/>
            <w:tcBorders>
              <w:top w:val="nil"/>
              <w:left w:val="nil"/>
              <w:bottom w:val="nil"/>
              <w:right w:val="nil"/>
            </w:tcBorders>
            <w:shd w:val="clear" w:color="auto" w:fill="auto"/>
            <w:vAlign w:val="center"/>
          </w:tcPr>
          <w:p>
            <w:pPr>
              <w:widowControl/>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注：本表反映部门本年度各项支出情况。</w:t>
            </w:r>
          </w:p>
        </w:tc>
      </w:tr>
    </w:tbl>
    <w:p>
      <w:pPr>
        <w:widowControl/>
        <w:jc w:val="both"/>
        <w:rPr>
          <w:rFonts w:ascii="Times New Roman" w:hAnsi="Times New Roman" w:eastAsia="方正小标宋_GBK" w:cs="Times New Roman"/>
          <w:color w:val="000000"/>
          <w:kern w:val="0"/>
          <w:sz w:val="36"/>
          <w:szCs w:val="21"/>
          <w:highlight w:val="red"/>
        </w:rPr>
      </w:pPr>
    </w:p>
    <w:tbl>
      <w:tblPr>
        <w:tblStyle w:val="10"/>
        <w:tblW w:w="15522" w:type="dxa"/>
        <w:tblInd w:w="91" w:type="dxa"/>
        <w:tblLayout w:type="fixed"/>
        <w:tblCellMar>
          <w:top w:w="0" w:type="dxa"/>
          <w:left w:w="108" w:type="dxa"/>
          <w:bottom w:w="0" w:type="dxa"/>
          <w:right w:w="108" w:type="dxa"/>
        </w:tblCellMar>
      </w:tblPr>
      <w:tblGrid>
        <w:gridCol w:w="3596"/>
        <w:gridCol w:w="436"/>
        <w:gridCol w:w="1078"/>
        <w:gridCol w:w="496"/>
        <w:gridCol w:w="2915"/>
        <w:gridCol w:w="632"/>
        <w:gridCol w:w="435"/>
        <w:gridCol w:w="1573"/>
        <w:gridCol w:w="1394"/>
        <w:gridCol w:w="1394"/>
        <w:gridCol w:w="1573"/>
      </w:tblGrid>
      <w:tr>
        <w:tblPrEx>
          <w:tblLayout w:type="fixed"/>
          <w:tblCellMar>
            <w:top w:w="0" w:type="dxa"/>
            <w:left w:w="108" w:type="dxa"/>
            <w:bottom w:w="0" w:type="dxa"/>
            <w:right w:w="108" w:type="dxa"/>
          </w:tblCellMar>
        </w:tblPrEx>
        <w:trPr>
          <w:trHeight w:val="285" w:hRule="atLeast"/>
        </w:trPr>
        <w:tc>
          <w:tcPr>
            <w:tcW w:w="3596" w:type="dxa"/>
            <w:tcBorders>
              <w:top w:val="nil"/>
              <w:left w:val="nil"/>
              <w:bottom w:val="nil"/>
              <w:right w:val="nil"/>
            </w:tcBorders>
            <w:shd w:val="clear" w:color="auto" w:fill="auto"/>
            <w:noWrap/>
            <w:vAlign w:val="center"/>
          </w:tcPr>
          <w:p>
            <w:pPr>
              <w:widowControl/>
              <w:jc w:val="left"/>
              <w:rPr>
                <w:rFonts w:ascii="黑体" w:hAnsi="黑体" w:eastAsia="黑体" w:cs="宋体"/>
                <w:kern w:val="0"/>
                <w:sz w:val="24"/>
                <w:szCs w:val="24"/>
                <w:highlight w:val="none"/>
              </w:rPr>
            </w:pPr>
            <w:bookmarkStart w:id="0" w:name="RANGE!A1:I22"/>
            <w:bookmarkEnd w:id="0"/>
            <w:bookmarkStart w:id="1" w:name="RANGE!A1:F16"/>
          </w:p>
        </w:tc>
        <w:tc>
          <w:tcPr>
            <w:tcW w:w="436"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highlight w:val="none"/>
              </w:rPr>
            </w:pPr>
          </w:p>
        </w:tc>
        <w:tc>
          <w:tcPr>
            <w:tcW w:w="1574" w:type="dxa"/>
            <w:gridSpan w:val="2"/>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highlight w:val="none"/>
              </w:rPr>
            </w:pPr>
          </w:p>
        </w:tc>
        <w:tc>
          <w:tcPr>
            <w:tcW w:w="3547" w:type="dxa"/>
            <w:gridSpan w:val="2"/>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highlight w:val="none"/>
              </w:rPr>
            </w:pPr>
          </w:p>
        </w:tc>
        <w:tc>
          <w:tcPr>
            <w:tcW w:w="435"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highlight w:val="none"/>
              </w:rPr>
            </w:pPr>
          </w:p>
        </w:tc>
        <w:tc>
          <w:tcPr>
            <w:tcW w:w="1573"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highlight w:val="none"/>
              </w:rPr>
            </w:pPr>
          </w:p>
        </w:tc>
        <w:tc>
          <w:tcPr>
            <w:tcW w:w="1394"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highlight w:val="none"/>
              </w:rPr>
            </w:pPr>
          </w:p>
        </w:tc>
        <w:tc>
          <w:tcPr>
            <w:tcW w:w="1394"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highlight w:val="none"/>
              </w:rPr>
            </w:pPr>
          </w:p>
        </w:tc>
        <w:tc>
          <w:tcPr>
            <w:tcW w:w="1573"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highlight w:val="none"/>
              </w:rPr>
            </w:pPr>
          </w:p>
        </w:tc>
      </w:tr>
      <w:tr>
        <w:tblPrEx>
          <w:tblLayout w:type="fixed"/>
          <w:tblCellMar>
            <w:top w:w="0" w:type="dxa"/>
            <w:left w:w="108" w:type="dxa"/>
            <w:bottom w:w="0" w:type="dxa"/>
            <w:right w:w="108" w:type="dxa"/>
          </w:tblCellMar>
        </w:tblPrEx>
        <w:trPr>
          <w:trHeight w:val="360" w:hRule="atLeast"/>
        </w:trPr>
        <w:tc>
          <w:tcPr>
            <w:tcW w:w="15522" w:type="dxa"/>
            <w:gridSpan w:val="11"/>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highlight w:val="none"/>
              </w:rPr>
            </w:pPr>
            <w:r>
              <w:rPr>
                <w:rFonts w:hint="eastAsia" w:ascii="华文中宋" w:hAnsi="华文中宋" w:eastAsia="华文中宋" w:cs="宋体"/>
                <w:color w:val="000000"/>
                <w:kern w:val="0"/>
                <w:sz w:val="28"/>
                <w:szCs w:val="28"/>
                <w:highlight w:val="none"/>
              </w:rPr>
              <w:t>财政拨款收入支出决算总表</w:t>
            </w:r>
          </w:p>
        </w:tc>
      </w:tr>
      <w:tr>
        <w:tblPrEx>
          <w:tblLayout w:type="fixed"/>
          <w:tblCellMar>
            <w:top w:w="0" w:type="dxa"/>
            <w:left w:w="108" w:type="dxa"/>
            <w:bottom w:w="0" w:type="dxa"/>
            <w:right w:w="108" w:type="dxa"/>
          </w:tblCellMar>
        </w:tblPrEx>
        <w:trPr>
          <w:trHeight w:val="227" w:hRule="exact"/>
        </w:trPr>
        <w:tc>
          <w:tcPr>
            <w:tcW w:w="3596"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c>
          <w:tcPr>
            <w:tcW w:w="436"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c>
          <w:tcPr>
            <w:tcW w:w="1078"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c>
          <w:tcPr>
            <w:tcW w:w="4043"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c>
          <w:tcPr>
            <w:tcW w:w="43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highlight w:val="none"/>
              </w:rPr>
            </w:pPr>
            <w:r>
              <w:rPr>
                <w:rFonts w:hint="eastAsia" w:ascii="宋体" w:hAnsi="宋体" w:eastAsia="宋体" w:cs="宋体"/>
                <w:color w:val="000000"/>
                <w:kern w:val="0"/>
                <w:sz w:val="20"/>
                <w:szCs w:val="20"/>
                <w:highlight w:val="none"/>
              </w:rPr>
              <w:t>公开04表</w:t>
            </w:r>
          </w:p>
        </w:tc>
      </w:tr>
      <w:tr>
        <w:tblPrEx>
          <w:tblLayout w:type="fixed"/>
          <w:tblCellMar>
            <w:top w:w="0" w:type="dxa"/>
            <w:left w:w="108" w:type="dxa"/>
            <w:bottom w:w="0" w:type="dxa"/>
            <w:right w:w="108" w:type="dxa"/>
          </w:tblCellMar>
        </w:tblPrEx>
        <w:trPr>
          <w:trHeight w:val="227" w:hRule="exact"/>
        </w:trPr>
        <w:tc>
          <w:tcPr>
            <w:tcW w:w="5110" w:type="dxa"/>
            <w:gridSpan w:val="3"/>
            <w:tcBorders>
              <w:top w:val="nil"/>
              <w:left w:val="nil"/>
              <w:bottom w:val="nil"/>
              <w:right w:val="nil"/>
            </w:tcBorders>
            <w:shd w:val="clear" w:color="000000" w:fill="FFFFFF"/>
            <w:noWrap/>
            <w:vAlign w:val="center"/>
          </w:tcPr>
          <w:p>
            <w:pPr>
              <w:widowControl/>
              <w:jc w:val="left"/>
              <w:rPr>
                <w:rFonts w:hint="default"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rPr>
              <w:t>部门：</w:t>
            </w:r>
            <w:r>
              <w:rPr>
                <w:rFonts w:hint="eastAsia" w:ascii="宋体" w:hAnsi="宋体" w:eastAsia="宋体" w:cs="宋体"/>
                <w:color w:val="000000"/>
                <w:kern w:val="0"/>
                <w:sz w:val="18"/>
                <w:szCs w:val="18"/>
                <w:highlight w:val="none"/>
                <w:lang w:val="en-US" w:eastAsia="zh-CN"/>
              </w:rPr>
              <w:t>湖南省农垦管理服务站</w:t>
            </w:r>
          </w:p>
          <w:p>
            <w:pPr>
              <w:widowControl/>
              <w:jc w:val="right"/>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p>
            <w:pPr>
              <w:widowControl/>
              <w:jc w:val="right"/>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c>
          <w:tcPr>
            <w:tcW w:w="4043"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c>
          <w:tcPr>
            <w:tcW w:w="43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单位：万元</w:t>
            </w:r>
          </w:p>
        </w:tc>
      </w:tr>
      <w:tr>
        <w:tblPrEx>
          <w:tblLayout w:type="fixed"/>
          <w:tblCellMar>
            <w:top w:w="0" w:type="dxa"/>
            <w:left w:w="108" w:type="dxa"/>
            <w:bottom w:w="0" w:type="dxa"/>
            <w:right w:w="108" w:type="dxa"/>
          </w:tblCellMar>
        </w:tblPrEx>
        <w:trPr>
          <w:trHeight w:val="227" w:hRule="exact"/>
        </w:trPr>
        <w:tc>
          <w:tcPr>
            <w:tcW w:w="5110"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收入</w:t>
            </w:r>
          </w:p>
        </w:tc>
        <w:tc>
          <w:tcPr>
            <w:tcW w:w="10412" w:type="dxa"/>
            <w:gridSpan w:val="8"/>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支出</w:t>
            </w:r>
          </w:p>
        </w:tc>
      </w:tr>
      <w:tr>
        <w:tblPrEx>
          <w:tblLayout w:type="fixed"/>
          <w:tblCellMar>
            <w:top w:w="0" w:type="dxa"/>
            <w:left w:w="108" w:type="dxa"/>
            <w:bottom w:w="0" w:type="dxa"/>
            <w:right w:w="108" w:type="dxa"/>
          </w:tblCellMar>
        </w:tblPrEx>
        <w:trPr>
          <w:trHeight w:val="227" w:hRule="exac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项    目</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行次</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金额</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项    目</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行次</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合计</w:t>
            </w: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一般公共预算财政拨款</w:t>
            </w: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政府性基金预算财政拨款</w:t>
            </w:r>
          </w:p>
        </w:tc>
        <w:tc>
          <w:tcPr>
            <w:tcW w:w="157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国有资本经营预算财政拨款</w:t>
            </w:r>
          </w:p>
        </w:tc>
      </w:tr>
      <w:tr>
        <w:tblPrEx>
          <w:tblLayout w:type="fixed"/>
          <w:tblCellMar>
            <w:top w:w="0" w:type="dxa"/>
            <w:left w:w="108" w:type="dxa"/>
            <w:bottom w:w="0" w:type="dxa"/>
            <w:right w:w="108" w:type="dxa"/>
          </w:tblCellMar>
        </w:tblPrEx>
        <w:trPr>
          <w:trHeight w:val="227" w:hRule="exac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栏    次</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1</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栏    次</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2</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3</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4</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5</w:t>
            </w:r>
          </w:p>
        </w:tc>
      </w:tr>
      <w:tr>
        <w:tblPrEx>
          <w:tblLayout w:type="fixed"/>
          <w:tblCellMar>
            <w:top w:w="0" w:type="dxa"/>
            <w:left w:w="108" w:type="dxa"/>
            <w:bottom w:w="0" w:type="dxa"/>
            <w:right w:w="108" w:type="dxa"/>
          </w:tblCellMar>
        </w:tblPrEx>
        <w:trPr>
          <w:trHeight w:val="227" w:hRule="exac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highlight w:val="none"/>
              </w:rPr>
            </w:pPr>
            <w:r>
              <w:rPr>
                <w:rFonts w:hint="eastAsia" w:ascii="宋体" w:hAnsi="宋体" w:eastAsia="宋体" w:cs="宋体"/>
                <w:kern w:val="0"/>
                <w:sz w:val="18"/>
                <w:szCs w:val="18"/>
                <w:highlight w:val="none"/>
              </w:rPr>
              <w:t>一、一般公共预算财政拨款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1</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18"/>
                <w:szCs w:val="18"/>
                <w:highlight w:val="none"/>
              </w:rPr>
            </w:pPr>
            <w:r>
              <w:rPr>
                <w:rFonts w:hint="eastAsia" w:ascii="宋体" w:hAnsi="宋体" w:eastAsia="宋体" w:cs="宋体"/>
                <w:kern w:val="0"/>
                <w:sz w:val="18"/>
                <w:szCs w:val="18"/>
                <w:highlight w:val="none"/>
                <w:lang w:val="en-US" w:eastAsia="zh-CN"/>
              </w:rPr>
              <w:t>773.12</w:t>
            </w:r>
            <w:r>
              <w:rPr>
                <w:rFonts w:hint="eastAsia" w:ascii="宋体" w:hAnsi="宋体" w:eastAsia="宋体" w:cs="宋体"/>
                <w:kern w:val="0"/>
                <w:sz w:val="18"/>
                <w:szCs w:val="18"/>
                <w:highlight w:val="none"/>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highlight w:val="none"/>
              </w:rPr>
            </w:pPr>
            <w:r>
              <w:rPr>
                <w:rFonts w:hint="eastAsia" w:ascii="宋体" w:hAnsi="宋体" w:eastAsia="宋体" w:cs="宋体"/>
                <w:kern w:val="0"/>
                <w:sz w:val="18"/>
                <w:szCs w:val="18"/>
                <w:highlight w:val="none"/>
              </w:rPr>
              <w:t>一、一般公共服务支出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33</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rPr>
              <w:t>　</w:t>
            </w:r>
            <w:r>
              <w:rPr>
                <w:rFonts w:hint="eastAsia" w:ascii="宋体" w:hAnsi="宋体" w:eastAsia="宋体" w:cs="宋体"/>
                <w:kern w:val="0"/>
                <w:sz w:val="18"/>
                <w:szCs w:val="18"/>
                <w:highlight w:val="none"/>
                <w:lang w:val="en-US" w:eastAsia="zh-CN"/>
              </w:rPr>
              <w:t>59.59</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lang w:val="en-US" w:eastAsia="zh-CN"/>
              </w:rPr>
              <w:t>59.59</w:t>
            </w:r>
            <w:r>
              <w:rPr>
                <w:rFonts w:hint="eastAsia" w:ascii="宋体" w:hAnsi="宋体" w:eastAsia="宋体" w:cs="宋体"/>
                <w:kern w:val="0"/>
                <w:sz w:val="18"/>
                <w:szCs w:val="18"/>
                <w:highlight w:val="none"/>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r>
      <w:tr>
        <w:tblPrEx>
          <w:tblLayout w:type="fixed"/>
          <w:tblCellMar>
            <w:top w:w="0" w:type="dxa"/>
            <w:left w:w="108" w:type="dxa"/>
            <w:bottom w:w="0" w:type="dxa"/>
            <w:right w:w="108" w:type="dxa"/>
          </w:tblCellMar>
        </w:tblPrEx>
        <w:trPr>
          <w:trHeight w:val="227" w:hRule="exac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highlight w:val="none"/>
              </w:rPr>
            </w:pPr>
            <w:r>
              <w:rPr>
                <w:rFonts w:hint="eastAsia" w:ascii="宋体" w:hAnsi="宋体" w:eastAsia="宋体" w:cs="宋体"/>
                <w:kern w:val="0"/>
                <w:sz w:val="18"/>
                <w:szCs w:val="18"/>
                <w:highlight w:val="none"/>
              </w:rPr>
              <w:t>二、政府性基金预算财政拨款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2</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highlight w:val="none"/>
              </w:rPr>
            </w:pPr>
            <w:r>
              <w:rPr>
                <w:rFonts w:hint="eastAsia" w:ascii="宋体" w:hAnsi="宋体" w:eastAsia="宋体" w:cs="宋体"/>
                <w:kern w:val="0"/>
                <w:sz w:val="18"/>
                <w:szCs w:val="18"/>
                <w:highlight w:val="none"/>
              </w:rPr>
              <w:t>二、外交支出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34</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r>
      <w:tr>
        <w:tblPrEx>
          <w:tblLayout w:type="fixed"/>
          <w:tblCellMar>
            <w:top w:w="0" w:type="dxa"/>
            <w:left w:w="108" w:type="dxa"/>
            <w:bottom w:w="0" w:type="dxa"/>
            <w:right w:w="108" w:type="dxa"/>
          </w:tblCellMar>
        </w:tblPrEx>
        <w:trPr>
          <w:trHeight w:val="227" w:hRule="exac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highlight w:val="none"/>
              </w:rPr>
            </w:pPr>
            <w:r>
              <w:rPr>
                <w:rFonts w:hint="eastAsia" w:ascii="宋体" w:hAnsi="宋体" w:eastAsia="宋体" w:cs="宋体"/>
                <w:kern w:val="0"/>
                <w:sz w:val="18"/>
                <w:szCs w:val="18"/>
                <w:highlight w:val="none"/>
              </w:rPr>
              <w:t>三、国有资本经营预算财政拨款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3</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highlight w:val="none"/>
              </w:rPr>
            </w:pPr>
            <w:r>
              <w:rPr>
                <w:rFonts w:hint="eastAsia" w:ascii="宋体" w:hAnsi="宋体" w:eastAsia="宋体" w:cs="宋体"/>
                <w:kern w:val="0"/>
                <w:sz w:val="18"/>
                <w:szCs w:val="18"/>
                <w:highlight w:val="none"/>
              </w:rPr>
              <w:t>三、国防支出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35</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r>
      <w:tr>
        <w:tblPrEx>
          <w:tblLayout w:type="fixed"/>
          <w:tblCellMar>
            <w:top w:w="0" w:type="dxa"/>
            <w:left w:w="108" w:type="dxa"/>
            <w:bottom w:w="0" w:type="dxa"/>
            <w:right w:w="108" w:type="dxa"/>
          </w:tblCellMar>
        </w:tblPrEx>
        <w:trPr>
          <w:trHeight w:val="227" w:hRule="exac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4</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highlight w:val="none"/>
              </w:rPr>
            </w:pPr>
            <w:r>
              <w:rPr>
                <w:rFonts w:hint="eastAsia" w:ascii="宋体" w:hAnsi="宋体" w:eastAsia="宋体" w:cs="宋体"/>
                <w:kern w:val="0"/>
                <w:sz w:val="18"/>
                <w:szCs w:val="18"/>
                <w:highlight w:val="none"/>
              </w:rPr>
              <w:t>四、公共安全支出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36</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r>
      <w:tr>
        <w:tblPrEx>
          <w:tblLayout w:type="fixed"/>
          <w:tblCellMar>
            <w:top w:w="0" w:type="dxa"/>
            <w:left w:w="108" w:type="dxa"/>
            <w:bottom w:w="0" w:type="dxa"/>
            <w:right w:w="108" w:type="dxa"/>
          </w:tblCellMar>
        </w:tblPrEx>
        <w:trPr>
          <w:trHeight w:val="227" w:hRule="exac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5</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highlight w:val="none"/>
              </w:rPr>
            </w:pPr>
            <w:r>
              <w:rPr>
                <w:rFonts w:hint="eastAsia" w:ascii="宋体" w:hAnsi="宋体" w:eastAsia="宋体" w:cs="宋体"/>
                <w:kern w:val="0"/>
                <w:sz w:val="18"/>
                <w:szCs w:val="18"/>
                <w:highlight w:val="none"/>
              </w:rPr>
              <w:t>五、教育支出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37</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r>
      <w:tr>
        <w:tblPrEx>
          <w:tblLayout w:type="fixed"/>
          <w:tblCellMar>
            <w:top w:w="0" w:type="dxa"/>
            <w:left w:w="108" w:type="dxa"/>
            <w:bottom w:w="0" w:type="dxa"/>
            <w:right w:w="108" w:type="dxa"/>
          </w:tblCellMar>
        </w:tblPrEx>
        <w:trPr>
          <w:trHeight w:val="227" w:hRule="exac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6</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highlight w:val="none"/>
              </w:rPr>
            </w:pPr>
            <w:r>
              <w:rPr>
                <w:rFonts w:hint="eastAsia" w:ascii="宋体" w:hAnsi="宋体" w:eastAsia="宋体" w:cs="宋体"/>
                <w:kern w:val="0"/>
                <w:sz w:val="18"/>
                <w:szCs w:val="18"/>
                <w:highlight w:val="none"/>
              </w:rPr>
              <w:t>六、科学技术支出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38</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r>
      <w:tr>
        <w:tblPrEx>
          <w:tblLayout w:type="fixed"/>
          <w:tblCellMar>
            <w:top w:w="0" w:type="dxa"/>
            <w:left w:w="108" w:type="dxa"/>
            <w:bottom w:w="0" w:type="dxa"/>
            <w:right w:w="108" w:type="dxa"/>
          </w:tblCellMar>
        </w:tblPrEx>
        <w:trPr>
          <w:trHeight w:val="227" w:hRule="exac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18"/>
                <w:szCs w:val="18"/>
                <w:highlight w:val="none"/>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7</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18"/>
                <w:szCs w:val="18"/>
                <w:highlight w:val="none"/>
              </w:rPr>
            </w:pPr>
          </w:p>
        </w:tc>
        <w:tc>
          <w:tcPr>
            <w:tcW w:w="341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kern w:val="0"/>
                <w:sz w:val="18"/>
                <w:szCs w:val="18"/>
                <w:highlight w:val="none"/>
                <w:lang w:val="en-US" w:eastAsia="zh-CN"/>
              </w:rPr>
            </w:pPr>
            <w:r>
              <w:rPr>
                <w:rFonts w:hint="eastAsia" w:ascii="宋体" w:hAnsi="宋体" w:eastAsia="宋体" w:cs="宋体"/>
                <w:i w:val="0"/>
                <w:color w:val="000000"/>
                <w:kern w:val="0"/>
                <w:sz w:val="18"/>
                <w:szCs w:val="18"/>
                <w:highlight w:val="none"/>
                <w:u w:val="none"/>
                <w:lang w:val="en-US" w:eastAsia="zh-CN" w:bidi="ar"/>
              </w:rPr>
              <w:t>七、文化旅游体育与传媒支出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39</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18"/>
                <w:szCs w:val="18"/>
                <w:highlight w:val="none"/>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18"/>
                <w:szCs w:val="18"/>
                <w:highlight w:val="none"/>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18"/>
                <w:szCs w:val="18"/>
                <w:highlight w:val="none"/>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18"/>
                <w:szCs w:val="18"/>
                <w:highlight w:val="none"/>
              </w:rPr>
            </w:pPr>
          </w:p>
        </w:tc>
      </w:tr>
      <w:tr>
        <w:tblPrEx>
          <w:tblLayout w:type="fixed"/>
          <w:tblCellMar>
            <w:top w:w="0" w:type="dxa"/>
            <w:left w:w="108" w:type="dxa"/>
            <w:bottom w:w="0" w:type="dxa"/>
            <w:right w:w="108" w:type="dxa"/>
          </w:tblCellMar>
        </w:tblPrEx>
        <w:trPr>
          <w:trHeight w:val="227" w:hRule="exac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18"/>
                <w:szCs w:val="18"/>
                <w:highlight w:val="none"/>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8</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18"/>
                <w:szCs w:val="18"/>
                <w:highlight w:val="none"/>
              </w:rPr>
            </w:pPr>
          </w:p>
        </w:tc>
        <w:tc>
          <w:tcPr>
            <w:tcW w:w="3411" w:type="dxa"/>
            <w:gridSpan w:val="2"/>
            <w:tcBorders>
              <w:top w:val="nil"/>
              <w:left w:val="nil"/>
              <w:bottom w:val="single" w:color="auto" w:sz="4" w:space="0"/>
              <w:right w:val="single" w:color="auto" w:sz="4" w:space="0"/>
            </w:tcBorders>
            <w:shd w:val="clear" w:color="auto" w:fill="auto"/>
            <w:noWrap/>
            <w:vAlign w:val="center"/>
          </w:tcPr>
          <w:p>
            <w:pPr>
              <w:jc w:val="left"/>
              <w:rPr>
                <w:rFonts w:hint="eastAsia" w:ascii="宋体" w:hAnsi="宋体" w:eastAsia="宋体" w:cs="宋体"/>
                <w:kern w:val="0"/>
                <w:sz w:val="18"/>
                <w:szCs w:val="18"/>
                <w:highlight w:val="none"/>
              </w:rPr>
            </w:pPr>
            <w:r>
              <w:rPr>
                <w:rFonts w:hint="eastAsia" w:ascii="宋体" w:hAnsi="宋体" w:eastAsia="宋体" w:cs="宋体"/>
                <w:i w:val="0"/>
                <w:color w:val="000000"/>
                <w:sz w:val="18"/>
                <w:szCs w:val="18"/>
                <w:highlight w:val="none"/>
                <w:u w:val="none"/>
                <w:lang w:val="en-US" w:eastAsia="zh-CN"/>
              </w:rPr>
              <w:t>八、社会保障和就业支出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40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154.98</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154.98</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18"/>
                <w:szCs w:val="18"/>
                <w:highlight w:val="none"/>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18"/>
                <w:szCs w:val="18"/>
                <w:highlight w:val="none"/>
              </w:rPr>
            </w:pPr>
          </w:p>
        </w:tc>
      </w:tr>
      <w:tr>
        <w:tblPrEx>
          <w:tblLayout w:type="fixed"/>
          <w:tblCellMar>
            <w:top w:w="0" w:type="dxa"/>
            <w:left w:w="108" w:type="dxa"/>
            <w:bottom w:w="0" w:type="dxa"/>
            <w:right w:w="108" w:type="dxa"/>
          </w:tblCellMar>
        </w:tblPrEx>
        <w:trPr>
          <w:trHeight w:val="227" w:hRule="exac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18"/>
                <w:szCs w:val="18"/>
                <w:highlight w:val="none"/>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9</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18"/>
                <w:szCs w:val="18"/>
                <w:highlight w:val="none"/>
              </w:rPr>
            </w:pPr>
          </w:p>
        </w:tc>
        <w:tc>
          <w:tcPr>
            <w:tcW w:w="3411" w:type="dxa"/>
            <w:gridSpan w:val="2"/>
            <w:tcBorders>
              <w:top w:val="nil"/>
              <w:left w:val="nil"/>
              <w:bottom w:val="single" w:color="auto" w:sz="4" w:space="0"/>
              <w:right w:val="single" w:color="auto" w:sz="4" w:space="0"/>
            </w:tcBorders>
            <w:shd w:val="clear" w:color="auto" w:fill="auto"/>
            <w:noWrap/>
            <w:vAlign w:val="center"/>
          </w:tcPr>
          <w:p>
            <w:pPr>
              <w:jc w:val="left"/>
              <w:rPr>
                <w:rFonts w:hint="eastAsia" w:ascii="宋体" w:hAnsi="宋体" w:eastAsia="宋体" w:cs="宋体"/>
                <w:kern w:val="0"/>
                <w:sz w:val="18"/>
                <w:szCs w:val="18"/>
                <w:highlight w:val="none"/>
              </w:rPr>
            </w:pPr>
            <w:r>
              <w:rPr>
                <w:rFonts w:hint="eastAsia" w:ascii="宋体" w:hAnsi="宋体" w:eastAsia="宋体" w:cs="宋体"/>
                <w:i w:val="0"/>
                <w:color w:val="000000"/>
                <w:sz w:val="18"/>
                <w:szCs w:val="18"/>
                <w:highlight w:val="none"/>
                <w:u w:val="none"/>
                <w:lang w:val="en-US" w:eastAsia="zh-CN"/>
              </w:rPr>
              <w:t>九、卫生健康支出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41</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18"/>
                <w:szCs w:val="18"/>
                <w:highlight w:val="none"/>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18"/>
                <w:szCs w:val="18"/>
                <w:highlight w:val="none"/>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18"/>
                <w:szCs w:val="18"/>
                <w:highlight w:val="none"/>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18"/>
                <w:szCs w:val="18"/>
                <w:highlight w:val="none"/>
              </w:rPr>
            </w:pPr>
          </w:p>
        </w:tc>
      </w:tr>
      <w:tr>
        <w:tblPrEx>
          <w:tblLayout w:type="fixed"/>
          <w:tblCellMar>
            <w:top w:w="0" w:type="dxa"/>
            <w:left w:w="108" w:type="dxa"/>
            <w:bottom w:w="0" w:type="dxa"/>
            <w:right w:w="108" w:type="dxa"/>
          </w:tblCellMar>
        </w:tblPrEx>
        <w:trPr>
          <w:trHeight w:val="227" w:hRule="exac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18"/>
                <w:szCs w:val="18"/>
                <w:highlight w:val="none"/>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10</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18"/>
                <w:szCs w:val="18"/>
                <w:highlight w:val="none"/>
              </w:rPr>
            </w:pPr>
          </w:p>
        </w:tc>
        <w:tc>
          <w:tcPr>
            <w:tcW w:w="3411" w:type="dxa"/>
            <w:gridSpan w:val="2"/>
            <w:tcBorders>
              <w:top w:val="nil"/>
              <w:left w:val="nil"/>
              <w:bottom w:val="single" w:color="auto" w:sz="4" w:space="0"/>
              <w:right w:val="single" w:color="auto" w:sz="4" w:space="0"/>
            </w:tcBorders>
            <w:shd w:val="clear" w:color="auto" w:fill="auto"/>
            <w:noWrap/>
            <w:vAlign w:val="center"/>
          </w:tcPr>
          <w:p>
            <w:pPr>
              <w:jc w:val="left"/>
              <w:rPr>
                <w:rFonts w:hint="eastAsia" w:ascii="宋体" w:hAnsi="宋体" w:eastAsia="宋体" w:cs="宋体"/>
                <w:kern w:val="0"/>
                <w:sz w:val="18"/>
                <w:szCs w:val="18"/>
                <w:highlight w:val="none"/>
              </w:rPr>
            </w:pPr>
            <w:r>
              <w:rPr>
                <w:rFonts w:hint="eastAsia" w:ascii="宋体" w:hAnsi="宋体" w:eastAsia="宋体" w:cs="宋体"/>
                <w:i w:val="0"/>
                <w:color w:val="000000"/>
                <w:sz w:val="18"/>
                <w:szCs w:val="18"/>
                <w:highlight w:val="none"/>
                <w:u w:val="none"/>
                <w:lang w:val="en-US" w:eastAsia="zh-CN"/>
              </w:rPr>
              <w:t>十、节能环保支出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42</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18"/>
                <w:szCs w:val="18"/>
                <w:highlight w:val="none"/>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18"/>
                <w:szCs w:val="18"/>
                <w:highlight w:val="none"/>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18"/>
                <w:szCs w:val="18"/>
                <w:highlight w:val="none"/>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18"/>
                <w:szCs w:val="18"/>
                <w:highlight w:val="none"/>
              </w:rPr>
            </w:pPr>
          </w:p>
        </w:tc>
      </w:tr>
      <w:tr>
        <w:tblPrEx>
          <w:tblLayout w:type="fixed"/>
          <w:tblCellMar>
            <w:top w:w="0" w:type="dxa"/>
            <w:left w:w="108" w:type="dxa"/>
            <w:bottom w:w="0" w:type="dxa"/>
            <w:right w:w="108" w:type="dxa"/>
          </w:tblCellMar>
        </w:tblPrEx>
        <w:trPr>
          <w:trHeight w:val="227" w:hRule="exac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18"/>
                <w:szCs w:val="18"/>
                <w:highlight w:val="none"/>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11</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18"/>
                <w:szCs w:val="18"/>
                <w:highlight w:val="none"/>
              </w:rPr>
            </w:pPr>
          </w:p>
        </w:tc>
        <w:tc>
          <w:tcPr>
            <w:tcW w:w="3411" w:type="dxa"/>
            <w:gridSpan w:val="2"/>
            <w:tcBorders>
              <w:top w:val="nil"/>
              <w:left w:val="nil"/>
              <w:bottom w:val="single" w:color="auto" w:sz="4" w:space="0"/>
              <w:right w:val="single" w:color="auto" w:sz="4" w:space="0"/>
            </w:tcBorders>
            <w:shd w:val="clear" w:color="auto" w:fill="auto"/>
            <w:noWrap/>
            <w:vAlign w:val="center"/>
          </w:tcPr>
          <w:p>
            <w:pPr>
              <w:jc w:val="left"/>
              <w:rPr>
                <w:rFonts w:hint="eastAsia" w:ascii="宋体" w:hAnsi="宋体" w:eastAsia="宋体" w:cs="宋体"/>
                <w:kern w:val="0"/>
                <w:sz w:val="18"/>
                <w:szCs w:val="18"/>
                <w:highlight w:val="none"/>
              </w:rPr>
            </w:pPr>
            <w:r>
              <w:rPr>
                <w:rFonts w:hint="eastAsia" w:ascii="宋体" w:hAnsi="宋体" w:eastAsia="宋体" w:cs="宋体"/>
                <w:i w:val="0"/>
                <w:color w:val="000000"/>
                <w:sz w:val="18"/>
                <w:szCs w:val="18"/>
                <w:highlight w:val="none"/>
                <w:u w:val="none"/>
                <w:lang w:val="en-US" w:eastAsia="zh-CN"/>
              </w:rPr>
              <w:t>十一、城乡社区支出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43</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18"/>
                <w:szCs w:val="18"/>
                <w:highlight w:val="none"/>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18"/>
                <w:szCs w:val="18"/>
                <w:highlight w:val="none"/>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18"/>
                <w:szCs w:val="18"/>
                <w:highlight w:val="none"/>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18"/>
                <w:szCs w:val="18"/>
                <w:highlight w:val="none"/>
              </w:rPr>
            </w:pPr>
          </w:p>
        </w:tc>
      </w:tr>
      <w:tr>
        <w:tblPrEx>
          <w:tblLayout w:type="fixed"/>
          <w:tblCellMar>
            <w:top w:w="0" w:type="dxa"/>
            <w:left w:w="108" w:type="dxa"/>
            <w:bottom w:w="0" w:type="dxa"/>
            <w:right w:w="108" w:type="dxa"/>
          </w:tblCellMar>
        </w:tblPrEx>
        <w:trPr>
          <w:trHeight w:val="227" w:hRule="exac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18"/>
                <w:szCs w:val="18"/>
                <w:highlight w:val="none"/>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12</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18"/>
                <w:szCs w:val="18"/>
                <w:highlight w:val="none"/>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18"/>
                <w:szCs w:val="18"/>
                <w:highlight w:val="none"/>
              </w:rPr>
            </w:pPr>
            <w:r>
              <w:rPr>
                <w:rFonts w:hint="eastAsia" w:ascii="宋体" w:hAnsi="宋体" w:eastAsia="宋体" w:cs="宋体"/>
                <w:i w:val="0"/>
                <w:color w:val="000000"/>
                <w:sz w:val="18"/>
                <w:szCs w:val="18"/>
                <w:highlight w:val="none"/>
                <w:u w:val="none"/>
                <w:lang w:val="en-US" w:eastAsia="zh-CN"/>
              </w:rPr>
              <w:t>十二、农林水支出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44</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574.2</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574.2</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18"/>
                <w:szCs w:val="18"/>
                <w:highlight w:val="none"/>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18"/>
                <w:szCs w:val="18"/>
                <w:highlight w:val="none"/>
              </w:rPr>
            </w:pPr>
          </w:p>
        </w:tc>
      </w:tr>
      <w:tr>
        <w:tblPrEx>
          <w:tblLayout w:type="fixed"/>
          <w:tblCellMar>
            <w:top w:w="0" w:type="dxa"/>
            <w:left w:w="108" w:type="dxa"/>
            <w:bottom w:w="0" w:type="dxa"/>
            <w:right w:w="108" w:type="dxa"/>
          </w:tblCellMar>
        </w:tblPrEx>
        <w:trPr>
          <w:trHeight w:val="227" w:hRule="exac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18"/>
                <w:szCs w:val="18"/>
                <w:highlight w:val="none"/>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13</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18"/>
                <w:szCs w:val="18"/>
                <w:highlight w:val="none"/>
              </w:rPr>
            </w:pPr>
          </w:p>
        </w:tc>
        <w:tc>
          <w:tcPr>
            <w:tcW w:w="3411" w:type="dxa"/>
            <w:gridSpan w:val="2"/>
            <w:tcBorders>
              <w:top w:val="nil"/>
              <w:left w:val="nil"/>
              <w:bottom w:val="single" w:color="auto" w:sz="4" w:space="0"/>
              <w:right w:val="single" w:color="auto" w:sz="4" w:space="0"/>
            </w:tcBorders>
            <w:shd w:val="clear" w:color="auto" w:fill="auto"/>
            <w:noWrap/>
            <w:vAlign w:val="center"/>
          </w:tcPr>
          <w:p>
            <w:pPr>
              <w:jc w:val="left"/>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十三、交通运输支出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45</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18"/>
                <w:szCs w:val="18"/>
                <w:highlight w:val="none"/>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18"/>
                <w:szCs w:val="18"/>
                <w:highlight w:val="none"/>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18"/>
                <w:szCs w:val="18"/>
                <w:highlight w:val="none"/>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18"/>
                <w:szCs w:val="18"/>
                <w:highlight w:val="none"/>
              </w:rPr>
            </w:pPr>
          </w:p>
        </w:tc>
      </w:tr>
      <w:tr>
        <w:tblPrEx>
          <w:tblLayout w:type="fixed"/>
          <w:tblCellMar>
            <w:top w:w="0" w:type="dxa"/>
            <w:left w:w="108" w:type="dxa"/>
            <w:bottom w:w="0" w:type="dxa"/>
            <w:right w:w="108" w:type="dxa"/>
          </w:tblCellMar>
        </w:tblPrEx>
        <w:trPr>
          <w:trHeight w:val="227" w:hRule="exac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18"/>
                <w:szCs w:val="18"/>
                <w:highlight w:val="none"/>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14</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18"/>
                <w:szCs w:val="18"/>
                <w:highlight w:val="none"/>
              </w:rPr>
            </w:pPr>
          </w:p>
        </w:tc>
        <w:tc>
          <w:tcPr>
            <w:tcW w:w="3411" w:type="dxa"/>
            <w:gridSpan w:val="2"/>
            <w:tcBorders>
              <w:top w:val="nil"/>
              <w:left w:val="nil"/>
              <w:bottom w:val="single" w:color="auto" w:sz="4" w:space="0"/>
              <w:right w:val="single" w:color="auto" w:sz="4" w:space="0"/>
            </w:tcBorders>
            <w:shd w:val="clear" w:color="auto" w:fill="auto"/>
            <w:noWrap/>
            <w:vAlign w:val="center"/>
          </w:tcPr>
          <w:p>
            <w:pPr>
              <w:numPr>
                <w:ilvl w:val="0"/>
                <w:numId w:val="0"/>
              </w:numPr>
              <w:jc w:val="left"/>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十四、资源勘探工业信息等支出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46</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18"/>
                <w:szCs w:val="18"/>
                <w:highlight w:val="none"/>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18"/>
                <w:szCs w:val="18"/>
                <w:highlight w:val="none"/>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18"/>
                <w:szCs w:val="18"/>
                <w:highlight w:val="none"/>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18"/>
                <w:szCs w:val="18"/>
                <w:highlight w:val="none"/>
              </w:rPr>
            </w:pPr>
          </w:p>
        </w:tc>
      </w:tr>
      <w:tr>
        <w:tblPrEx>
          <w:tblLayout w:type="fixed"/>
          <w:tblCellMar>
            <w:top w:w="0" w:type="dxa"/>
            <w:left w:w="108" w:type="dxa"/>
            <w:bottom w:w="0" w:type="dxa"/>
            <w:right w:w="108" w:type="dxa"/>
          </w:tblCellMar>
        </w:tblPrEx>
        <w:trPr>
          <w:trHeight w:val="227" w:hRule="exac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18"/>
                <w:szCs w:val="18"/>
                <w:highlight w:val="none"/>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15</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18"/>
                <w:szCs w:val="18"/>
                <w:highlight w:val="none"/>
              </w:rPr>
            </w:pPr>
          </w:p>
        </w:tc>
        <w:tc>
          <w:tcPr>
            <w:tcW w:w="3411" w:type="dxa"/>
            <w:gridSpan w:val="2"/>
            <w:tcBorders>
              <w:top w:val="nil"/>
              <w:left w:val="nil"/>
              <w:bottom w:val="single" w:color="auto" w:sz="4" w:space="0"/>
              <w:right w:val="single" w:color="auto" w:sz="4" w:space="0"/>
            </w:tcBorders>
            <w:shd w:val="clear" w:color="auto" w:fill="auto"/>
            <w:noWrap/>
            <w:vAlign w:val="center"/>
          </w:tcPr>
          <w:p>
            <w:pPr>
              <w:jc w:val="left"/>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lang w:val="en-US" w:eastAsia="zh-CN"/>
              </w:rPr>
              <w:t>十五、商业服务业等支出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47</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18"/>
                <w:szCs w:val="18"/>
                <w:highlight w:val="none"/>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18"/>
                <w:szCs w:val="18"/>
                <w:highlight w:val="none"/>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18"/>
                <w:szCs w:val="18"/>
                <w:highlight w:val="none"/>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18"/>
                <w:szCs w:val="18"/>
                <w:highlight w:val="none"/>
              </w:rPr>
            </w:pPr>
          </w:p>
        </w:tc>
      </w:tr>
      <w:tr>
        <w:tblPrEx>
          <w:tblLayout w:type="fixed"/>
          <w:tblCellMar>
            <w:top w:w="0" w:type="dxa"/>
            <w:left w:w="108" w:type="dxa"/>
            <w:bottom w:w="0" w:type="dxa"/>
            <w:right w:w="108" w:type="dxa"/>
          </w:tblCellMar>
        </w:tblPrEx>
        <w:trPr>
          <w:trHeight w:val="227" w:hRule="exac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18"/>
                <w:szCs w:val="18"/>
                <w:highlight w:val="none"/>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16</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18"/>
                <w:szCs w:val="18"/>
                <w:highlight w:val="none"/>
              </w:rPr>
            </w:pPr>
          </w:p>
        </w:tc>
        <w:tc>
          <w:tcPr>
            <w:tcW w:w="3411" w:type="dxa"/>
            <w:gridSpan w:val="2"/>
            <w:tcBorders>
              <w:top w:val="nil"/>
              <w:left w:val="nil"/>
              <w:bottom w:val="single" w:color="auto" w:sz="4" w:space="0"/>
              <w:right w:val="single" w:color="auto" w:sz="4" w:space="0"/>
            </w:tcBorders>
            <w:shd w:val="clear" w:color="auto" w:fill="auto"/>
            <w:noWrap/>
            <w:vAlign w:val="center"/>
          </w:tcPr>
          <w:p>
            <w:pPr>
              <w:jc w:val="left"/>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lang w:val="en-US" w:eastAsia="zh-CN"/>
              </w:rPr>
              <w:t>十六、金融支出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kern w:val="0"/>
                <w:sz w:val="18"/>
                <w:szCs w:val="18"/>
                <w:highlight w:val="none"/>
                <w:lang w:val="en-US" w:eastAsia="zh-CN"/>
              </w:rPr>
            </w:pPr>
            <w:r>
              <w:rPr>
                <w:rFonts w:hint="eastAsia" w:ascii="宋体" w:hAnsi="宋体" w:eastAsia="宋体" w:cs="宋体"/>
                <w:i w:val="0"/>
                <w:color w:val="000000"/>
                <w:kern w:val="0"/>
                <w:sz w:val="18"/>
                <w:szCs w:val="18"/>
                <w:highlight w:val="none"/>
                <w:u w:val="none"/>
                <w:lang w:val="en-US" w:eastAsia="zh-CN" w:bidi="ar"/>
              </w:rPr>
              <w:t>48</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18"/>
                <w:szCs w:val="18"/>
                <w:highlight w:val="none"/>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18"/>
                <w:szCs w:val="18"/>
                <w:highlight w:val="none"/>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18"/>
                <w:szCs w:val="18"/>
                <w:highlight w:val="none"/>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18"/>
                <w:szCs w:val="18"/>
                <w:highlight w:val="none"/>
              </w:rPr>
            </w:pPr>
          </w:p>
        </w:tc>
      </w:tr>
      <w:tr>
        <w:tblPrEx>
          <w:tblLayout w:type="fixed"/>
          <w:tblCellMar>
            <w:top w:w="0" w:type="dxa"/>
            <w:left w:w="108" w:type="dxa"/>
            <w:bottom w:w="0" w:type="dxa"/>
            <w:right w:w="108" w:type="dxa"/>
          </w:tblCellMar>
        </w:tblPrEx>
        <w:trPr>
          <w:trHeight w:val="227" w:hRule="exac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18"/>
                <w:szCs w:val="18"/>
                <w:highlight w:val="none"/>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17</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18"/>
                <w:szCs w:val="18"/>
                <w:highlight w:val="none"/>
              </w:rPr>
            </w:pPr>
          </w:p>
        </w:tc>
        <w:tc>
          <w:tcPr>
            <w:tcW w:w="3411" w:type="dxa"/>
            <w:gridSpan w:val="2"/>
            <w:tcBorders>
              <w:top w:val="nil"/>
              <w:left w:val="nil"/>
              <w:bottom w:val="single" w:color="auto" w:sz="4" w:space="0"/>
              <w:right w:val="single" w:color="auto" w:sz="4" w:space="0"/>
            </w:tcBorders>
            <w:shd w:val="clear" w:color="auto" w:fill="auto"/>
            <w:noWrap/>
            <w:vAlign w:val="center"/>
          </w:tcPr>
          <w:p>
            <w:pPr>
              <w:jc w:val="left"/>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lang w:val="en-US" w:eastAsia="zh-CN"/>
              </w:rPr>
              <w:t>十七、援助其他地区支出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kern w:val="0"/>
                <w:sz w:val="18"/>
                <w:szCs w:val="18"/>
                <w:highlight w:val="none"/>
                <w:lang w:val="en-US" w:eastAsia="zh-CN"/>
              </w:rPr>
            </w:pPr>
            <w:r>
              <w:rPr>
                <w:rFonts w:hint="eastAsia" w:ascii="宋体" w:hAnsi="宋体" w:eastAsia="宋体" w:cs="宋体"/>
                <w:i w:val="0"/>
                <w:color w:val="000000"/>
                <w:kern w:val="0"/>
                <w:sz w:val="18"/>
                <w:szCs w:val="18"/>
                <w:highlight w:val="none"/>
                <w:u w:val="none"/>
                <w:lang w:val="en-US" w:eastAsia="zh-CN" w:bidi="ar"/>
              </w:rPr>
              <w:t>49</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18"/>
                <w:szCs w:val="18"/>
                <w:highlight w:val="none"/>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18"/>
                <w:szCs w:val="18"/>
                <w:highlight w:val="none"/>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18"/>
                <w:szCs w:val="18"/>
                <w:highlight w:val="none"/>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18"/>
                <w:szCs w:val="18"/>
                <w:highlight w:val="none"/>
              </w:rPr>
            </w:pPr>
          </w:p>
        </w:tc>
      </w:tr>
      <w:tr>
        <w:tblPrEx>
          <w:tblLayout w:type="fixed"/>
          <w:tblCellMar>
            <w:top w:w="0" w:type="dxa"/>
            <w:left w:w="108" w:type="dxa"/>
            <w:bottom w:w="0" w:type="dxa"/>
            <w:right w:w="108" w:type="dxa"/>
          </w:tblCellMar>
        </w:tblPrEx>
        <w:trPr>
          <w:trHeight w:val="227" w:hRule="exac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18"/>
                <w:szCs w:val="18"/>
                <w:highlight w:val="none"/>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18</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18"/>
                <w:szCs w:val="18"/>
                <w:highlight w:val="none"/>
              </w:rPr>
            </w:pPr>
          </w:p>
        </w:tc>
        <w:tc>
          <w:tcPr>
            <w:tcW w:w="3411" w:type="dxa"/>
            <w:gridSpan w:val="2"/>
            <w:tcBorders>
              <w:top w:val="nil"/>
              <w:left w:val="nil"/>
              <w:bottom w:val="single" w:color="auto" w:sz="4" w:space="0"/>
              <w:right w:val="single" w:color="auto" w:sz="4" w:space="0"/>
            </w:tcBorders>
            <w:shd w:val="clear" w:color="auto" w:fill="auto"/>
            <w:noWrap/>
            <w:vAlign w:val="center"/>
          </w:tcPr>
          <w:p>
            <w:pPr>
              <w:jc w:val="left"/>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lang w:val="en-US" w:eastAsia="zh-CN"/>
              </w:rPr>
              <w:t>十八、自然资源海洋气象等支出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50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18"/>
                <w:szCs w:val="18"/>
                <w:highlight w:val="none"/>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18"/>
                <w:szCs w:val="18"/>
                <w:highlight w:val="none"/>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18"/>
                <w:szCs w:val="18"/>
                <w:highlight w:val="none"/>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18"/>
                <w:szCs w:val="18"/>
                <w:highlight w:val="none"/>
              </w:rPr>
            </w:pPr>
          </w:p>
        </w:tc>
      </w:tr>
      <w:tr>
        <w:tblPrEx>
          <w:tblLayout w:type="fixed"/>
          <w:tblCellMar>
            <w:top w:w="0" w:type="dxa"/>
            <w:left w:w="108" w:type="dxa"/>
            <w:bottom w:w="0" w:type="dxa"/>
            <w:right w:w="108" w:type="dxa"/>
          </w:tblCellMar>
        </w:tblPrEx>
        <w:trPr>
          <w:trHeight w:val="227" w:hRule="exac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18"/>
                <w:szCs w:val="18"/>
                <w:highlight w:val="none"/>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19</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18"/>
                <w:szCs w:val="18"/>
                <w:highlight w:val="none"/>
              </w:rPr>
            </w:pPr>
          </w:p>
        </w:tc>
        <w:tc>
          <w:tcPr>
            <w:tcW w:w="3411" w:type="dxa"/>
            <w:gridSpan w:val="2"/>
            <w:tcBorders>
              <w:top w:val="nil"/>
              <w:left w:val="nil"/>
              <w:bottom w:val="single" w:color="auto" w:sz="4" w:space="0"/>
              <w:right w:val="single" w:color="auto" w:sz="4" w:space="0"/>
            </w:tcBorders>
            <w:shd w:val="clear" w:color="auto" w:fill="auto"/>
            <w:noWrap/>
            <w:vAlign w:val="center"/>
          </w:tcPr>
          <w:p>
            <w:pPr>
              <w:jc w:val="left"/>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lang w:val="en-US" w:eastAsia="zh-CN"/>
              </w:rPr>
              <w:t>十九、住房保障支出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51</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18"/>
                <w:szCs w:val="18"/>
                <w:highlight w:val="none"/>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18"/>
                <w:szCs w:val="18"/>
                <w:highlight w:val="none"/>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18"/>
                <w:szCs w:val="18"/>
                <w:highlight w:val="none"/>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18"/>
                <w:szCs w:val="18"/>
                <w:highlight w:val="none"/>
              </w:rPr>
            </w:pPr>
          </w:p>
        </w:tc>
      </w:tr>
      <w:tr>
        <w:tblPrEx>
          <w:tblLayout w:type="fixed"/>
          <w:tblCellMar>
            <w:top w:w="0" w:type="dxa"/>
            <w:left w:w="108" w:type="dxa"/>
            <w:bottom w:w="0" w:type="dxa"/>
            <w:right w:w="108" w:type="dxa"/>
          </w:tblCellMar>
        </w:tblPrEx>
        <w:trPr>
          <w:trHeight w:val="227" w:hRule="exac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18"/>
                <w:szCs w:val="18"/>
                <w:highlight w:val="none"/>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20</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18"/>
                <w:szCs w:val="18"/>
                <w:highlight w:val="none"/>
              </w:rPr>
            </w:pPr>
          </w:p>
        </w:tc>
        <w:tc>
          <w:tcPr>
            <w:tcW w:w="3411" w:type="dxa"/>
            <w:gridSpan w:val="2"/>
            <w:tcBorders>
              <w:top w:val="nil"/>
              <w:left w:val="nil"/>
              <w:bottom w:val="single" w:color="auto" w:sz="4" w:space="0"/>
              <w:right w:val="single" w:color="auto" w:sz="4" w:space="0"/>
            </w:tcBorders>
            <w:shd w:val="clear" w:color="auto" w:fill="auto"/>
            <w:noWrap/>
            <w:vAlign w:val="center"/>
          </w:tcPr>
          <w:p>
            <w:pPr>
              <w:jc w:val="left"/>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lang w:val="en-US" w:eastAsia="zh-CN"/>
              </w:rPr>
              <w:t>二十、粮油物资储备支出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kern w:val="0"/>
                <w:sz w:val="18"/>
                <w:szCs w:val="18"/>
                <w:highlight w:val="none"/>
                <w:lang w:val="en-US" w:eastAsia="zh-CN"/>
              </w:rPr>
            </w:pPr>
            <w:r>
              <w:rPr>
                <w:rFonts w:hint="eastAsia" w:ascii="宋体" w:hAnsi="宋体" w:eastAsia="宋体" w:cs="宋体"/>
                <w:i w:val="0"/>
                <w:color w:val="000000"/>
                <w:kern w:val="0"/>
                <w:sz w:val="18"/>
                <w:szCs w:val="18"/>
                <w:highlight w:val="none"/>
                <w:u w:val="none"/>
                <w:lang w:val="en-US" w:eastAsia="zh-CN" w:bidi="ar"/>
              </w:rPr>
              <w:t>52</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18"/>
                <w:szCs w:val="18"/>
                <w:highlight w:val="none"/>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18"/>
                <w:szCs w:val="18"/>
                <w:highlight w:val="none"/>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18"/>
                <w:szCs w:val="18"/>
                <w:highlight w:val="none"/>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18"/>
                <w:szCs w:val="18"/>
                <w:highlight w:val="none"/>
              </w:rPr>
            </w:pPr>
          </w:p>
        </w:tc>
      </w:tr>
      <w:tr>
        <w:tblPrEx>
          <w:tblLayout w:type="fixed"/>
          <w:tblCellMar>
            <w:top w:w="0" w:type="dxa"/>
            <w:left w:w="108" w:type="dxa"/>
            <w:bottom w:w="0" w:type="dxa"/>
            <w:right w:w="108" w:type="dxa"/>
          </w:tblCellMar>
        </w:tblPrEx>
        <w:trPr>
          <w:trHeight w:val="227" w:hRule="exac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18"/>
                <w:szCs w:val="18"/>
                <w:highlight w:val="none"/>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21</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18"/>
                <w:szCs w:val="18"/>
                <w:highlight w:val="none"/>
              </w:rPr>
            </w:pPr>
          </w:p>
        </w:tc>
        <w:tc>
          <w:tcPr>
            <w:tcW w:w="3411" w:type="dxa"/>
            <w:gridSpan w:val="2"/>
            <w:tcBorders>
              <w:top w:val="nil"/>
              <w:left w:val="nil"/>
              <w:bottom w:val="single" w:color="auto" w:sz="4" w:space="0"/>
              <w:right w:val="single" w:color="auto" w:sz="4" w:space="0"/>
            </w:tcBorders>
            <w:shd w:val="clear" w:color="auto" w:fill="auto"/>
            <w:noWrap/>
            <w:vAlign w:val="center"/>
          </w:tcPr>
          <w:p>
            <w:pPr>
              <w:jc w:val="left"/>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lang w:val="en-US" w:eastAsia="zh-CN"/>
              </w:rPr>
              <w:t>二十一、国有资本经营预算支出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kern w:val="0"/>
                <w:sz w:val="18"/>
                <w:szCs w:val="18"/>
                <w:highlight w:val="none"/>
                <w:lang w:val="en-US" w:eastAsia="zh-CN"/>
              </w:rPr>
            </w:pPr>
            <w:r>
              <w:rPr>
                <w:rFonts w:hint="eastAsia" w:ascii="宋体" w:hAnsi="宋体" w:eastAsia="宋体" w:cs="宋体"/>
                <w:i w:val="0"/>
                <w:color w:val="000000"/>
                <w:kern w:val="0"/>
                <w:sz w:val="18"/>
                <w:szCs w:val="18"/>
                <w:highlight w:val="none"/>
                <w:u w:val="none"/>
                <w:lang w:val="en-US" w:eastAsia="zh-CN" w:bidi="ar"/>
              </w:rPr>
              <w:t>53</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18"/>
                <w:szCs w:val="18"/>
                <w:highlight w:val="none"/>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18"/>
                <w:szCs w:val="18"/>
                <w:highlight w:val="none"/>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18"/>
                <w:szCs w:val="18"/>
                <w:highlight w:val="none"/>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18"/>
                <w:szCs w:val="18"/>
                <w:highlight w:val="none"/>
              </w:rPr>
            </w:pPr>
          </w:p>
        </w:tc>
      </w:tr>
      <w:tr>
        <w:tblPrEx>
          <w:tblLayout w:type="fixed"/>
          <w:tblCellMar>
            <w:top w:w="0" w:type="dxa"/>
            <w:left w:w="108" w:type="dxa"/>
            <w:bottom w:w="0" w:type="dxa"/>
            <w:right w:w="108" w:type="dxa"/>
          </w:tblCellMar>
        </w:tblPrEx>
        <w:trPr>
          <w:trHeight w:val="227" w:hRule="exac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18"/>
                <w:szCs w:val="18"/>
                <w:highlight w:val="none"/>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22</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18"/>
                <w:szCs w:val="18"/>
                <w:highlight w:val="none"/>
              </w:rPr>
            </w:pPr>
          </w:p>
        </w:tc>
        <w:tc>
          <w:tcPr>
            <w:tcW w:w="3411" w:type="dxa"/>
            <w:gridSpan w:val="2"/>
            <w:tcBorders>
              <w:top w:val="nil"/>
              <w:left w:val="nil"/>
              <w:bottom w:val="single" w:color="auto" w:sz="4" w:space="0"/>
              <w:right w:val="single" w:color="auto" w:sz="4" w:space="0"/>
            </w:tcBorders>
            <w:shd w:val="clear" w:color="auto" w:fill="auto"/>
            <w:noWrap/>
            <w:vAlign w:val="center"/>
          </w:tcPr>
          <w:p>
            <w:pPr>
              <w:jc w:val="left"/>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lang w:val="en-US" w:eastAsia="zh-CN"/>
              </w:rPr>
              <w:t>二十二、灾害防治及应急管理支出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kern w:val="0"/>
                <w:sz w:val="18"/>
                <w:szCs w:val="18"/>
                <w:highlight w:val="none"/>
                <w:lang w:val="en-US" w:eastAsia="zh-CN"/>
              </w:rPr>
            </w:pPr>
            <w:r>
              <w:rPr>
                <w:rFonts w:hint="eastAsia" w:ascii="宋体" w:hAnsi="宋体" w:eastAsia="宋体" w:cs="宋体"/>
                <w:i w:val="0"/>
                <w:color w:val="000000"/>
                <w:kern w:val="0"/>
                <w:sz w:val="18"/>
                <w:szCs w:val="18"/>
                <w:highlight w:val="none"/>
                <w:u w:val="none"/>
                <w:lang w:val="en-US" w:eastAsia="zh-CN" w:bidi="ar"/>
              </w:rPr>
              <w:t>54</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18"/>
                <w:szCs w:val="18"/>
                <w:highlight w:val="none"/>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18"/>
                <w:szCs w:val="18"/>
                <w:highlight w:val="none"/>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18"/>
                <w:szCs w:val="18"/>
                <w:highlight w:val="none"/>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18"/>
                <w:szCs w:val="18"/>
                <w:highlight w:val="none"/>
              </w:rPr>
            </w:pPr>
          </w:p>
        </w:tc>
      </w:tr>
      <w:tr>
        <w:tblPrEx>
          <w:tblLayout w:type="fixed"/>
          <w:tblCellMar>
            <w:top w:w="0" w:type="dxa"/>
            <w:left w:w="108" w:type="dxa"/>
            <w:bottom w:w="0" w:type="dxa"/>
            <w:right w:w="108" w:type="dxa"/>
          </w:tblCellMar>
        </w:tblPrEx>
        <w:trPr>
          <w:trHeight w:val="227" w:hRule="exac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18"/>
                <w:szCs w:val="18"/>
                <w:highlight w:val="none"/>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23</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18"/>
                <w:szCs w:val="18"/>
                <w:highlight w:val="none"/>
              </w:rPr>
            </w:pPr>
          </w:p>
        </w:tc>
        <w:tc>
          <w:tcPr>
            <w:tcW w:w="3411" w:type="dxa"/>
            <w:gridSpan w:val="2"/>
            <w:tcBorders>
              <w:top w:val="nil"/>
              <w:left w:val="nil"/>
              <w:bottom w:val="single" w:color="auto" w:sz="4" w:space="0"/>
              <w:right w:val="single" w:color="auto" w:sz="4" w:space="0"/>
            </w:tcBorders>
            <w:shd w:val="clear" w:color="auto" w:fill="auto"/>
            <w:noWrap/>
            <w:vAlign w:val="center"/>
          </w:tcPr>
          <w:p>
            <w:pPr>
              <w:jc w:val="left"/>
              <w:rPr>
                <w:rFonts w:hint="eastAsia" w:ascii="宋体" w:hAnsi="宋体" w:eastAsia="宋体" w:cs="宋体"/>
                <w:kern w:val="0"/>
                <w:sz w:val="18"/>
                <w:szCs w:val="18"/>
                <w:highlight w:val="none"/>
              </w:rPr>
            </w:pPr>
            <w:r>
              <w:rPr>
                <w:rFonts w:hint="eastAsia" w:ascii="宋体" w:hAnsi="宋体" w:eastAsia="宋体" w:cs="宋体"/>
                <w:i w:val="0"/>
                <w:color w:val="000000"/>
                <w:sz w:val="18"/>
                <w:szCs w:val="18"/>
                <w:highlight w:val="none"/>
                <w:u w:val="none"/>
                <w:lang w:val="en-US" w:eastAsia="zh-CN"/>
              </w:rPr>
              <w:t>二十三、其他支出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kern w:val="0"/>
                <w:sz w:val="18"/>
                <w:szCs w:val="18"/>
                <w:highlight w:val="none"/>
                <w:lang w:val="en-US" w:eastAsia="zh-CN"/>
              </w:rPr>
            </w:pPr>
            <w:r>
              <w:rPr>
                <w:rFonts w:hint="eastAsia" w:ascii="宋体" w:hAnsi="宋体" w:eastAsia="宋体" w:cs="宋体"/>
                <w:i w:val="0"/>
                <w:color w:val="000000"/>
                <w:kern w:val="0"/>
                <w:sz w:val="18"/>
                <w:szCs w:val="18"/>
                <w:highlight w:val="none"/>
                <w:u w:val="none"/>
                <w:lang w:val="en-US" w:eastAsia="zh-CN" w:bidi="ar"/>
              </w:rPr>
              <w:t>55</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18"/>
                <w:szCs w:val="18"/>
                <w:highlight w:val="none"/>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18"/>
                <w:szCs w:val="18"/>
                <w:highlight w:val="none"/>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18"/>
                <w:szCs w:val="18"/>
                <w:highlight w:val="none"/>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18"/>
                <w:szCs w:val="18"/>
                <w:highlight w:val="none"/>
              </w:rPr>
            </w:pPr>
          </w:p>
        </w:tc>
      </w:tr>
      <w:tr>
        <w:tblPrEx>
          <w:tblLayout w:type="fixed"/>
          <w:tblCellMar>
            <w:top w:w="0" w:type="dxa"/>
            <w:left w:w="108" w:type="dxa"/>
            <w:bottom w:w="0" w:type="dxa"/>
            <w:right w:w="108" w:type="dxa"/>
          </w:tblCellMar>
        </w:tblPrEx>
        <w:trPr>
          <w:trHeight w:val="227" w:hRule="exac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18"/>
                <w:szCs w:val="18"/>
                <w:highlight w:val="none"/>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24</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18"/>
                <w:szCs w:val="18"/>
                <w:highlight w:val="none"/>
              </w:rPr>
            </w:pPr>
          </w:p>
        </w:tc>
        <w:tc>
          <w:tcPr>
            <w:tcW w:w="3411" w:type="dxa"/>
            <w:gridSpan w:val="2"/>
            <w:tcBorders>
              <w:top w:val="nil"/>
              <w:left w:val="nil"/>
              <w:bottom w:val="single" w:color="auto" w:sz="4" w:space="0"/>
              <w:right w:val="single" w:color="auto" w:sz="4" w:space="0"/>
            </w:tcBorders>
            <w:shd w:val="clear" w:color="auto" w:fill="auto"/>
            <w:noWrap/>
            <w:vAlign w:val="center"/>
          </w:tcPr>
          <w:p>
            <w:pPr>
              <w:jc w:val="left"/>
              <w:rPr>
                <w:rFonts w:hint="eastAsia" w:ascii="宋体" w:hAnsi="宋体" w:eastAsia="宋体" w:cs="宋体"/>
                <w:kern w:val="0"/>
                <w:sz w:val="18"/>
                <w:szCs w:val="18"/>
                <w:highlight w:val="none"/>
              </w:rPr>
            </w:pPr>
            <w:r>
              <w:rPr>
                <w:rFonts w:hint="eastAsia" w:ascii="宋体" w:hAnsi="宋体" w:eastAsia="宋体" w:cs="宋体"/>
                <w:i w:val="0"/>
                <w:color w:val="000000"/>
                <w:sz w:val="18"/>
                <w:szCs w:val="18"/>
                <w:highlight w:val="none"/>
                <w:u w:val="none"/>
                <w:lang w:val="en-US" w:eastAsia="zh-CN"/>
              </w:rPr>
              <w:t>二十四、债务还本支出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kern w:val="0"/>
                <w:sz w:val="18"/>
                <w:szCs w:val="18"/>
                <w:highlight w:val="none"/>
                <w:lang w:val="en-US" w:eastAsia="zh-CN"/>
              </w:rPr>
            </w:pPr>
            <w:r>
              <w:rPr>
                <w:rFonts w:hint="eastAsia" w:ascii="宋体" w:hAnsi="宋体" w:eastAsia="宋体" w:cs="宋体"/>
                <w:i w:val="0"/>
                <w:color w:val="000000"/>
                <w:kern w:val="0"/>
                <w:sz w:val="18"/>
                <w:szCs w:val="18"/>
                <w:highlight w:val="none"/>
                <w:u w:val="none"/>
                <w:lang w:val="en-US" w:eastAsia="zh-CN" w:bidi="ar"/>
              </w:rPr>
              <w:t>56</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18"/>
                <w:szCs w:val="18"/>
                <w:highlight w:val="none"/>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18"/>
                <w:szCs w:val="18"/>
                <w:highlight w:val="none"/>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18"/>
                <w:szCs w:val="18"/>
                <w:highlight w:val="none"/>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18"/>
                <w:szCs w:val="18"/>
                <w:highlight w:val="none"/>
              </w:rPr>
            </w:pPr>
          </w:p>
        </w:tc>
      </w:tr>
      <w:tr>
        <w:tblPrEx>
          <w:tblLayout w:type="fixed"/>
          <w:tblCellMar>
            <w:top w:w="0" w:type="dxa"/>
            <w:left w:w="108" w:type="dxa"/>
            <w:bottom w:w="0" w:type="dxa"/>
            <w:right w:w="108" w:type="dxa"/>
          </w:tblCellMar>
        </w:tblPrEx>
        <w:trPr>
          <w:trHeight w:val="227" w:hRule="exac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25</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jc w:val="left"/>
              <w:rPr>
                <w:rFonts w:ascii="宋体" w:hAnsi="宋体" w:eastAsia="宋体" w:cs="宋体"/>
                <w:kern w:val="0"/>
                <w:sz w:val="18"/>
                <w:szCs w:val="18"/>
                <w:highlight w:val="none"/>
              </w:rPr>
            </w:pPr>
            <w:r>
              <w:rPr>
                <w:rFonts w:hint="eastAsia" w:ascii="宋体" w:hAnsi="宋体" w:eastAsia="宋体" w:cs="宋体"/>
                <w:i w:val="0"/>
                <w:color w:val="000000"/>
                <w:sz w:val="18"/>
                <w:szCs w:val="18"/>
                <w:highlight w:val="none"/>
                <w:u w:val="none"/>
                <w:lang w:val="en-US" w:eastAsia="zh-CN"/>
              </w:rPr>
              <w:t>二十五、债务付息支出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kern w:val="0"/>
                <w:sz w:val="18"/>
                <w:szCs w:val="18"/>
                <w:highlight w:val="none"/>
                <w:lang w:val="en-US" w:eastAsia="zh-CN"/>
              </w:rPr>
            </w:pPr>
            <w:r>
              <w:rPr>
                <w:rFonts w:hint="eastAsia" w:ascii="宋体" w:hAnsi="宋体" w:eastAsia="宋体" w:cs="宋体"/>
                <w:i w:val="0"/>
                <w:color w:val="000000"/>
                <w:kern w:val="0"/>
                <w:sz w:val="18"/>
                <w:szCs w:val="18"/>
                <w:highlight w:val="none"/>
                <w:u w:val="none"/>
                <w:lang w:val="en-US" w:eastAsia="zh-CN" w:bidi="ar"/>
              </w:rPr>
              <w:t>57</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r>
      <w:tr>
        <w:tblPrEx>
          <w:tblLayout w:type="fixed"/>
          <w:tblCellMar>
            <w:top w:w="0" w:type="dxa"/>
            <w:left w:w="108" w:type="dxa"/>
            <w:bottom w:w="0" w:type="dxa"/>
            <w:right w:w="108" w:type="dxa"/>
          </w:tblCellMar>
        </w:tblPrEx>
        <w:trPr>
          <w:trHeight w:val="227" w:hRule="exac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26</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jc w:val="left"/>
              <w:rPr>
                <w:rFonts w:ascii="宋体" w:hAnsi="宋体" w:eastAsia="宋体" w:cs="宋体"/>
                <w:kern w:val="0"/>
                <w:sz w:val="18"/>
                <w:szCs w:val="18"/>
                <w:highlight w:val="none"/>
              </w:rPr>
            </w:pPr>
            <w:r>
              <w:rPr>
                <w:rFonts w:hint="eastAsia" w:ascii="宋体" w:hAnsi="宋体" w:eastAsia="宋体" w:cs="宋体"/>
                <w:i w:val="0"/>
                <w:color w:val="000000"/>
                <w:sz w:val="18"/>
                <w:szCs w:val="18"/>
                <w:highlight w:val="none"/>
                <w:u w:val="none"/>
                <w:lang w:val="en-US" w:eastAsia="zh-CN"/>
              </w:rPr>
              <w:t>二十六、抗疫特别国债安排的支出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kern w:val="0"/>
                <w:sz w:val="18"/>
                <w:szCs w:val="18"/>
                <w:highlight w:val="none"/>
                <w:lang w:val="en-US" w:eastAsia="zh-CN"/>
              </w:rPr>
            </w:pPr>
            <w:r>
              <w:rPr>
                <w:rFonts w:hint="eastAsia" w:ascii="宋体" w:hAnsi="宋体" w:eastAsia="宋体" w:cs="宋体"/>
                <w:i w:val="0"/>
                <w:color w:val="000000"/>
                <w:sz w:val="18"/>
                <w:szCs w:val="18"/>
                <w:highlight w:val="none"/>
                <w:u w:val="none"/>
                <w:lang w:val="en-US" w:eastAsia="zh-CN"/>
              </w:rPr>
              <w:t>58</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r>
      <w:tr>
        <w:tblPrEx>
          <w:tblLayout w:type="fixed"/>
          <w:tblCellMar>
            <w:top w:w="0" w:type="dxa"/>
            <w:left w:w="108" w:type="dxa"/>
            <w:bottom w:w="0" w:type="dxa"/>
            <w:right w:w="108" w:type="dxa"/>
          </w:tblCellMar>
        </w:tblPrEx>
        <w:trPr>
          <w:trHeight w:val="227" w:hRule="exac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18"/>
                <w:szCs w:val="18"/>
                <w:highlight w:val="none"/>
              </w:rPr>
            </w:pPr>
            <w:r>
              <w:rPr>
                <w:rFonts w:hint="eastAsia" w:ascii="宋体" w:hAnsi="宋体" w:eastAsia="宋体" w:cs="宋体"/>
                <w:b/>
                <w:bCs/>
                <w:kern w:val="0"/>
                <w:sz w:val="18"/>
                <w:szCs w:val="18"/>
                <w:highlight w:val="none"/>
              </w:rPr>
              <w:t>本年收入合计</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27</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18"/>
                <w:szCs w:val="18"/>
                <w:highlight w:val="none"/>
              </w:rPr>
            </w:pPr>
            <w:r>
              <w:rPr>
                <w:rFonts w:hint="eastAsia" w:ascii="宋体" w:hAnsi="宋体" w:eastAsia="宋体" w:cs="宋体"/>
                <w:kern w:val="0"/>
                <w:sz w:val="18"/>
                <w:szCs w:val="18"/>
                <w:highlight w:val="none"/>
                <w:lang w:val="en-US" w:eastAsia="zh-CN"/>
              </w:rPr>
              <w:t>773.12</w:t>
            </w:r>
            <w:r>
              <w:rPr>
                <w:rFonts w:hint="eastAsia" w:ascii="宋体" w:hAnsi="宋体" w:eastAsia="宋体" w:cs="宋体"/>
                <w:kern w:val="0"/>
                <w:sz w:val="18"/>
                <w:szCs w:val="18"/>
                <w:highlight w:val="none"/>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18"/>
                <w:szCs w:val="18"/>
                <w:highlight w:val="none"/>
              </w:rPr>
            </w:pPr>
            <w:r>
              <w:rPr>
                <w:rFonts w:hint="eastAsia" w:ascii="宋体" w:hAnsi="宋体" w:eastAsia="宋体" w:cs="宋体"/>
                <w:b/>
                <w:bCs/>
                <w:kern w:val="0"/>
                <w:sz w:val="18"/>
                <w:szCs w:val="18"/>
                <w:highlight w:val="none"/>
              </w:rPr>
              <w:t>本年支出合计</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59</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lang w:val="en-US" w:eastAsia="zh-CN"/>
              </w:rPr>
              <w:t>788.77</w:t>
            </w:r>
            <w:r>
              <w:rPr>
                <w:rFonts w:hint="eastAsia" w:ascii="宋体" w:hAnsi="宋体" w:eastAsia="宋体" w:cs="宋体"/>
                <w:kern w:val="0"/>
                <w:sz w:val="18"/>
                <w:szCs w:val="18"/>
                <w:highlight w:val="none"/>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lang w:val="en-US" w:eastAsia="zh-CN"/>
              </w:rPr>
              <w:t>788.77</w:t>
            </w:r>
            <w:r>
              <w:rPr>
                <w:rFonts w:hint="eastAsia" w:ascii="宋体" w:hAnsi="宋体" w:eastAsia="宋体" w:cs="宋体"/>
                <w:kern w:val="0"/>
                <w:sz w:val="18"/>
                <w:szCs w:val="18"/>
                <w:highlight w:val="none"/>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b/>
                <w:bCs/>
                <w:kern w:val="0"/>
                <w:sz w:val="18"/>
                <w:szCs w:val="18"/>
                <w:highlight w:val="none"/>
              </w:rPr>
            </w:pPr>
            <w:r>
              <w:rPr>
                <w:rFonts w:hint="eastAsia" w:ascii="宋体" w:hAnsi="宋体" w:eastAsia="宋体" w:cs="宋体"/>
                <w:b/>
                <w:bCs/>
                <w:kern w:val="0"/>
                <w:sz w:val="18"/>
                <w:szCs w:val="18"/>
                <w:highlight w:val="none"/>
              </w:rPr>
              <w:t>　</w:t>
            </w:r>
          </w:p>
        </w:tc>
      </w:tr>
      <w:tr>
        <w:tblPrEx>
          <w:tblLayout w:type="fixed"/>
          <w:tblCellMar>
            <w:top w:w="0" w:type="dxa"/>
            <w:left w:w="108" w:type="dxa"/>
            <w:bottom w:w="0" w:type="dxa"/>
            <w:right w:w="108" w:type="dxa"/>
          </w:tblCellMar>
        </w:tblPrEx>
        <w:trPr>
          <w:trHeight w:val="227" w:hRule="exac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年初财政拨款结转和结余</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28</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18"/>
                <w:szCs w:val="18"/>
                <w:highlight w:val="none"/>
              </w:rPr>
            </w:pPr>
            <w:r>
              <w:rPr>
                <w:rFonts w:hint="eastAsia" w:ascii="宋体" w:hAnsi="宋体" w:eastAsia="宋体" w:cs="宋体"/>
                <w:kern w:val="0"/>
                <w:sz w:val="18"/>
                <w:szCs w:val="18"/>
                <w:highlight w:val="none"/>
                <w:lang w:val="en-US" w:eastAsia="zh-CN"/>
              </w:rPr>
              <w:t>48.11</w:t>
            </w:r>
            <w:r>
              <w:rPr>
                <w:rFonts w:hint="eastAsia" w:ascii="宋体" w:hAnsi="宋体" w:eastAsia="宋体" w:cs="宋体"/>
                <w:kern w:val="0"/>
                <w:sz w:val="18"/>
                <w:szCs w:val="18"/>
                <w:highlight w:val="none"/>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年末财政拨款结转和结余</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60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rPr>
              <w:t>　</w:t>
            </w:r>
            <w:r>
              <w:rPr>
                <w:rFonts w:hint="eastAsia" w:ascii="宋体" w:hAnsi="宋体" w:eastAsia="宋体" w:cs="宋体"/>
                <w:kern w:val="0"/>
                <w:sz w:val="18"/>
                <w:szCs w:val="18"/>
                <w:highlight w:val="none"/>
                <w:lang w:val="en-US" w:eastAsia="zh-CN"/>
              </w:rPr>
              <w:t>32.46</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lang w:val="en-US" w:eastAsia="zh-CN"/>
              </w:rPr>
              <w:t>32.46</w:t>
            </w:r>
            <w:r>
              <w:rPr>
                <w:rFonts w:hint="eastAsia" w:ascii="宋体" w:hAnsi="宋体" w:eastAsia="宋体" w:cs="宋体"/>
                <w:kern w:val="0"/>
                <w:sz w:val="18"/>
                <w:szCs w:val="18"/>
                <w:highlight w:val="none"/>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r>
      <w:tr>
        <w:tblPrEx>
          <w:tblLayout w:type="fixed"/>
          <w:tblCellMar>
            <w:top w:w="0" w:type="dxa"/>
            <w:left w:w="108" w:type="dxa"/>
            <w:bottom w:w="0" w:type="dxa"/>
            <w:right w:w="108" w:type="dxa"/>
          </w:tblCellMar>
        </w:tblPrEx>
        <w:trPr>
          <w:trHeight w:val="227" w:hRule="exac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 xml:space="preserve">   一般公共预算财政拨款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29</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18"/>
                <w:szCs w:val="18"/>
                <w:highlight w:val="none"/>
              </w:rPr>
            </w:pPr>
            <w:r>
              <w:rPr>
                <w:rFonts w:hint="eastAsia" w:ascii="宋体" w:hAnsi="宋体" w:eastAsia="宋体" w:cs="宋体"/>
                <w:kern w:val="0"/>
                <w:sz w:val="18"/>
                <w:szCs w:val="18"/>
                <w:highlight w:val="none"/>
                <w:lang w:val="en-US" w:eastAsia="zh-CN"/>
              </w:rPr>
              <w:t>48.11</w:t>
            </w:r>
            <w:r>
              <w:rPr>
                <w:rFonts w:hint="eastAsia" w:ascii="宋体" w:hAnsi="宋体" w:eastAsia="宋体" w:cs="宋体"/>
                <w:kern w:val="0"/>
                <w:sz w:val="18"/>
                <w:szCs w:val="18"/>
                <w:highlight w:val="none"/>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61</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r>
      <w:tr>
        <w:tblPrEx>
          <w:tblLayout w:type="fixed"/>
          <w:tblCellMar>
            <w:top w:w="0" w:type="dxa"/>
            <w:left w:w="108" w:type="dxa"/>
            <w:bottom w:w="0" w:type="dxa"/>
            <w:right w:w="108" w:type="dxa"/>
          </w:tblCellMar>
        </w:tblPrEx>
        <w:trPr>
          <w:trHeight w:val="227" w:hRule="exac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 xml:space="preserve">     政府性基金预算财政拨款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30</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62</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r>
      <w:tr>
        <w:tblPrEx>
          <w:tblLayout w:type="fixed"/>
          <w:tblCellMar>
            <w:top w:w="0" w:type="dxa"/>
            <w:left w:w="108" w:type="dxa"/>
            <w:bottom w:w="0" w:type="dxa"/>
            <w:right w:w="108" w:type="dxa"/>
          </w:tblCellMar>
        </w:tblPrEx>
        <w:trPr>
          <w:trHeight w:val="227" w:hRule="exac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 xml:space="preserve">      国有资本经营预算财政拨款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31</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63</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r>
      <w:tr>
        <w:tblPrEx>
          <w:tblLayout w:type="fixed"/>
          <w:tblCellMar>
            <w:top w:w="0" w:type="dxa"/>
            <w:left w:w="108" w:type="dxa"/>
            <w:bottom w:w="0" w:type="dxa"/>
            <w:right w:w="108" w:type="dxa"/>
          </w:tblCellMar>
        </w:tblPrEx>
        <w:trPr>
          <w:trHeight w:val="227" w:hRule="exact"/>
        </w:trPr>
        <w:tc>
          <w:tcPr>
            <w:tcW w:w="3596"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18"/>
                <w:szCs w:val="18"/>
                <w:highlight w:val="none"/>
              </w:rPr>
            </w:pPr>
            <w:r>
              <w:rPr>
                <w:rFonts w:hint="eastAsia" w:ascii="宋体" w:hAnsi="宋体" w:eastAsia="宋体" w:cs="宋体"/>
                <w:b/>
                <w:bCs/>
                <w:kern w:val="0"/>
                <w:sz w:val="18"/>
                <w:szCs w:val="18"/>
                <w:highlight w:val="none"/>
              </w:rPr>
              <w:t>总计</w:t>
            </w:r>
          </w:p>
        </w:tc>
        <w:tc>
          <w:tcPr>
            <w:tcW w:w="436"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32</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18"/>
                <w:szCs w:val="18"/>
                <w:highlight w:val="none"/>
              </w:rPr>
            </w:pPr>
            <w:r>
              <w:rPr>
                <w:rFonts w:hint="eastAsia" w:ascii="宋体" w:hAnsi="宋体" w:eastAsia="宋体" w:cs="宋体"/>
                <w:kern w:val="0"/>
                <w:sz w:val="18"/>
                <w:szCs w:val="18"/>
                <w:highlight w:val="none"/>
                <w:lang w:val="en-US" w:eastAsia="zh-CN"/>
              </w:rPr>
              <w:t>821.23</w:t>
            </w:r>
            <w:r>
              <w:rPr>
                <w:rFonts w:hint="eastAsia" w:ascii="宋体" w:hAnsi="宋体" w:eastAsia="宋体" w:cs="宋体"/>
                <w:kern w:val="0"/>
                <w:sz w:val="18"/>
                <w:szCs w:val="18"/>
                <w:highlight w:val="none"/>
              </w:rPr>
              <w:t>　</w:t>
            </w:r>
          </w:p>
        </w:tc>
        <w:tc>
          <w:tcPr>
            <w:tcW w:w="3411"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18"/>
                <w:szCs w:val="18"/>
                <w:highlight w:val="none"/>
              </w:rPr>
            </w:pPr>
            <w:r>
              <w:rPr>
                <w:rFonts w:hint="eastAsia" w:ascii="宋体" w:hAnsi="宋体" w:eastAsia="宋体" w:cs="宋体"/>
                <w:b/>
                <w:bCs/>
                <w:kern w:val="0"/>
                <w:sz w:val="18"/>
                <w:szCs w:val="18"/>
                <w:highlight w:val="none"/>
              </w:rPr>
              <w:t>总计</w:t>
            </w:r>
          </w:p>
        </w:tc>
        <w:tc>
          <w:tcPr>
            <w:tcW w:w="1067"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64</w:t>
            </w:r>
          </w:p>
        </w:tc>
        <w:tc>
          <w:tcPr>
            <w:tcW w:w="157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lang w:val="en-US" w:eastAsia="zh-CN"/>
              </w:rPr>
              <w:t>821.23</w:t>
            </w:r>
            <w:r>
              <w:rPr>
                <w:rFonts w:hint="eastAsia" w:ascii="宋体" w:hAnsi="宋体" w:eastAsia="宋体" w:cs="宋体"/>
                <w:kern w:val="0"/>
                <w:sz w:val="18"/>
                <w:szCs w:val="18"/>
                <w:highlight w:val="none"/>
              </w:rPr>
              <w:t>　</w:t>
            </w:r>
          </w:p>
        </w:tc>
        <w:tc>
          <w:tcPr>
            <w:tcW w:w="1394"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lang w:val="en-US" w:eastAsia="zh-CN"/>
              </w:rPr>
              <w:t>821.23</w:t>
            </w:r>
            <w:r>
              <w:rPr>
                <w:rFonts w:hint="eastAsia" w:ascii="宋体" w:hAnsi="宋体" w:eastAsia="宋体" w:cs="宋体"/>
                <w:kern w:val="0"/>
                <w:sz w:val="18"/>
                <w:szCs w:val="18"/>
                <w:highlight w:val="none"/>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b/>
                <w:bCs/>
                <w:kern w:val="0"/>
                <w:sz w:val="18"/>
                <w:szCs w:val="18"/>
                <w:highlight w:val="none"/>
              </w:rPr>
            </w:pPr>
            <w:r>
              <w:rPr>
                <w:rFonts w:hint="eastAsia" w:ascii="宋体" w:hAnsi="宋体" w:eastAsia="宋体" w:cs="宋体"/>
                <w:b/>
                <w:bCs/>
                <w:kern w:val="0"/>
                <w:sz w:val="18"/>
                <w:szCs w:val="18"/>
                <w:highlight w:val="none"/>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b/>
                <w:bCs/>
                <w:kern w:val="0"/>
                <w:sz w:val="18"/>
                <w:szCs w:val="18"/>
                <w:highlight w:val="none"/>
              </w:rPr>
            </w:pPr>
            <w:r>
              <w:rPr>
                <w:rFonts w:hint="eastAsia" w:ascii="宋体" w:hAnsi="宋体" w:eastAsia="宋体" w:cs="宋体"/>
                <w:b/>
                <w:bCs/>
                <w:kern w:val="0"/>
                <w:sz w:val="18"/>
                <w:szCs w:val="18"/>
                <w:highlight w:val="none"/>
              </w:rPr>
              <w:t>　</w:t>
            </w:r>
          </w:p>
        </w:tc>
      </w:tr>
      <w:tr>
        <w:tblPrEx>
          <w:tblLayout w:type="fixed"/>
          <w:tblCellMar>
            <w:top w:w="0" w:type="dxa"/>
            <w:left w:w="108" w:type="dxa"/>
            <w:bottom w:w="0" w:type="dxa"/>
            <w:right w:w="108" w:type="dxa"/>
          </w:tblCellMar>
        </w:tblPrEx>
        <w:trPr>
          <w:trHeight w:val="227" w:hRule="exact"/>
        </w:trPr>
        <w:tc>
          <w:tcPr>
            <w:tcW w:w="15522" w:type="dxa"/>
            <w:gridSpan w:val="11"/>
            <w:tcBorders>
              <w:top w:val="nil"/>
              <w:left w:val="nil"/>
              <w:bottom w:val="nil"/>
              <w:right w:val="nil"/>
            </w:tcBorders>
            <w:shd w:val="clear" w:color="auto" w:fill="auto"/>
            <w:vAlign w:val="center"/>
          </w:tcPr>
          <w:p>
            <w:pPr>
              <w:widowControl/>
              <w:jc w:val="left"/>
              <w:rPr>
                <w:rFonts w:ascii="宋体" w:hAnsi="宋体" w:eastAsia="宋体" w:cs="宋体"/>
                <w:kern w:val="0"/>
                <w:sz w:val="24"/>
                <w:szCs w:val="24"/>
                <w:highlight w:val="none"/>
              </w:rPr>
            </w:pPr>
            <w:r>
              <w:rPr>
                <w:rFonts w:hint="eastAsia" w:ascii="宋体" w:hAnsi="宋体" w:eastAsia="宋体" w:cs="宋体"/>
                <w:kern w:val="0"/>
                <w:sz w:val="21"/>
                <w:szCs w:val="21"/>
                <w:highlight w:val="none"/>
              </w:rPr>
              <w:t>注：本表反映部门本年度一般公共预算财政拨款、政府性基金预算财政拨款和国有资本经营预算财政拨款的总收支和年末结转结余情况。</w:t>
            </w:r>
          </w:p>
        </w:tc>
      </w:tr>
    </w:tbl>
    <w:p>
      <w:pPr>
        <w:widowControl/>
        <w:jc w:val="both"/>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r>
        <w:rPr>
          <w:rFonts w:ascii="Times New Roman" w:hAnsi="Times New Roman" w:eastAsia="方正小标宋_GBK" w:cs="Times New Roman"/>
          <w:kern w:val="0"/>
          <w:sz w:val="36"/>
          <w:szCs w:val="36"/>
        </w:rPr>
        <w:t>一般公共预算财政拨款支出决算表</w:t>
      </w:r>
      <w:bookmarkEnd w:id="1"/>
    </w:p>
    <w:p>
      <w:pPr>
        <w:widowControl/>
        <w:spacing w:before="156" w:beforeLines="50"/>
        <w:jc w:val="left"/>
        <w:rPr>
          <w:rFonts w:ascii="Times New Roman" w:hAnsi="Times New Roman" w:eastAsia="仿宋_GB2312" w:cs="Times New Roman"/>
          <w:color w:val="000000"/>
          <w:kern w:val="0"/>
          <w:szCs w:val="21"/>
          <w:highlight w:val="none"/>
          <w:shd w:val="clear" w:color="auto" w:fill="auto"/>
        </w:rPr>
      </w:pP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highlight w:val="none"/>
          <w:shd w:val="clear" w:color="auto" w:fill="auto"/>
        </w:rPr>
        <w:t>部门：</w:t>
      </w:r>
      <w:r>
        <w:rPr>
          <w:rFonts w:hint="eastAsia" w:ascii="Times New Roman" w:hAnsi="Times New Roman" w:eastAsia="仿宋_GB2312" w:cs="Times New Roman"/>
          <w:color w:val="000000"/>
          <w:kern w:val="0"/>
          <w:szCs w:val="21"/>
          <w:highlight w:val="none"/>
          <w:shd w:val="clear" w:color="auto" w:fill="auto"/>
          <w:lang w:val="en-US" w:eastAsia="zh-CN"/>
        </w:rPr>
        <w:t>湖南省农垦管理服务站</w:t>
      </w:r>
      <w:r>
        <w:rPr>
          <w:rFonts w:ascii="Times New Roman" w:hAnsi="Times New Roman" w:eastAsia="仿宋_GB2312" w:cs="Times New Roman"/>
          <w:color w:val="000000"/>
          <w:kern w:val="0"/>
          <w:szCs w:val="21"/>
          <w:highlight w:val="none"/>
          <w:shd w:val="clear" w:color="auto" w:fill="auto"/>
        </w:rPr>
        <w:t xml:space="preserve">       </w:t>
      </w:r>
      <w:r>
        <w:rPr>
          <w:rFonts w:hint="eastAsia" w:ascii="Times New Roman" w:hAnsi="Times New Roman" w:eastAsia="仿宋_GB2312" w:cs="Times New Roman"/>
          <w:color w:val="000000"/>
          <w:kern w:val="0"/>
          <w:szCs w:val="21"/>
          <w:highlight w:val="none"/>
          <w:shd w:val="clear" w:color="auto" w:fill="auto"/>
        </w:rPr>
        <w:t xml:space="preserve">                                          </w:t>
      </w:r>
      <w:r>
        <w:rPr>
          <w:rFonts w:ascii="Times New Roman" w:hAnsi="Times New Roman" w:eastAsia="仿宋_GB2312" w:cs="Times New Roman"/>
          <w:color w:val="000000"/>
          <w:kern w:val="0"/>
          <w:szCs w:val="21"/>
          <w:highlight w:val="none"/>
          <w:shd w:val="clear" w:color="auto" w:fill="auto"/>
        </w:rPr>
        <w:t xml:space="preserve">                                            </w:t>
      </w:r>
      <w:r>
        <w:rPr>
          <w:rFonts w:hint="eastAsia" w:ascii="Times New Roman" w:hAnsi="Times New Roman" w:eastAsia="仿宋_GB2312" w:cs="Times New Roman"/>
          <w:color w:val="000000"/>
          <w:kern w:val="0"/>
          <w:szCs w:val="21"/>
          <w:highlight w:val="none"/>
          <w:shd w:val="clear" w:color="auto" w:fill="auto"/>
          <w:lang w:val="en-US" w:eastAsia="zh-CN"/>
        </w:rPr>
        <w:t xml:space="preserve">       </w:t>
      </w:r>
      <w:r>
        <w:rPr>
          <w:rFonts w:ascii="Times New Roman" w:hAnsi="Times New Roman" w:eastAsia="仿宋_GB2312" w:cs="Times New Roman"/>
          <w:color w:val="000000"/>
          <w:kern w:val="0"/>
          <w:szCs w:val="21"/>
          <w:highlight w:val="none"/>
          <w:shd w:val="clear" w:color="auto" w:fill="auto"/>
        </w:rPr>
        <w:t>公开05表</w:t>
      </w:r>
    </w:p>
    <w:p>
      <w:pPr>
        <w:widowControl/>
        <w:jc w:val="left"/>
        <w:rPr>
          <w:rFonts w:ascii="Times New Roman" w:hAnsi="Times New Roman" w:eastAsia="宋体" w:cs="Times New Roman"/>
          <w:color w:val="000000"/>
          <w:kern w:val="0"/>
          <w:sz w:val="20"/>
          <w:szCs w:val="20"/>
          <w:highlight w:val="none"/>
          <w:shd w:val="clear" w:color="auto" w:fill="auto"/>
        </w:rPr>
      </w:pPr>
      <w:r>
        <w:rPr>
          <w:rFonts w:ascii="Times New Roman" w:hAnsi="Times New Roman" w:eastAsia="仿宋_GB2312" w:cs="Times New Roman"/>
          <w:color w:val="000000"/>
          <w:kern w:val="0"/>
          <w:szCs w:val="21"/>
          <w:highlight w:val="none"/>
          <w:shd w:val="clear" w:color="auto" w:fill="auto"/>
        </w:rPr>
        <w:t xml:space="preserve">                                                                                                                     </w:t>
      </w:r>
      <w:r>
        <w:rPr>
          <w:rFonts w:hint="eastAsia" w:ascii="Times New Roman" w:hAnsi="Times New Roman" w:eastAsia="仿宋_GB2312" w:cs="Times New Roman"/>
          <w:color w:val="000000"/>
          <w:kern w:val="0"/>
          <w:szCs w:val="21"/>
          <w:highlight w:val="none"/>
          <w:shd w:val="clear" w:color="auto" w:fill="auto"/>
        </w:rPr>
        <w:t xml:space="preserve">      </w:t>
      </w:r>
      <w:r>
        <w:rPr>
          <w:rFonts w:ascii="Times New Roman" w:hAnsi="Times New Roman" w:eastAsia="仿宋_GB2312" w:cs="Times New Roman"/>
          <w:color w:val="000000"/>
          <w:kern w:val="0"/>
          <w:szCs w:val="21"/>
          <w:highlight w:val="none"/>
          <w:shd w:val="clear" w:color="auto" w:fill="auto"/>
        </w:rPr>
        <w:t xml:space="preserve">       单位：万元</w:t>
      </w:r>
    </w:p>
    <w:tbl>
      <w:tblPr>
        <w:tblStyle w:val="10"/>
        <w:tblW w:w="14219" w:type="dxa"/>
        <w:jc w:val="center"/>
        <w:tblInd w:w="0" w:type="dxa"/>
        <w:tblLayout w:type="fixed"/>
        <w:tblCellMar>
          <w:top w:w="0" w:type="dxa"/>
          <w:left w:w="108" w:type="dxa"/>
          <w:bottom w:w="0" w:type="dxa"/>
          <w:right w:w="108" w:type="dxa"/>
        </w:tblCellMar>
      </w:tblPr>
      <w:tblGrid>
        <w:gridCol w:w="1200"/>
        <w:gridCol w:w="3924"/>
        <w:gridCol w:w="3075"/>
        <w:gridCol w:w="3020"/>
        <w:gridCol w:w="3000"/>
      </w:tblGrid>
      <w:tr>
        <w:tblPrEx>
          <w:tblLayout w:type="fixed"/>
          <w:tblCellMar>
            <w:top w:w="0" w:type="dxa"/>
            <w:left w:w="108" w:type="dxa"/>
            <w:bottom w:w="0" w:type="dxa"/>
            <w:right w:w="108" w:type="dxa"/>
          </w:tblCellMar>
        </w:tblPrEx>
        <w:trPr>
          <w:trHeight w:val="397" w:hRule="exact"/>
          <w:jc w:val="center"/>
        </w:trPr>
        <w:tc>
          <w:tcPr>
            <w:tcW w:w="5124" w:type="dxa"/>
            <w:gridSpan w:val="2"/>
            <w:tcBorders>
              <w:top w:val="single" w:color="auto" w:sz="8"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highlight w:val="none"/>
                <w:shd w:val="clear" w:color="auto" w:fill="auto"/>
              </w:rPr>
            </w:pPr>
            <w:r>
              <w:rPr>
                <w:rFonts w:ascii="Times New Roman" w:hAnsi="Times New Roman" w:eastAsia="仿宋_GB2312" w:cs="Times New Roman"/>
                <w:b/>
                <w:kern w:val="0"/>
                <w:szCs w:val="21"/>
                <w:highlight w:val="none"/>
                <w:shd w:val="clear" w:color="auto" w:fill="auto"/>
              </w:rPr>
              <w:t xml:space="preserve">项 </w:t>
            </w:r>
            <w:r>
              <w:rPr>
                <w:rFonts w:ascii="Times New Roman" w:hAnsi="Times New Roman" w:eastAsia="仿宋_GB2312" w:cs="Times New Roman"/>
                <w:b/>
                <w:color w:val="000000"/>
                <w:kern w:val="0"/>
                <w:szCs w:val="21"/>
                <w:highlight w:val="none"/>
                <w:shd w:val="clear" w:color="auto" w:fill="auto"/>
              </w:rPr>
              <w:t xml:space="preserve">   </w:t>
            </w:r>
            <w:r>
              <w:rPr>
                <w:rFonts w:ascii="Times New Roman" w:hAnsi="Times New Roman" w:eastAsia="仿宋_GB2312" w:cs="Times New Roman"/>
                <w:b/>
                <w:kern w:val="0"/>
                <w:szCs w:val="21"/>
                <w:highlight w:val="none"/>
                <w:shd w:val="clear" w:color="auto" w:fill="auto"/>
              </w:rPr>
              <w:t>目</w:t>
            </w:r>
          </w:p>
        </w:tc>
        <w:tc>
          <w:tcPr>
            <w:tcW w:w="9095" w:type="dxa"/>
            <w:gridSpan w:val="3"/>
            <w:tcBorders>
              <w:top w:val="single" w:color="auto" w:sz="8" w:space="0"/>
              <w:left w:val="nil"/>
              <w:bottom w:val="single" w:color="auto" w:sz="4" w:space="0"/>
              <w:right w:val="single" w:color="000000" w:sz="8" w:space="0"/>
            </w:tcBorders>
            <w:shd w:val="clear" w:color="auto" w:fill="auto"/>
            <w:vAlign w:val="center"/>
          </w:tcPr>
          <w:p>
            <w:pPr>
              <w:widowControl/>
              <w:jc w:val="center"/>
              <w:rPr>
                <w:rFonts w:ascii="Times New Roman" w:hAnsi="Times New Roman" w:eastAsia="仿宋_GB2312" w:cs="Times New Roman"/>
                <w:b/>
                <w:kern w:val="0"/>
                <w:szCs w:val="21"/>
                <w:highlight w:val="none"/>
                <w:shd w:val="clear" w:color="auto" w:fill="auto"/>
              </w:rPr>
            </w:pPr>
            <w:r>
              <w:rPr>
                <w:rFonts w:ascii="Times New Roman" w:hAnsi="Times New Roman" w:eastAsia="仿宋_GB2312" w:cs="Times New Roman"/>
                <w:b/>
                <w:kern w:val="0"/>
                <w:szCs w:val="21"/>
                <w:highlight w:val="none"/>
                <w:shd w:val="clear" w:color="auto" w:fill="auto"/>
              </w:rPr>
              <w:t>本年支出</w:t>
            </w:r>
          </w:p>
        </w:tc>
      </w:tr>
      <w:tr>
        <w:tblPrEx>
          <w:tblLayout w:type="fixed"/>
          <w:tblCellMar>
            <w:top w:w="0" w:type="dxa"/>
            <w:left w:w="108" w:type="dxa"/>
            <w:bottom w:w="0" w:type="dxa"/>
            <w:right w:w="108" w:type="dxa"/>
          </w:tblCellMar>
        </w:tblPrEx>
        <w:trPr>
          <w:trHeight w:val="397" w:hRule="exact"/>
          <w:jc w:val="center"/>
        </w:trPr>
        <w:tc>
          <w:tcPr>
            <w:tcW w:w="1200" w:type="dxa"/>
            <w:vMerge w:val="restart"/>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highlight w:val="none"/>
                <w:shd w:val="clear" w:color="auto" w:fill="auto"/>
              </w:rPr>
            </w:pPr>
            <w:r>
              <w:rPr>
                <w:rFonts w:ascii="Times New Roman" w:hAnsi="Times New Roman" w:eastAsia="仿宋_GB2312" w:cs="Times New Roman"/>
                <w:b/>
                <w:kern w:val="0"/>
                <w:szCs w:val="21"/>
                <w:highlight w:val="none"/>
                <w:shd w:val="clear" w:color="auto" w:fill="auto"/>
              </w:rPr>
              <w:t>功能分类科目编码</w:t>
            </w:r>
          </w:p>
        </w:tc>
        <w:tc>
          <w:tcPr>
            <w:tcW w:w="392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highlight w:val="none"/>
                <w:shd w:val="clear" w:color="auto" w:fill="auto"/>
              </w:rPr>
            </w:pPr>
            <w:r>
              <w:rPr>
                <w:rFonts w:ascii="Times New Roman" w:hAnsi="Times New Roman" w:eastAsia="仿宋_GB2312" w:cs="Times New Roman"/>
                <w:b/>
                <w:kern w:val="0"/>
                <w:szCs w:val="21"/>
                <w:highlight w:val="none"/>
                <w:shd w:val="clear" w:color="auto" w:fill="auto"/>
              </w:rPr>
              <w:t>科目名称</w:t>
            </w:r>
          </w:p>
        </w:tc>
        <w:tc>
          <w:tcPr>
            <w:tcW w:w="3075"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highlight w:val="none"/>
                <w:shd w:val="clear" w:color="auto" w:fill="auto"/>
              </w:rPr>
            </w:pPr>
            <w:r>
              <w:rPr>
                <w:rFonts w:ascii="Times New Roman" w:hAnsi="Times New Roman" w:eastAsia="仿宋_GB2312" w:cs="Times New Roman"/>
                <w:b/>
                <w:kern w:val="0"/>
                <w:szCs w:val="21"/>
                <w:highlight w:val="none"/>
                <w:shd w:val="clear" w:color="auto" w:fill="auto"/>
              </w:rPr>
              <w:t>小计</w:t>
            </w:r>
          </w:p>
        </w:tc>
        <w:tc>
          <w:tcPr>
            <w:tcW w:w="30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highlight w:val="none"/>
                <w:shd w:val="clear" w:color="auto" w:fill="auto"/>
              </w:rPr>
            </w:pPr>
            <w:r>
              <w:rPr>
                <w:rFonts w:ascii="Times New Roman" w:hAnsi="Times New Roman" w:eastAsia="仿宋_GB2312" w:cs="Times New Roman"/>
                <w:b/>
                <w:kern w:val="0"/>
                <w:szCs w:val="21"/>
                <w:highlight w:val="none"/>
                <w:shd w:val="clear" w:color="auto" w:fill="auto"/>
              </w:rPr>
              <w:t>基本支出</w:t>
            </w:r>
          </w:p>
        </w:tc>
        <w:tc>
          <w:tcPr>
            <w:tcW w:w="3000" w:type="dxa"/>
            <w:vMerge w:val="restart"/>
            <w:tcBorders>
              <w:top w:val="nil"/>
              <w:left w:val="single" w:color="auto" w:sz="4" w:space="0"/>
              <w:bottom w:val="single" w:color="000000" w:sz="4" w:space="0"/>
              <w:right w:val="single" w:color="auto" w:sz="8" w:space="0"/>
            </w:tcBorders>
            <w:shd w:val="clear" w:color="auto" w:fill="auto"/>
            <w:vAlign w:val="center"/>
          </w:tcPr>
          <w:p>
            <w:pPr>
              <w:widowControl/>
              <w:jc w:val="center"/>
              <w:rPr>
                <w:rFonts w:ascii="Times New Roman" w:hAnsi="Times New Roman" w:eastAsia="仿宋_GB2312" w:cs="Times New Roman"/>
                <w:b/>
                <w:kern w:val="0"/>
                <w:szCs w:val="21"/>
                <w:highlight w:val="none"/>
                <w:shd w:val="clear" w:color="auto" w:fill="auto"/>
              </w:rPr>
            </w:pPr>
            <w:r>
              <w:rPr>
                <w:rFonts w:ascii="Times New Roman" w:hAnsi="Times New Roman" w:eastAsia="仿宋_GB2312" w:cs="Times New Roman"/>
                <w:b/>
                <w:kern w:val="0"/>
                <w:szCs w:val="21"/>
                <w:highlight w:val="none"/>
                <w:shd w:val="clear" w:color="auto" w:fill="auto"/>
              </w:rPr>
              <w:t>项目支出</w:t>
            </w:r>
          </w:p>
        </w:tc>
      </w:tr>
      <w:tr>
        <w:tblPrEx>
          <w:tblLayout w:type="fixed"/>
          <w:tblCellMar>
            <w:top w:w="0" w:type="dxa"/>
            <w:left w:w="108" w:type="dxa"/>
            <w:bottom w:w="0" w:type="dxa"/>
            <w:right w:w="108" w:type="dxa"/>
          </w:tblCellMar>
        </w:tblPrEx>
        <w:trPr>
          <w:trHeight w:val="397" w:hRule="exac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highlight w:val="none"/>
                <w:shd w:val="clear" w:color="auto" w:fill="auto"/>
              </w:rPr>
            </w:pPr>
          </w:p>
        </w:tc>
        <w:tc>
          <w:tcPr>
            <w:tcW w:w="3924"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highlight w:val="none"/>
                <w:shd w:val="clear" w:color="auto" w:fill="auto"/>
              </w:rPr>
            </w:pPr>
          </w:p>
        </w:tc>
        <w:tc>
          <w:tcPr>
            <w:tcW w:w="3075"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highlight w:val="none"/>
                <w:shd w:val="clear" w:color="auto" w:fill="auto"/>
              </w:rPr>
            </w:pPr>
          </w:p>
        </w:tc>
        <w:tc>
          <w:tcPr>
            <w:tcW w:w="302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highlight w:val="none"/>
                <w:shd w:val="clear" w:color="auto" w:fill="auto"/>
              </w:rPr>
            </w:pPr>
          </w:p>
        </w:tc>
        <w:tc>
          <w:tcPr>
            <w:tcW w:w="300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highlight w:val="none"/>
                <w:shd w:val="clear" w:color="auto" w:fill="auto"/>
              </w:rPr>
            </w:pPr>
          </w:p>
        </w:tc>
      </w:tr>
      <w:tr>
        <w:tblPrEx>
          <w:tblLayout w:type="fixed"/>
          <w:tblCellMar>
            <w:top w:w="0" w:type="dxa"/>
            <w:left w:w="108" w:type="dxa"/>
            <w:bottom w:w="0" w:type="dxa"/>
            <w:right w:w="108" w:type="dxa"/>
          </w:tblCellMar>
        </w:tblPrEx>
        <w:trPr>
          <w:trHeight w:val="397" w:hRule="exac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highlight w:val="none"/>
                <w:shd w:val="clear" w:color="auto" w:fill="auto"/>
              </w:rPr>
            </w:pPr>
          </w:p>
        </w:tc>
        <w:tc>
          <w:tcPr>
            <w:tcW w:w="3924"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highlight w:val="none"/>
                <w:shd w:val="clear" w:color="auto" w:fill="auto"/>
              </w:rPr>
            </w:pPr>
          </w:p>
        </w:tc>
        <w:tc>
          <w:tcPr>
            <w:tcW w:w="3075"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highlight w:val="none"/>
                <w:shd w:val="clear" w:color="auto" w:fill="auto"/>
              </w:rPr>
            </w:pPr>
          </w:p>
        </w:tc>
        <w:tc>
          <w:tcPr>
            <w:tcW w:w="302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highlight w:val="none"/>
                <w:shd w:val="clear" w:color="auto" w:fill="auto"/>
              </w:rPr>
            </w:pPr>
          </w:p>
        </w:tc>
        <w:tc>
          <w:tcPr>
            <w:tcW w:w="300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highlight w:val="none"/>
                <w:shd w:val="clear" w:color="auto" w:fill="auto"/>
              </w:rPr>
            </w:pPr>
          </w:p>
        </w:tc>
      </w:tr>
      <w:tr>
        <w:tblPrEx>
          <w:tblLayout w:type="fixed"/>
          <w:tblCellMar>
            <w:top w:w="0" w:type="dxa"/>
            <w:left w:w="108" w:type="dxa"/>
            <w:bottom w:w="0" w:type="dxa"/>
            <w:right w:w="108" w:type="dxa"/>
          </w:tblCellMar>
        </w:tblPrEx>
        <w:trPr>
          <w:trHeight w:val="397" w:hRule="exact"/>
          <w:jc w:val="center"/>
        </w:trPr>
        <w:tc>
          <w:tcPr>
            <w:tcW w:w="5124"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kern w:val="0"/>
                <w:sz w:val="21"/>
                <w:szCs w:val="21"/>
                <w:highlight w:val="none"/>
                <w:shd w:val="clear" w:color="auto" w:fill="auto"/>
              </w:rPr>
            </w:pPr>
            <w:r>
              <w:rPr>
                <w:rFonts w:hint="eastAsia" w:ascii="仿宋" w:hAnsi="仿宋" w:eastAsia="仿宋" w:cs="仿宋"/>
                <w:kern w:val="0"/>
                <w:sz w:val="21"/>
                <w:szCs w:val="21"/>
                <w:highlight w:val="none"/>
                <w:shd w:val="clear" w:color="auto" w:fill="auto"/>
              </w:rPr>
              <w:t>栏次</w:t>
            </w:r>
          </w:p>
        </w:tc>
        <w:tc>
          <w:tcPr>
            <w:tcW w:w="307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kern w:val="0"/>
                <w:sz w:val="21"/>
                <w:szCs w:val="21"/>
                <w:highlight w:val="none"/>
                <w:shd w:val="clear" w:color="auto" w:fill="auto"/>
              </w:rPr>
            </w:pPr>
            <w:r>
              <w:rPr>
                <w:rFonts w:hint="eastAsia" w:ascii="仿宋" w:hAnsi="仿宋" w:eastAsia="仿宋" w:cs="仿宋"/>
                <w:kern w:val="0"/>
                <w:sz w:val="21"/>
                <w:szCs w:val="21"/>
                <w:highlight w:val="none"/>
                <w:shd w:val="clear" w:color="auto" w:fill="auto"/>
              </w:rPr>
              <w:t>1</w:t>
            </w:r>
          </w:p>
        </w:tc>
        <w:tc>
          <w:tcPr>
            <w:tcW w:w="302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kern w:val="0"/>
                <w:sz w:val="21"/>
                <w:szCs w:val="21"/>
                <w:highlight w:val="none"/>
                <w:shd w:val="clear" w:color="auto" w:fill="auto"/>
              </w:rPr>
            </w:pPr>
            <w:r>
              <w:rPr>
                <w:rFonts w:hint="eastAsia" w:ascii="仿宋" w:hAnsi="仿宋" w:eastAsia="仿宋" w:cs="仿宋"/>
                <w:kern w:val="0"/>
                <w:sz w:val="21"/>
                <w:szCs w:val="21"/>
                <w:highlight w:val="none"/>
                <w:shd w:val="clear" w:color="auto" w:fill="auto"/>
              </w:rPr>
              <w:t>2</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hint="eastAsia" w:ascii="仿宋" w:hAnsi="仿宋" w:eastAsia="仿宋" w:cs="仿宋"/>
                <w:kern w:val="0"/>
                <w:sz w:val="21"/>
                <w:szCs w:val="21"/>
                <w:highlight w:val="none"/>
                <w:shd w:val="clear" w:color="auto" w:fill="auto"/>
              </w:rPr>
            </w:pPr>
            <w:r>
              <w:rPr>
                <w:rFonts w:hint="eastAsia" w:ascii="仿宋" w:hAnsi="仿宋" w:eastAsia="仿宋" w:cs="仿宋"/>
                <w:kern w:val="0"/>
                <w:sz w:val="21"/>
                <w:szCs w:val="21"/>
                <w:highlight w:val="none"/>
                <w:shd w:val="clear" w:color="auto" w:fill="auto"/>
              </w:rPr>
              <w:t>3</w:t>
            </w:r>
          </w:p>
        </w:tc>
      </w:tr>
      <w:tr>
        <w:tblPrEx>
          <w:tblLayout w:type="fixed"/>
          <w:tblCellMar>
            <w:top w:w="0" w:type="dxa"/>
            <w:left w:w="108" w:type="dxa"/>
            <w:bottom w:w="0" w:type="dxa"/>
            <w:right w:w="108" w:type="dxa"/>
          </w:tblCellMar>
        </w:tblPrEx>
        <w:trPr>
          <w:trHeight w:val="397" w:hRule="exact"/>
          <w:jc w:val="center"/>
        </w:trPr>
        <w:tc>
          <w:tcPr>
            <w:tcW w:w="5124"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kern w:val="0"/>
                <w:sz w:val="21"/>
                <w:szCs w:val="21"/>
                <w:highlight w:val="none"/>
                <w:shd w:val="clear" w:color="auto" w:fill="auto"/>
              </w:rPr>
            </w:pPr>
            <w:r>
              <w:rPr>
                <w:rFonts w:hint="eastAsia" w:ascii="仿宋" w:hAnsi="仿宋" w:eastAsia="仿宋" w:cs="仿宋"/>
                <w:kern w:val="0"/>
                <w:sz w:val="21"/>
                <w:szCs w:val="21"/>
                <w:highlight w:val="none"/>
                <w:shd w:val="clear" w:color="auto" w:fill="auto"/>
              </w:rPr>
              <w:t>合计</w:t>
            </w:r>
          </w:p>
        </w:tc>
        <w:tc>
          <w:tcPr>
            <w:tcW w:w="307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 w:hAnsi="仿宋" w:eastAsia="仿宋" w:cs="仿宋"/>
                <w:kern w:val="0"/>
                <w:sz w:val="21"/>
                <w:szCs w:val="21"/>
                <w:highlight w:val="none"/>
                <w:shd w:val="clear" w:color="auto" w:fill="auto"/>
                <w:lang w:val="en-US" w:eastAsia="zh-CN"/>
              </w:rPr>
            </w:pPr>
            <w:r>
              <w:rPr>
                <w:rFonts w:hint="eastAsia" w:ascii="宋体" w:hAnsi="宋体" w:eastAsia="宋体" w:cs="宋体"/>
                <w:kern w:val="0"/>
                <w:sz w:val="24"/>
                <w:szCs w:val="24"/>
                <w:highlight w:val="none"/>
                <w:lang w:val="en-US" w:eastAsia="zh-CN"/>
              </w:rPr>
              <w:t>788.77</w:t>
            </w:r>
            <w:r>
              <w:rPr>
                <w:rFonts w:hint="eastAsia" w:ascii="宋体" w:hAnsi="宋体" w:eastAsia="宋体" w:cs="宋体"/>
                <w:kern w:val="0"/>
                <w:sz w:val="24"/>
                <w:szCs w:val="24"/>
                <w:highlight w:val="none"/>
              </w:rPr>
              <w:t>　</w:t>
            </w:r>
          </w:p>
        </w:tc>
        <w:tc>
          <w:tcPr>
            <w:tcW w:w="302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 w:hAnsi="仿宋" w:eastAsia="仿宋" w:cs="仿宋"/>
                <w:kern w:val="0"/>
                <w:sz w:val="21"/>
                <w:szCs w:val="21"/>
                <w:highlight w:val="none"/>
                <w:shd w:val="clear" w:color="auto" w:fill="auto"/>
              </w:rPr>
            </w:pPr>
            <w:r>
              <w:rPr>
                <w:rFonts w:hint="eastAsia" w:ascii="宋体" w:hAnsi="宋体" w:eastAsia="宋体" w:cs="宋体"/>
                <w:kern w:val="0"/>
                <w:sz w:val="24"/>
                <w:szCs w:val="24"/>
                <w:highlight w:val="none"/>
                <w:lang w:val="en-US" w:eastAsia="zh-CN"/>
              </w:rPr>
              <w:t>688.13</w:t>
            </w:r>
            <w:r>
              <w:rPr>
                <w:rFonts w:hint="eastAsia" w:ascii="宋体" w:hAnsi="宋体" w:eastAsia="宋体" w:cs="宋体"/>
                <w:kern w:val="0"/>
                <w:sz w:val="24"/>
                <w:szCs w:val="24"/>
                <w:highlight w:val="none"/>
              </w:rPr>
              <w:t>　</w:t>
            </w:r>
          </w:p>
        </w:tc>
        <w:tc>
          <w:tcPr>
            <w:tcW w:w="3000" w:type="dxa"/>
            <w:tcBorders>
              <w:top w:val="nil"/>
              <w:left w:val="nil"/>
              <w:bottom w:val="single" w:color="auto" w:sz="4" w:space="0"/>
              <w:right w:val="single" w:color="auto" w:sz="8" w:space="0"/>
            </w:tcBorders>
            <w:shd w:val="clear" w:color="auto" w:fill="auto"/>
            <w:vAlign w:val="center"/>
          </w:tcPr>
          <w:p>
            <w:pPr>
              <w:widowControl/>
              <w:jc w:val="right"/>
              <w:rPr>
                <w:rFonts w:hint="eastAsia" w:ascii="仿宋" w:hAnsi="仿宋" w:eastAsia="仿宋" w:cs="仿宋"/>
                <w:kern w:val="0"/>
                <w:sz w:val="21"/>
                <w:szCs w:val="21"/>
                <w:highlight w:val="none"/>
                <w:shd w:val="clear" w:color="auto" w:fill="auto"/>
              </w:rPr>
            </w:pPr>
            <w:r>
              <w:rPr>
                <w:rFonts w:hint="eastAsia" w:ascii="宋体" w:hAnsi="宋体" w:eastAsia="宋体" w:cs="宋体"/>
                <w:kern w:val="0"/>
                <w:sz w:val="24"/>
                <w:szCs w:val="24"/>
                <w:highlight w:val="none"/>
                <w:lang w:val="en-US" w:eastAsia="zh-CN"/>
              </w:rPr>
              <w:t>100.64</w:t>
            </w:r>
            <w:r>
              <w:rPr>
                <w:rFonts w:hint="eastAsia" w:ascii="宋体" w:hAnsi="宋体" w:eastAsia="宋体" w:cs="宋体"/>
                <w:kern w:val="0"/>
                <w:sz w:val="24"/>
                <w:szCs w:val="24"/>
                <w:highlight w:val="none"/>
              </w:rPr>
              <w:t>　</w:t>
            </w:r>
          </w:p>
        </w:tc>
      </w:tr>
      <w:tr>
        <w:tblPrEx>
          <w:tblLayout w:type="fixed"/>
          <w:tblCellMar>
            <w:top w:w="0" w:type="dxa"/>
            <w:left w:w="108" w:type="dxa"/>
            <w:bottom w:w="0" w:type="dxa"/>
            <w:right w:w="108" w:type="dxa"/>
          </w:tblCellMar>
        </w:tblPrEx>
        <w:trPr>
          <w:trHeight w:val="397" w:hRule="exact"/>
          <w:jc w:val="center"/>
        </w:trPr>
        <w:tc>
          <w:tcPr>
            <w:tcW w:w="1200" w:type="dxa"/>
            <w:tcBorders>
              <w:top w:val="single" w:color="auto" w:sz="4" w:space="0"/>
              <w:left w:val="single" w:color="auto" w:sz="8" w:space="0"/>
              <w:bottom w:val="single" w:color="auto" w:sz="4" w:space="0"/>
              <w:right w:val="single" w:color="auto" w:sz="4" w:space="0"/>
            </w:tcBorders>
            <w:shd w:val="clear" w:color="000000" w:fill="FFFFFF"/>
            <w:vAlign w:val="center"/>
          </w:tcPr>
          <w:p>
            <w:pPr>
              <w:jc w:val="left"/>
              <w:rPr>
                <w:rFonts w:hint="eastAsia" w:asciiTheme="minorHAnsi" w:hAnsiTheme="minorHAnsi" w:eastAsiaTheme="minorEastAsia" w:cstheme="minorBidi"/>
                <w:kern w:val="2"/>
                <w:sz w:val="21"/>
                <w:szCs w:val="22"/>
                <w:highlight w:val="none"/>
                <w:lang w:val="en-US" w:eastAsia="zh-CN" w:bidi="ar-SA"/>
              </w:rPr>
            </w:pPr>
            <w:r>
              <w:rPr>
                <w:rFonts w:hint="eastAsia"/>
                <w:highlight w:val="none"/>
                <w:lang w:val="en-US" w:eastAsia="zh-CN"/>
              </w:rPr>
              <w:t>201</w:t>
            </w:r>
          </w:p>
        </w:tc>
        <w:tc>
          <w:tcPr>
            <w:tcW w:w="3924" w:type="dxa"/>
            <w:tcBorders>
              <w:top w:val="nil"/>
              <w:left w:val="nil"/>
              <w:bottom w:val="single" w:color="auto" w:sz="4" w:space="0"/>
              <w:right w:val="single" w:color="auto" w:sz="4" w:space="0"/>
            </w:tcBorders>
            <w:shd w:val="clear" w:color="000000" w:fill="FFFFFF"/>
            <w:vAlign w:val="center"/>
          </w:tcPr>
          <w:p>
            <w:pPr>
              <w:jc w:val="left"/>
              <w:rPr>
                <w:rFonts w:hint="eastAsia" w:asciiTheme="minorHAnsi" w:hAnsiTheme="minorHAnsi" w:eastAsiaTheme="minorEastAsia" w:cstheme="minorBidi"/>
                <w:kern w:val="2"/>
                <w:sz w:val="21"/>
                <w:szCs w:val="22"/>
                <w:highlight w:val="none"/>
                <w:lang w:val="en-US" w:eastAsia="zh-CN" w:bidi="ar-SA"/>
              </w:rPr>
            </w:pPr>
            <w:r>
              <w:rPr>
                <w:rFonts w:hint="eastAsia"/>
                <w:highlight w:val="none"/>
                <w:lang w:val="en-US" w:eastAsia="zh-CN"/>
              </w:rPr>
              <w:t>一般公共服务支出</w:t>
            </w:r>
          </w:p>
        </w:tc>
        <w:tc>
          <w:tcPr>
            <w:tcW w:w="307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 w:hAnsi="仿宋" w:eastAsia="仿宋" w:cs="仿宋"/>
                <w:kern w:val="0"/>
                <w:sz w:val="21"/>
                <w:szCs w:val="21"/>
                <w:highlight w:val="none"/>
                <w:shd w:val="clear" w:color="auto" w:fill="auto"/>
                <w:lang w:val="en-US" w:eastAsia="zh-CN"/>
              </w:rPr>
            </w:pPr>
            <w:r>
              <w:rPr>
                <w:rFonts w:hint="eastAsia" w:ascii="宋体" w:hAnsi="宋体" w:eastAsia="宋体" w:cs="宋体"/>
                <w:kern w:val="0"/>
                <w:sz w:val="24"/>
                <w:szCs w:val="24"/>
                <w:highlight w:val="none"/>
                <w:lang w:val="en-US" w:eastAsia="zh-CN"/>
              </w:rPr>
              <w:t>59.59</w:t>
            </w:r>
          </w:p>
        </w:tc>
        <w:tc>
          <w:tcPr>
            <w:tcW w:w="302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 w:hAnsi="仿宋" w:eastAsia="仿宋" w:cs="仿宋"/>
                <w:kern w:val="0"/>
                <w:sz w:val="21"/>
                <w:szCs w:val="21"/>
                <w:highlight w:val="none"/>
                <w:shd w:val="clear" w:color="auto" w:fill="auto"/>
                <w:lang w:val="en-US" w:eastAsia="zh-CN"/>
              </w:rPr>
            </w:pPr>
          </w:p>
        </w:tc>
        <w:tc>
          <w:tcPr>
            <w:tcW w:w="3000" w:type="dxa"/>
            <w:tcBorders>
              <w:top w:val="nil"/>
              <w:left w:val="nil"/>
              <w:bottom w:val="single" w:color="auto" w:sz="4" w:space="0"/>
              <w:right w:val="single" w:color="auto" w:sz="8" w:space="0"/>
            </w:tcBorders>
            <w:shd w:val="clear" w:color="auto" w:fill="auto"/>
            <w:vAlign w:val="center"/>
          </w:tcPr>
          <w:p>
            <w:pPr>
              <w:widowControl/>
              <w:jc w:val="right"/>
              <w:rPr>
                <w:rFonts w:hint="eastAsia" w:ascii="仿宋" w:hAnsi="仿宋" w:eastAsia="仿宋" w:cs="仿宋"/>
                <w:kern w:val="0"/>
                <w:sz w:val="21"/>
                <w:szCs w:val="21"/>
                <w:highlight w:val="none"/>
                <w:shd w:val="clear" w:color="auto" w:fill="auto"/>
              </w:rPr>
            </w:pPr>
            <w:r>
              <w:rPr>
                <w:rFonts w:hint="eastAsia" w:ascii="宋体" w:hAnsi="宋体" w:eastAsia="宋体" w:cs="宋体"/>
                <w:kern w:val="0"/>
                <w:sz w:val="24"/>
                <w:szCs w:val="24"/>
                <w:highlight w:val="none"/>
                <w:lang w:val="en-US" w:eastAsia="zh-CN"/>
              </w:rPr>
              <w:t>59.59</w:t>
            </w:r>
          </w:p>
        </w:tc>
      </w:tr>
      <w:tr>
        <w:tblPrEx>
          <w:tblLayout w:type="fixed"/>
          <w:tblCellMar>
            <w:top w:w="0" w:type="dxa"/>
            <w:left w:w="108" w:type="dxa"/>
            <w:bottom w:w="0" w:type="dxa"/>
            <w:right w:w="108" w:type="dxa"/>
          </w:tblCellMar>
        </w:tblPrEx>
        <w:trPr>
          <w:trHeight w:val="397" w:hRule="exact"/>
          <w:jc w:val="center"/>
        </w:trPr>
        <w:tc>
          <w:tcPr>
            <w:tcW w:w="1200" w:type="dxa"/>
            <w:tcBorders>
              <w:top w:val="single" w:color="auto" w:sz="4" w:space="0"/>
              <w:left w:val="single" w:color="auto" w:sz="8" w:space="0"/>
              <w:bottom w:val="single" w:color="auto" w:sz="4" w:space="0"/>
              <w:right w:val="single" w:color="auto" w:sz="4" w:space="0"/>
            </w:tcBorders>
            <w:shd w:val="clear" w:color="000000" w:fill="FFFFFF"/>
            <w:vAlign w:val="center"/>
          </w:tcPr>
          <w:p>
            <w:pPr>
              <w:jc w:val="left"/>
              <w:rPr>
                <w:rFonts w:hint="eastAsia" w:asciiTheme="minorHAnsi" w:hAnsiTheme="minorHAnsi" w:eastAsiaTheme="minorEastAsia" w:cstheme="minorBidi"/>
                <w:kern w:val="2"/>
                <w:sz w:val="21"/>
                <w:szCs w:val="22"/>
                <w:highlight w:val="none"/>
                <w:lang w:val="en-US" w:eastAsia="zh-CN" w:bidi="ar-SA"/>
              </w:rPr>
            </w:pPr>
            <w:r>
              <w:rPr>
                <w:rFonts w:hint="eastAsia"/>
                <w:highlight w:val="none"/>
                <w:lang w:val="en-US" w:eastAsia="zh-CN"/>
              </w:rPr>
              <w:t>20106</w:t>
            </w:r>
          </w:p>
        </w:tc>
        <w:tc>
          <w:tcPr>
            <w:tcW w:w="3924" w:type="dxa"/>
            <w:tcBorders>
              <w:top w:val="nil"/>
              <w:left w:val="nil"/>
              <w:bottom w:val="single" w:color="auto" w:sz="4" w:space="0"/>
              <w:right w:val="single" w:color="auto" w:sz="4" w:space="0"/>
            </w:tcBorders>
            <w:shd w:val="clear" w:color="000000" w:fill="FFFFFF"/>
            <w:vAlign w:val="center"/>
          </w:tcPr>
          <w:p>
            <w:pPr>
              <w:jc w:val="left"/>
              <w:rPr>
                <w:rFonts w:hint="eastAsia" w:asciiTheme="minorHAnsi" w:hAnsiTheme="minorHAnsi" w:eastAsiaTheme="minorEastAsia" w:cstheme="minorBidi"/>
                <w:kern w:val="2"/>
                <w:sz w:val="21"/>
                <w:szCs w:val="22"/>
                <w:highlight w:val="none"/>
                <w:lang w:val="en-US" w:eastAsia="zh-CN" w:bidi="ar-SA"/>
              </w:rPr>
            </w:pPr>
            <w:r>
              <w:rPr>
                <w:rFonts w:hint="eastAsia"/>
                <w:highlight w:val="none"/>
                <w:lang w:val="en-US" w:eastAsia="zh-CN"/>
              </w:rPr>
              <w:t>财政事务</w:t>
            </w:r>
          </w:p>
        </w:tc>
        <w:tc>
          <w:tcPr>
            <w:tcW w:w="307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 w:hAnsi="仿宋" w:eastAsia="仿宋" w:cs="仿宋"/>
                <w:kern w:val="0"/>
                <w:sz w:val="21"/>
                <w:szCs w:val="21"/>
                <w:highlight w:val="none"/>
                <w:shd w:val="clear" w:color="auto" w:fill="auto"/>
                <w:lang w:val="en-US" w:eastAsia="zh-CN"/>
              </w:rPr>
            </w:pPr>
            <w:r>
              <w:rPr>
                <w:rFonts w:hint="eastAsia" w:ascii="宋体" w:hAnsi="宋体" w:eastAsia="宋体" w:cs="宋体"/>
                <w:kern w:val="0"/>
                <w:sz w:val="24"/>
                <w:szCs w:val="24"/>
                <w:highlight w:val="none"/>
                <w:lang w:val="en-US" w:eastAsia="zh-CN"/>
              </w:rPr>
              <w:t>59.59</w:t>
            </w:r>
          </w:p>
        </w:tc>
        <w:tc>
          <w:tcPr>
            <w:tcW w:w="302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 w:hAnsi="仿宋" w:eastAsia="仿宋" w:cs="仿宋"/>
                <w:kern w:val="0"/>
                <w:sz w:val="21"/>
                <w:szCs w:val="21"/>
                <w:highlight w:val="none"/>
                <w:shd w:val="clear" w:color="auto" w:fill="auto"/>
                <w:lang w:val="en-US" w:eastAsia="zh-CN"/>
              </w:rPr>
            </w:pPr>
          </w:p>
        </w:tc>
        <w:tc>
          <w:tcPr>
            <w:tcW w:w="3000" w:type="dxa"/>
            <w:tcBorders>
              <w:top w:val="nil"/>
              <w:left w:val="nil"/>
              <w:bottom w:val="single" w:color="auto" w:sz="4" w:space="0"/>
              <w:right w:val="single" w:color="auto" w:sz="8" w:space="0"/>
            </w:tcBorders>
            <w:shd w:val="clear" w:color="auto" w:fill="auto"/>
            <w:vAlign w:val="center"/>
          </w:tcPr>
          <w:p>
            <w:pPr>
              <w:widowControl/>
              <w:jc w:val="right"/>
              <w:rPr>
                <w:rFonts w:hint="eastAsia" w:ascii="仿宋" w:hAnsi="仿宋" w:eastAsia="仿宋" w:cs="仿宋"/>
                <w:kern w:val="0"/>
                <w:sz w:val="21"/>
                <w:szCs w:val="21"/>
                <w:highlight w:val="none"/>
                <w:shd w:val="clear" w:color="auto" w:fill="auto"/>
              </w:rPr>
            </w:pPr>
            <w:r>
              <w:rPr>
                <w:rFonts w:hint="eastAsia" w:ascii="宋体" w:hAnsi="宋体" w:eastAsia="宋体" w:cs="宋体"/>
                <w:kern w:val="0"/>
                <w:sz w:val="24"/>
                <w:szCs w:val="24"/>
                <w:highlight w:val="none"/>
                <w:lang w:val="en-US" w:eastAsia="zh-CN"/>
              </w:rPr>
              <w:t>59.59</w:t>
            </w:r>
          </w:p>
        </w:tc>
      </w:tr>
      <w:tr>
        <w:tblPrEx>
          <w:tblLayout w:type="fixed"/>
          <w:tblCellMar>
            <w:top w:w="0" w:type="dxa"/>
            <w:left w:w="108" w:type="dxa"/>
            <w:bottom w:w="0" w:type="dxa"/>
            <w:right w:w="108" w:type="dxa"/>
          </w:tblCellMar>
        </w:tblPrEx>
        <w:trPr>
          <w:trHeight w:val="397" w:hRule="exact"/>
          <w:jc w:val="center"/>
        </w:trPr>
        <w:tc>
          <w:tcPr>
            <w:tcW w:w="1200" w:type="dxa"/>
            <w:tcBorders>
              <w:top w:val="single" w:color="auto" w:sz="4" w:space="0"/>
              <w:left w:val="single" w:color="auto" w:sz="8" w:space="0"/>
              <w:bottom w:val="single" w:color="auto" w:sz="4" w:space="0"/>
              <w:right w:val="single" w:color="auto" w:sz="4" w:space="0"/>
            </w:tcBorders>
            <w:shd w:val="clear" w:color="000000" w:fill="FFFFFF"/>
            <w:vAlign w:val="center"/>
          </w:tcPr>
          <w:p>
            <w:pPr>
              <w:jc w:val="left"/>
              <w:rPr>
                <w:rFonts w:hint="eastAsia" w:ascii="宋体" w:hAnsi="宋体" w:eastAsia="宋体" w:cs="宋体"/>
                <w:kern w:val="0"/>
                <w:sz w:val="24"/>
                <w:szCs w:val="24"/>
                <w:highlight w:val="none"/>
                <w:lang w:val="en-US" w:eastAsia="zh-CN" w:bidi="ar-SA"/>
              </w:rPr>
            </w:pPr>
            <w:r>
              <w:rPr>
                <w:rFonts w:hint="eastAsia"/>
                <w:highlight w:val="none"/>
                <w:lang w:val="en-US" w:eastAsia="zh-CN"/>
              </w:rPr>
              <w:t>2010699</w:t>
            </w:r>
          </w:p>
        </w:tc>
        <w:tc>
          <w:tcPr>
            <w:tcW w:w="3924" w:type="dxa"/>
            <w:tcBorders>
              <w:top w:val="nil"/>
              <w:left w:val="nil"/>
              <w:bottom w:val="single" w:color="auto" w:sz="4" w:space="0"/>
              <w:right w:val="single" w:color="auto" w:sz="4" w:space="0"/>
            </w:tcBorders>
            <w:shd w:val="clear" w:color="000000" w:fill="FFFFFF"/>
            <w:vAlign w:val="center"/>
          </w:tcPr>
          <w:p>
            <w:pPr>
              <w:jc w:val="left"/>
              <w:rPr>
                <w:rFonts w:hint="eastAsia" w:ascii="宋体" w:hAnsi="宋体" w:eastAsia="宋体" w:cs="宋体"/>
                <w:kern w:val="0"/>
                <w:sz w:val="24"/>
                <w:szCs w:val="24"/>
                <w:highlight w:val="none"/>
                <w:lang w:val="en-US" w:eastAsia="zh-CN" w:bidi="ar-SA"/>
              </w:rPr>
            </w:pPr>
            <w:r>
              <w:rPr>
                <w:rFonts w:hint="eastAsia"/>
                <w:highlight w:val="none"/>
                <w:lang w:val="en-US" w:eastAsia="zh-CN"/>
              </w:rPr>
              <w:t>其他财政事务支出</w:t>
            </w:r>
          </w:p>
        </w:tc>
        <w:tc>
          <w:tcPr>
            <w:tcW w:w="307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 w:hAnsi="仿宋" w:eastAsia="仿宋" w:cs="仿宋"/>
                <w:kern w:val="0"/>
                <w:sz w:val="21"/>
                <w:szCs w:val="21"/>
                <w:highlight w:val="none"/>
                <w:shd w:val="clear" w:color="auto" w:fill="auto"/>
                <w:lang w:val="en-US" w:eastAsia="zh-CN"/>
              </w:rPr>
            </w:pPr>
            <w:r>
              <w:rPr>
                <w:rFonts w:hint="eastAsia" w:ascii="宋体" w:hAnsi="宋体" w:eastAsia="宋体" w:cs="宋体"/>
                <w:kern w:val="0"/>
                <w:sz w:val="24"/>
                <w:szCs w:val="24"/>
                <w:highlight w:val="none"/>
                <w:lang w:val="en-US" w:eastAsia="zh-CN"/>
              </w:rPr>
              <w:t>59.59</w:t>
            </w:r>
            <w:r>
              <w:rPr>
                <w:rFonts w:hint="eastAsia" w:ascii="宋体" w:hAnsi="宋体" w:eastAsia="宋体" w:cs="宋体"/>
                <w:kern w:val="0"/>
                <w:sz w:val="24"/>
                <w:szCs w:val="24"/>
                <w:highlight w:val="none"/>
              </w:rPr>
              <w:t>　</w:t>
            </w:r>
          </w:p>
        </w:tc>
        <w:tc>
          <w:tcPr>
            <w:tcW w:w="302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 w:hAnsi="仿宋" w:eastAsia="仿宋" w:cs="仿宋"/>
                <w:kern w:val="0"/>
                <w:sz w:val="21"/>
                <w:szCs w:val="21"/>
                <w:highlight w:val="none"/>
                <w:shd w:val="clear" w:color="auto" w:fill="auto"/>
                <w:lang w:val="en-US" w:eastAsia="zh-CN"/>
              </w:rPr>
            </w:pPr>
            <w:r>
              <w:rPr>
                <w:rFonts w:hint="eastAsia" w:ascii="宋体" w:hAnsi="宋体" w:eastAsia="宋体" w:cs="宋体"/>
                <w:kern w:val="0"/>
                <w:sz w:val="24"/>
                <w:szCs w:val="24"/>
                <w:highlight w:val="none"/>
              </w:rPr>
              <w:t>　</w:t>
            </w:r>
          </w:p>
        </w:tc>
        <w:tc>
          <w:tcPr>
            <w:tcW w:w="3000" w:type="dxa"/>
            <w:tcBorders>
              <w:top w:val="nil"/>
              <w:left w:val="nil"/>
              <w:bottom w:val="single" w:color="auto" w:sz="4" w:space="0"/>
              <w:right w:val="single" w:color="auto" w:sz="8" w:space="0"/>
            </w:tcBorders>
            <w:shd w:val="clear" w:color="auto" w:fill="auto"/>
            <w:vAlign w:val="center"/>
          </w:tcPr>
          <w:p>
            <w:pPr>
              <w:widowControl/>
              <w:jc w:val="right"/>
              <w:rPr>
                <w:rFonts w:hint="eastAsia" w:ascii="仿宋" w:hAnsi="仿宋" w:eastAsia="仿宋" w:cs="仿宋"/>
                <w:kern w:val="0"/>
                <w:sz w:val="21"/>
                <w:szCs w:val="21"/>
                <w:highlight w:val="none"/>
                <w:shd w:val="clear" w:color="auto" w:fill="auto"/>
              </w:rPr>
            </w:pPr>
            <w:r>
              <w:rPr>
                <w:rFonts w:hint="eastAsia" w:ascii="宋体" w:hAnsi="宋体" w:eastAsia="宋体" w:cs="宋体"/>
                <w:kern w:val="0"/>
                <w:sz w:val="24"/>
                <w:szCs w:val="24"/>
                <w:highlight w:val="none"/>
                <w:lang w:val="en-US" w:eastAsia="zh-CN"/>
              </w:rPr>
              <w:t>59.59</w:t>
            </w:r>
            <w:r>
              <w:rPr>
                <w:rFonts w:hint="eastAsia" w:ascii="宋体" w:hAnsi="宋体" w:eastAsia="宋体" w:cs="宋体"/>
                <w:kern w:val="0"/>
                <w:sz w:val="24"/>
                <w:szCs w:val="24"/>
                <w:highlight w:val="none"/>
              </w:rPr>
              <w:t>　</w:t>
            </w:r>
          </w:p>
        </w:tc>
      </w:tr>
      <w:tr>
        <w:tblPrEx>
          <w:tblLayout w:type="fixed"/>
          <w:tblCellMar>
            <w:top w:w="0" w:type="dxa"/>
            <w:left w:w="108" w:type="dxa"/>
            <w:bottom w:w="0" w:type="dxa"/>
            <w:right w:w="108" w:type="dxa"/>
          </w:tblCellMar>
        </w:tblPrEx>
        <w:trPr>
          <w:trHeight w:val="397" w:hRule="exact"/>
          <w:jc w:val="center"/>
        </w:trPr>
        <w:tc>
          <w:tcPr>
            <w:tcW w:w="1200" w:type="dxa"/>
            <w:tcBorders>
              <w:top w:val="single" w:color="auto" w:sz="4" w:space="0"/>
              <w:left w:val="single" w:color="auto" w:sz="8" w:space="0"/>
              <w:bottom w:val="single" w:color="auto" w:sz="4" w:space="0"/>
              <w:right w:val="single" w:color="auto" w:sz="4" w:space="0"/>
            </w:tcBorders>
            <w:shd w:val="clear" w:color="000000" w:fill="FFFFFF"/>
            <w:vAlign w:val="center"/>
          </w:tcPr>
          <w:p>
            <w:pPr>
              <w:jc w:val="left"/>
              <w:rPr>
                <w:rFonts w:hint="default" w:asciiTheme="minorHAnsi" w:hAnsiTheme="minorHAnsi" w:eastAsiaTheme="minorEastAsia" w:cstheme="minorBidi"/>
                <w:kern w:val="2"/>
                <w:sz w:val="21"/>
                <w:szCs w:val="22"/>
                <w:highlight w:val="none"/>
                <w:lang w:val="en-US" w:eastAsia="zh-CN" w:bidi="ar-SA"/>
              </w:rPr>
            </w:pPr>
            <w:r>
              <w:rPr>
                <w:rFonts w:hint="eastAsia"/>
                <w:highlight w:val="none"/>
                <w:lang w:val="en-US" w:eastAsia="zh-CN"/>
              </w:rPr>
              <w:t>208</w:t>
            </w:r>
          </w:p>
        </w:tc>
        <w:tc>
          <w:tcPr>
            <w:tcW w:w="3924" w:type="dxa"/>
            <w:tcBorders>
              <w:top w:val="nil"/>
              <w:left w:val="nil"/>
              <w:bottom w:val="single" w:color="auto" w:sz="4" w:space="0"/>
              <w:right w:val="single" w:color="auto" w:sz="4" w:space="0"/>
            </w:tcBorders>
            <w:shd w:val="clear" w:color="000000" w:fill="FFFFFF"/>
            <w:vAlign w:val="center"/>
          </w:tcPr>
          <w:p>
            <w:pPr>
              <w:jc w:val="left"/>
              <w:rPr>
                <w:rFonts w:hint="eastAsia" w:asciiTheme="minorHAnsi" w:hAnsiTheme="minorHAnsi" w:eastAsiaTheme="minorEastAsia" w:cstheme="minorBidi"/>
                <w:kern w:val="2"/>
                <w:sz w:val="21"/>
                <w:szCs w:val="22"/>
                <w:highlight w:val="none"/>
                <w:lang w:val="en-US" w:eastAsia="zh-CN" w:bidi="ar-SA"/>
              </w:rPr>
            </w:pPr>
            <w:r>
              <w:rPr>
                <w:rFonts w:hint="eastAsia"/>
                <w:highlight w:val="none"/>
                <w:lang w:val="en-US" w:eastAsia="zh-CN"/>
              </w:rPr>
              <w:t>社会保障和就业支出</w:t>
            </w:r>
          </w:p>
        </w:tc>
        <w:tc>
          <w:tcPr>
            <w:tcW w:w="307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 w:hAnsi="仿宋" w:eastAsia="仿宋" w:cs="仿宋"/>
                <w:kern w:val="0"/>
                <w:sz w:val="21"/>
                <w:szCs w:val="21"/>
                <w:highlight w:val="none"/>
                <w:shd w:val="clear" w:color="auto" w:fill="auto"/>
                <w:lang w:val="en-US" w:eastAsia="zh-CN"/>
              </w:rPr>
            </w:pPr>
            <w:r>
              <w:rPr>
                <w:rFonts w:hint="eastAsia" w:ascii="宋体" w:hAnsi="宋体" w:eastAsia="宋体" w:cs="宋体"/>
                <w:kern w:val="0"/>
                <w:sz w:val="24"/>
                <w:szCs w:val="24"/>
                <w:highlight w:val="none"/>
                <w:lang w:val="en-US" w:eastAsia="zh-CN"/>
              </w:rPr>
              <w:t>154.98</w:t>
            </w:r>
          </w:p>
        </w:tc>
        <w:tc>
          <w:tcPr>
            <w:tcW w:w="302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 w:hAnsi="仿宋" w:eastAsia="仿宋" w:cs="仿宋"/>
                <w:kern w:val="0"/>
                <w:sz w:val="21"/>
                <w:szCs w:val="21"/>
                <w:highlight w:val="none"/>
                <w:shd w:val="clear" w:color="auto" w:fill="auto"/>
                <w:lang w:val="en-US" w:eastAsia="zh-CN"/>
              </w:rPr>
            </w:pPr>
            <w:r>
              <w:rPr>
                <w:rFonts w:hint="eastAsia" w:ascii="宋体" w:hAnsi="宋体" w:eastAsia="宋体" w:cs="宋体"/>
                <w:kern w:val="0"/>
                <w:sz w:val="24"/>
                <w:szCs w:val="24"/>
                <w:highlight w:val="none"/>
                <w:lang w:val="en-US" w:eastAsia="zh-CN"/>
              </w:rPr>
              <w:t>154.98</w:t>
            </w:r>
          </w:p>
        </w:tc>
        <w:tc>
          <w:tcPr>
            <w:tcW w:w="3000" w:type="dxa"/>
            <w:tcBorders>
              <w:top w:val="nil"/>
              <w:left w:val="nil"/>
              <w:bottom w:val="single" w:color="auto" w:sz="4" w:space="0"/>
              <w:right w:val="single" w:color="auto" w:sz="8" w:space="0"/>
            </w:tcBorders>
            <w:shd w:val="clear" w:color="auto" w:fill="auto"/>
            <w:vAlign w:val="center"/>
          </w:tcPr>
          <w:p>
            <w:pPr>
              <w:widowControl/>
              <w:jc w:val="right"/>
              <w:rPr>
                <w:rFonts w:hint="eastAsia" w:ascii="仿宋" w:hAnsi="仿宋" w:eastAsia="仿宋" w:cs="仿宋"/>
                <w:kern w:val="0"/>
                <w:sz w:val="21"/>
                <w:szCs w:val="21"/>
                <w:highlight w:val="none"/>
                <w:shd w:val="clear" w:color="auto" w:fill="auto"/>
              </w:rPr>
            </w:pPr>
          </w:p>
        </w:tc>
      </w:tr>
      <w:tr>
        <w:tblPrEx>
          <w:tblLayout w:type="fixed"/>
          <w:tblCellMar>
            <w:top w:w="0" w:type="dxa"/>
            <w:left w:w="108" w:type="dxa"/>
            <w:bottom w:w="0" w:type="dxa"/>
            <w:right w:w="108" w:type="dxa"/>
          </w:tblCellMar>
        </w:tblPrEx>
        <w:trPr>
          <w:trHeight w:val="397" w:hRule="exact"/>
          <w:jc w:val="center"/>
        </w:trPr>
        <w:tc>
          <w:tcPr>
            <w:tcW w:w="1200" w:type="dxa"/>
            <w:tcBorders>
              <w:top w:val="single" w:color="auto" w:sz="4" w:space="0"/>
              <w:left w:val="single" w:color="auto" w:sz="8" w:space="0"/>
              <w:bottom w:val="single" w:color="auto" w:sz="4" w:space="0"/>
              <w:right w:val="single" w:color="auto" w:sz="4" w:space="0"/>
            </w:tcBorders>
            <w:shd w:val="clear" w:color="000000" w:fill="FFFFFF"/>
            <w:vAlign w:val="center"/>
          </w:tcPr>
          <w:p>
            <w:pPr>
              <w:jc w:val="left"/>
              <w:rPr>
                <w:rFonts w:hint="eastAsia" w:asciiTheme="minorHAnsi" w:hAnsiTheme="minorHAnsi" w:eastAsiaTheme="minorEastAsia" w:cstheme="minorBidi"/>
                <w:kern w:val="2"/>
                <w:sz w:val="21"/>
                <w:szCs w:val="22"/>
                <w:highlight w:val="none"/>
                <w:lang w:val="en-US" w:eastAsia="zh-CN" w:bidi="ar-SA"/>
              </w:rPr>
            </w:pPr>
            <w:r>
              <w:rPr>
                <w:rFonts w:hint="eastAsia"/>
                <w:highlight w:val="none"/>
                <w:lang w:val="en-US" w:eastAsia="zh-CN"/>
              </w:rPr>
              <w:t>20805</w:t>
            </w:r>
          </w:p>
        </w:tc>
        <w:tc>
          <w:tcPr>
            <w:tcW w:w="3924" w:type="dxa"/>
            <w:tcBorders>
              <w:top w:val="nil"/>
              <w:left w:val="nil"/>
              <w:bottom w:val="single" w:color="auto" w:sz="4" w:space="0"/>
              <w:right w:val="single" w:color="auto" w:sz="4" w:space="0"/>
            </w:tcBorders>
            <w:shd w:val="clear" w:color="000000" w:fill="FFFFFF"/>
            <w:vAlign w:val="center"/>
          </w:tcPr>
          <w:p>
            <w:pPr>
              <w:jc w:val="left"/>
              <w:rPr>
                <w:rFonts w:hint="eastAsia" w:asciiTheme="minorHAnsi" w:hAnsiTheme="minorHAnsi" w:eastAsiaTheme="minorEastAsia" w:cstheme="minorBidi"/>
                <w:kern w:val="2"/>
                <w:sz w:val="21"/>
                <w:szCs w:val="22"/>
                <w:highlight w:val="none"/>
                <w:lang w:val="en-US" w:eastAsia="zh-CN" w:bidi="ar-SA"/>
              </w:rPr>
            </w:pPr>
            <w:r>
              <w:rPr>
                <w:rFonts w:hint="eastAsia"/>
                <w:highlight w:val="none"/>
                <w:lang w:val="en-US" w:eastAsia="zh-CN"/>
              </w:rPr>
              <w:t>行政事业单位养老支出</w:t>
            </w:r>
          </w:p>
        </w:tc>
        <w:tc>
          <w:tcPr>
            <w:tcW w:w="307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 w:hAnsi="仿宋" w:eastAsia="仿宋" w:cs="仿宋"/>
                <w:kern w:val="0"/>
                <w:sz w:val="21"/>
                <w:szCs w:val="21"/>
                <w:highlight w:val="none"/>
                <w:shd w:val="clear" w:color="auto" w:fill="auto"/>
                <w:lang w:val="en-US" w:eastAsia="zh-CN"/>
              </w:rPr>
            </w:pPr>
            <w:r>
              <w:rPr>
                <w:rFonts w:hint="eastAsia" w:ascii="宋体" w:hAnsi="宋体" w:eastAsia="宋体" w:cs="宋体"/>
                <w:kern w:val="0"/>
                <w:sz w:val="24"/>
                <w:szCs w:val="24"/>
                <w:highlight w:val="none"/>
                <w:lang w:val="en-US" w:eastAsia="zh-CN"/>
              </w:rPr>
              <w:t>92.69</w:t>
            </w:r>
          </w:p>
        </w:tc>
        <w:tc>
          <w:tcPr>
            <w:tcW w:w="302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 w:hAnsi="仿宋" w:eastAsia="仿宋" w:cs="仿宋"/>
                <w:kern w:val="0"/>
                <w:sz w:val="21"/>
                <w:szCs w:val="21"/>
                <w:highlight w:val="none"/>
                <w:shd w:val="clear" w:color="auto" w:fill="auto"/>
                <w:lang w:val="en-US" w:eastAsia="zh-CN"/>
              </w:rPr>
            </w:pPr>
            <w:r>
              <w:rPr>
                <w:rFonts w:hint="eastAsia" w:ascii="宋体" w:hAnsi="宋体" w:eastAsia="宋体" w:cs="宋体"/>
                <w:kern w:val="0"/>
                <w:sz w:val="24"/>
                <w:szCs w:val="24"/>
                <w:highlight w:val="none"/>
                <w:lang w:val="en-US" w:eastAsia="zh-CN"/>
              </w:rPr>
              <w:t>92.69</w:t>
            </w:r>
          </w:p>
        </w:tc>
        <w:tc>
          <w:tcPr>
            <w:tcW w:w="3000" w:type="dxa"/>
            <w:tcBorders>
              <w:top w:val="nil"/>
              <w:left w:val="nil"/>
              <w:bottom w:val="single" w:color="auto" w:sz="4" w:space="0"/>
              <w:right w:val="single" w:color="auto" w:sz="8" w:space="0"/>
            </w:tcBorders>
            <w:shd w:val="clear" w:color="auto" w:fill="auto"/>
            <w:vAlign w:val="center"/>
          </w:tcPr>
          <w:p>
            <w:pPr>
              <w:widowControl/>
              <w:jc w:val="right"/>
              <w:rPr>
                <w:rFonts w:hint="eastAsia" w:ascii="仿宋" w:hAnsi="仿宋" w:eastAsia="仿宋" w:cs="仿宋"/>
                <w:kern w:val="0"/>
                <w:sz w:val="21"/>
                <w:szCs w:val="21"/>
                <w:highlight w:val="none"/>
                <w:shd w:val="clear" w:color="auto" w:fill="auto"/>
              </w:rPr>
            </w:pPr>
          </w:p>
        </w:tc>
      </w:tr>
      <w:tr>
        <w:tblPrEx>
          <w:tblLayout w:type="fixed"/>
          <w:tblCellMar>
            <w:top w:w="0" w:type="dxa"/>
            <w:left w:w="108" w:type="dxa"/>
            <w:bottom w:w="0" w:type="dxa"/>
            <w:right w:w="108" w:type="dxa"/>
          </w:tblCellMar>
        </w:tblPrEx>
        <w:trPr>
          <w:trHeight w:val="397" w:hRule="exact"/>
          <w:jc w:val="center"/>
        </w:trPr>
        <w:tc>
          <w:tcPr>
            <w:tcW w:w="1200" w:type="dxa"/>
            <w:tcBorders>
              <w:top w:val="single" w:color="auto" w:sz="4" w:space="0"/>
              <w:left w:val="single" w:color="auto" w:sz="8" w:space="0"/>
              <w:bottom w:val="single" w:color="auto" w:sz="4" w:space="0"/>
              <w:right w:val="single" w:color="auto" w:sz="4" w:space="0"/>
            </w:tcBorders>
            <w:shd w:val="clear" w:color="000000" w:fill="FFFFFF"/>
            <w:vAlign w:val="center"/>
          </w:tcPr>
          <w:p>
            <w:pPr>
              <w:jc w:val="left"/>
              <w:rPr>
                <w:rFonts w:hint="eastAsia" w:ascii="宋体" w:hAnsi="宋体" w:eastAsia="宋体" w:cs="宋体"/>
                <w:kern w:val="0"/>
                <w:sz w:val="24"/>
                <w:szCs w:val="24"/>
                <w:highlight w:val="none"/>
                <w:lang w:val="en-US" w:eastAsia="zh-CN" w:bidi="ar-SA"/>
              </w:rPr>
            </w:pPr>
            <w:r>
              <w:rPr>
                <w:rFonts w:hint="eastAsia"/>
                <w:highlight w:val="none"/>
                <w:lang w:val="en-US" w:eastAsia="zh-CN"/>
              </w:rPr>
              <w:t>2080505</w:t>
            </w:r>
          </w:p>
        </w:tc>
        <w:tc>
          <w:tcPr>
            <w:tcW w:w="3924" w:type="dxa"/>
            <w:tcBorders>
              <w:top w:val="nil"/>
              <w:left w:val="nil"/>
              <w:bottom w:val="single" w:color="auto" w:sz="4" w:space="0"/>
              <w:right w:val="single" w:color="auto" w:sz="4" w:space="0"/>
            </w:tcBorders>
            <w:shd w:val="clear" w:color="000000" w:fill="FFFFFF"/>
            <w:vAlign w:val="center"/>
          </w:tcPr>
          <w:p>
            <w:pPr>
              <w:jc w:val="left"/>
              <w:rPr>
                <w:rFonts w:hint="eastAsia" w:ascii="宋体" w:hAnsi="宋体" w:eastAsia="宋体" w:cs="宋体"/>
                <w:kern w:val="0"/>
                <w:sz w:val="24"/>
                <w:szCs w:val="24"/>
                <w:highlight w:val="none"/>
                <w:lang w:val="en-US" w:eastAsia="zh-CN" w:bidi="ar-SA"/>
              </w:rPr>
            </w:pPr>
            <w:r>
              <w:rPr>
                <w:rFonts w:hint="eastAsia"/>
                <w:highlight w:val="none"/>
                <w:lang w:val="en-US" w:eastAsia="zh-CN"/>
              </w:rPr>
              <w:t>机关事业单位基本养老保险缴费支出</w:t>
            </w:r>
          </w:p>
        </w:tc>
        <w:tc>
          <w:tcPr>
            <w:tcW w:w="307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 w:hAnsi="仿宋" w:eastAsia="仿宋" w:cs="仿宋"/>
                <w:kern w:val="0"/>
                <w:sz w:val="21"/>
                <w:szCs w:val="21"/>
                <w:highlight w:val="none"/>
                <w:shd w:val="clear" w:color="auto" w:fill="auto"/>
                <w:lang w:val="en-US" w:eastAsia="zh-CN"/>
              </w:rPr>
            </w:pPr>
            <w:r>
              <w:rPr>
                <w:rFonts w:hint="eastAsia" w:ascii="宋体" w:hAnsi="宋体" w:eastAsia="宋体" w:cs="宋体"/>
                <w:kern w:val="0"/>
                <w:sz w:val="24"/>
                <w:szCs w:val="24"/>
                <w:highlight w:val="none"/>
                <w:lang w:val="en-US" w:eastAsia="zh-CN"/>
              </w:rPr>
              <w:t>92.69</w:t>
            </w:r>
            <w:r>
              <w:rPr>
                <w:rFonts w:hint="eastAsia" w:ascii="宋体" w:hAnsi="宋体" w:eastAsia="宋体" w:cs="宋体"/>
                <w:kern w:val="0"/>
                <w:sz w:val="24"/>
                <w:szCs w:val="24"/>
                <w:highlight w:val="none"/>
              </w:rPr>
              <w:t>　</w:t>
            </w:r>
          </w:p>
        </w:tc>
        <w:tc>
          <w:tcPr>
            <w:tcW w:w="302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 w:hAnsi="仿宋" w:eastAsia="仿宋" w:cs="仿宋"/>
                <w:kern w:val="0"/>
                <w:sz w:val="21"/>
                <w:szCs w:val="21"/>
                <w:highlight w:val="none"/>
                <w:shd w:val="clear" w:color="auto" w:fill="auto"/>
                <w:lang w:val="en-US" w:eastAsia="zh-CN"/>
              </w:rPr>
            </w:pPr>
            <w:r>
              <w:rPr>
                <w:rFonts w:hint="eastAsia" w:ascii="宋体" w:hAnsi="宋体" w:eastAsia="宋体" w:cs="宋体"/>
                <w:kern w:val="0"/>
                <w:sz w:val="24"/>
                <w:szCs w:val="24"/>
                <w:highlight w:val="none"/>
                <w:lang w:val="en-US" w:eastAsia="zh-CN"/>
              </w:rPr>
              <w:t>92.69</w:t>
            </w:r>
            <w:r>
              <w:rPr>
                <w:rFonts w:hint="eastAsia" w:ascii="宋体" w:hAnsi="宋体" w:eastAsia="宋体" w:cs="宋体"/>
                <w:kern w:val="0"/>
                <w:sz w:val="24"/>
                <w:szCs w:val="24"/>
                <w:highlight w:val="none"/>
              </w:rPr>
              <w:t>　</w:t>
            </w:r>
          </w:p>
        </w:tc>
        <w:tc>
          <w:tcPr>
            <w:tcW w:w="3000" w:type="dxa"/>
            <w:tcBorders>
              <w:top w:val="nil"/>
              <w:left w:val="nil"/>
              <w:bottom w:val="single" w:color="auto" w:sz="4" w:space="0"/>
              <w:right w:val="single" w:color="auto" w:sz="8" w:space="0"/>
            </w:tcBorders>
            <w:shd w:val="clear" w:color="auto" w:fill="auto"/>
            <w:vAlign w:val="center"/>
          </w:tcPr>
          <w:p>
            <w:pPr>
              <w:widowControl/>
              <w:jc w:val="right"/>
              <w:rPr>
                <w:rFonts w:hint="eastAsia" w:ascii="仿宋" w:hAnsi="仿宋" w:eastAsia="仿宋" w:cs="仿宋"/>
                <w:kern w:val="0"/>
                <w:sz w:val="21"/>
                <w:szCs w:val="21"/>
                <w:highlight w:val="none"/>
                <w:shd w:val="clear" w:color="auto" w:fill="auto"/>
              </w:rPr>
            </w:pPr>
            <w:r>
              <w:rPr>
                <w:rFonts w:hint="eastAsia" w:ascii="宋体" w:hAnsi="宋体" w:eastAsia="宋体" w:cs="宋体"/>
                <w:kern w:val="0"/>
                <w:sz w:val="24"/>
                <w:szCs w:val="24"/>
                <w:highlight w:val="none"/>
              </w:rPr>
              <w:t>　</w:t>
            </w:r>
          </w:p>
        </w:tc>
      </w:tr>
      <w:tr>
        <w:tblPrEx>
          <w:tblLayout w:type="fixed"/>
          <w:tblCellMar>
            <w:top w:w="0" w:type="dxa"/>
            <w:left w:w="108" w:type="dxa"/>
            <w:bottom w:w="0" w:type="dxa"/>
            <w:right w:w="108" w:type="dxa"/>
          </w:tblCellMar>
        </w:tblPrEx>
        <w:trPr>
          <w:trHeight w:val="397" w:hRule="exact"/>
          <w:jc w:val="center"/>
        </w:trPr>
        <w:tc>
          <w:tcPr>
            <w:tcW w:w="1200" w:type="dxa"/>
            <w:tcBorders>
              <w:top w:val="single" w:color="auto" w:sz="4" w:space="0"/>
              <w:left w:val="single" w:color="auto" w:sz="8" w:space="0"/>
              <w:bottom w:val="single" w:color="auto" w:sz="4" w:space="0"/>
              <w:right w:val="single" w:color="auto" w:sz="4" w:space="0"/>
            </w:tcBorders>
            <w:shd w:val="clear" w:color="000000" w:fill="FFFFFF"/>
            <w:vAlign w:val="center"/>
          </w:tcPr>
          <w:p>
            <w:pPr>
              <w:jc w:val="left"/>
              <w:rPr>
                <w:rFonts w:hint="eastAsia" w:ascii="宋体" w:hAnsi="宋体" w:eastAsia="宋体" w:cs="宋体"/>
                <w:kern w:val="0"/>
                <w:sz w:val="24"/>
                <w:szCs w:val="24"/>
                <w:highlight w:val="none"/>
                <w:lang w:val="en-US" w:eastAsia="zh-CN" w:bidi="ar-SA"/>
              </w:rPr>
            </w:pPr>
            <w:r>
              <w:rPr>
                <w:rFonts w:hint="eastAsia"/>
                <w:highlight w:val="none"/>
                <w:lang w:val="en-US" w:eastAsia="zh-CN"/>
              </w:rPr>
              <w:t>20808</w:t>
            </w:r>
          </w:p>
        </w:tc>
        <w:tc>
          <w:tcPr>
            <w:tcW w:w="3924" w:type="dxa"/>
            <w:tcBorders>
              <w:top w:val="nil"/>
              <w:left w:val="nil"/>
              <w:bottom w:val="single" w:color="auto" w:sz="4" w:space="0"/>
              <w:right w:val="single" w:color="auto" w:sz="4" w:space="0"/>
            </w:tcBorders>
            <w:shd w:val="clear" w:color="000000" w:fill="FFFFFF"/>
            <w:vAlign w:val="center"/>
          </w:tcPr>
          <w:p>
            <w:pPr>
              <w:jc w:val="left"/>
              <w:rPr>
                <w:rFonts w:hint="eastAsia" w:ascii="宋体" w:hAnsi="宋体" w:eastAsia="宋体" w:cs="宋体"/>
                <w:kern w:val="0"/>
                <w:sz w:val="24"/>
                <w:szCs w:val="24"/>
                <w:highlight w:val="none"/>
                <w:lang w:val="en-US" w:eastAsia="zh-CN" w:bidi="ar-SA"/>
              </w:rPr>
            </w:pPr>
            <w:r>
              <w:rPr>
                <w:rFonts w:hint="eastAsia"/>
                <w:highlight w:val="none"/>
                <w:lang w:val="en-US" w:eastAsia="zh-CN"/>
              </w:rPr>
              <w:t>抚恤</w:t>
            </w:r>
          </w:p>
        </w:tc>
        <w:tc>
          <w:tcPr>
            <w:tcW w:w="307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 w:hAnsi="仿宋" w:eastAsia="仿宋" w:cs="仿宋"/>
                <w:kern w:val="0"/>
                <w:sz w:val="21"/>
                <w:szCs w:val="21"/>
                <w:highlight w:val="none"/>
                <w:shd w:val="clear" w:color="auto" w:fill="auto"/>
                <w:lang w:val="en-US" w:eastAsia="zh-CN"/>
              </w:rPr>
            </w:pPr>
            <w:r>
              <w:rPr>
                <w:rFonts w:hint="eastAsia" w:ascii="宋体" w:hAnsi="宋体" w:eastAsia="宋体" w:cs="宋体"/>
                <w:kern w:val="0"/>
                <w:sz w:val="24"/>
                <w:szCs w:val="24"/>
                <w:highlight w:val="none"/>
                <w:lang w:val="en-US" w:eastAsia="zh-CN"/>
              </w:rPr>
              <w:t>62.29</w:t>
            </w:r>
            <w:r>
              <w:rPr>
                <w:rFonts w:hint="eastAsia" w:ascii="宋体" w:hAnsi="宋体" w:eastAsia="宋体" w:cs="宋体"/>
                <w:kern w:val="0"/>
                <w:sz w:val="24"/>
                <w:szCs w:val="24"/>
                <w:highlight w:val="none"/>
              </w:rPr>
              <w:t>　</w:t>
            </w:r>
          </w:p>
        </w:tc>
        <w:tc>
          <w:tcPr>
            <w:tcW w:w="302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 w:hAnsi="仿宋" w:eastAsia="仿宋" w:cs="仿宋"/>
                <w:kern w:val="0"/>
                <w:sz w:val="21"/>
                <w:szCs w:val="21"/>
                <w:highlight w:val="none"/>
                <w:shd w:val="clear" w:color="auto" w:fill="auto"/>
                <w:lang w:val="en-US" w:eastAsia="zh-CN"/>
              </w:rPr>
            </w:pPr>
            <w:r>
              <w:rPr>
                <w:rFonts w:hint="eastAsia" w:ascii="宋体" w:hAnsi="宋体" w:eastAsia="宋体" w:cs="宋体"/>
                <w:kern w:val="0"/>
                <w:sz w:val="24"/>
                <w:szCs w:val="24"/>
                <w:highlight w:val="none"/>
                <w:lang w:val="en-US" w:eastAsia="zh-CN"/>
              </w:rPr>
              <w:t>62.29</w:t>
            </w:r>
            <w:r>
              <w:rPr>
                <w:rFonts w:hint="eastAsia" w:ascii="宋体" w:hAnsi="宋体" w:eastAsia="宋体" w:cs="宋体"/>
                <w:kern w:val="0"/>
                <w:sz w:val="24"/>
                <w:szCs w:val="24"/>
                <w:highlight w:val="none"/>
              </w:rPr>
              <w:t>　</w:t>
            </w:r>
          </w:p>
        </w:tc>
        <w:tc>
          <w:tcPr>
            <w:tcW w:w="3000" w:type="dxa"/>
            <w:tcBorders>
              <w:top w:val="nil"/>
              <w:left w:val="nil"/>
              <w:bottom w:val="single" w:color="auto" w:sz="4" w:space="0"/>
              <w:right w:val="single" w:color="auto" w:sz="8" w:space="0"/>
            </w:tcBorders>
            <w:shd w:val="clear" w:color="auto" w:fill="auto"/>
            <w:vAlign w:val="center"/>
          </w:tcPr>
          <w:p>
            <w:pPr>
              <w:widowControl/>
              <w:jc w:val="right"/>
              <w:rPr>
                <w:rFonts w:hint="eastAsia" w:ascii="仿宋" w:hAnsi="仿宋" w:eastAsia="仿宋" w:cs="仿宋"/>
                <w:kern w:val="0"/>
                <w:sz w:val="21"/>
                <w:szCs w:val="21"/>
                <w:highlight w:val="none"/>
                <w:shd w:val="clear" w:color="auto" w:fill="auto"/>
              </w:rPr>
            </w:pPr>
            <w:r>
              <w:rPr>
                <w:rFonts w:hint="eastAsia" w:ascii="宋体" w:hAnsi="宋体" w:eastAsia="宋体" w:cs="宋体"/>
                <w:kern w:val="0"/>
                <w:sz w:val="24"/>
                <w:szCs w:val="24"/>
                <w:highlight w:val="none"/>
              </w:rPr>
              <w:t>　</w:t>
            </w:r>
          </w:p>
        </w:tc>
      </w:tr>
      <w:tr>
        <w:tblPrEx>
          <w:tblLayout w:type="fixed"/>
          <w:tblCellMar>
            <w:top w:w="0" w:type="dxa"/>
            <w:left w:w="108" w:type="dxa"/>
            <w:bottom w:w="0" w:type="dxa"/>
            <w:right w:w="108" w:type="dxa"/>
          </w:tblCellMar>
        </w:tblPrEx>
        <w:trPr>
          <w:trHeight w:val="397" w:hRule="exact"/>
          <w:jc w:val="center"/>
        </w:trPr>
        <w:tc>
          <w:tcPr>
            <w:tcW w:w="1200" w:type="dxa"/>
            <w:tcBorders>
              <w:top w:val="single" w:color="auto" w:sz="4" w:space="0"/>
              <w:left w:val="single" w:color="auto" w:sz="8" w:space="0"/>
              <w:bottom w:val="single" w:color="auto" w:sz="4" w:space="0"/>
              <w:right w:val="single" w:color="auto" w:sz="4" w:space="0"/>
            </w:tcBorders>
            <w:shd w:val="clear" w:color="000000" w:fill="FFFFFF"/>
            <w:vAlign w:val="center"/>
          </w:tcPr>
          <w:p>
            <w:pPr>
              <w:jc w:val="left"/>
              <w:rPr>
                <w:rFonts w:hint="eastAsia" w:ascii="宋体" w:hAnsi="宋体" w:cs="宋体" w:eastAsiaTheme="minorEastAsia"/>
                <w:kern w:val="0"/>
                <w:sz w:val="24"/>
                <w:szCs w:val="24"/>
                <w:highlight w:val="none"/>
                <w:lang w:val="en-US" w:eastAsia="zh-CN" w:bidi="ar-SA"/>
              </w:rPr>
            </w:pPr>
            <w:r>
              <w:rPr>
                <w:rFonts w:hint="eastAsia"/>
                <w:highlight w:val="none"/>
                <w:lang w:val="en-US" w:eastAsia="zh-CN"/>
              </w:rPr>
              <w:t>2080801</w:t>
            </w:r>
          </w:p>
        </w:tc>
        <w:tc>
          <w:tcPr>
            <w:tcW w:w="3924" w:type="dxa"/>
            <w:tcBorders>
              <w:top w:val="nil"/>
              <w:left w:val="nil"/>
              <w:bottom w:val="single" w:color="auto" w:sz="4" w:space="0"/>
              <w:right w:val="single" w:color="auto" w:sz="4" w:space="0"/>
            </w:tcBorders>
            <w:shd w:val="clear" w:color="000000" w:fill="FFFFFF"/>
            <w:vAlign w:val="center"/>
          </w:tcPr>
          <w:p>
            <w:pPr>
              <w:jc w:val="left"/>
              <w:rPr>
                <w:rFonts w:hint="eastAsia" w:ascii="宋体" w:hAnsi="宋体" w:cs="宋体" w:eastAsiaTheme="minorEastAsia"/>
                <w:kern w:val="0"/>
                <w:sz w:val="24"/>
                <w:szCs w:val="24"/>
                <w:highlight w:val="none"/>
                <w:lang w:val="en-US" w:eastAsia="zh-CN" w:bidi="ar-SA"/>
              </w:rPr>
            </w:pPr>
            <w:r>
              <w:rPr>
                <w:rFonts w:hint="eastAsia"/>
                <w:highlight w:val="none"/>
                <w:lang w:val="en-US" w:eastAsia="zh-CN"/>
              </w:rPr>
              <w:t>死亡抚恤</w:t>
            </w:r>
          </w:p>
        </w:tc>
        <w:tc>
          <w:tcPr>
            <w:tcW w:w="307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 w:hAnsi="仿宋" w:eastAsia="仿宋" w:cs="仿宋"/>
                <w:kern w:val="0"/>
                <w:sz w:val="21"/>
                <w:szCs w:val="21"/>
                <w:highlight w:val="none"/>
                <w:shd w:val="clear" w:color="auto" w:fill="auto"/>
              </w:rPr>
            </w:pPr>
            <w:r>
              <w:rPr>
                <w:rFonts w:hint="eastAsia" w:ascii="宋体" w:hAnsi="宋体" w:eastAsia="宋体" w:cs="宋体"/>
                <w:kern w:val="0"/>
                <w:sz w:val="24"/>
                <w:szCs w:val="24"/>
                <w:highlight w:val="none"/>
                <w:lang w:val="en-US" w:eastAsia="zh-CN"/>
              </w:rPr>
              <w:t>62.29</w:t>
            </w:r>
            <w:r>
              <w:rPr>
                <w:rFonts w:hint="eastAsia" w:ascii="宋体" w:hAnsi="宋体" w:eastAsia="宋体" w:cs="宋体"/>
                <w:kern w:val="0"/>
                <w:sz w:val="24"/>
                <w:szCs w:val="24"/>
                <w:highlight w:val="none"/>
              </w:rPr>
              <w:t>　</w:t>
            </w:r>
          </w:p>
        </w:tc>
        <w:tc>
          <w:tcPr>
            <w:tcW w:w="302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 w:hAnsi="仿宋" w:eastAsia="仿宋" w:cs="仿宋"/>
                <w:kern w:val="0"/>
                <w:sz w:val="21"/>
                <w:szCs w:val="21"/>
                <w:highlight w:val="none"/>
                <w:shd w:val="clear" w:color="auto" w:fill="auto"/>
              </w:rPr>
            </w:pPr>
            <w:r>
              <w:rPr>
                <w:rFonts w:hint="eastAsia" w:ascii="宋体" w:hAnsi="宋体" w:eastAsia="宋体" w:cs="宋体"/>
                <w:kern w:val="0"/>
                <w:sz w:val="24"/>
                <w:szCs w:val="24"/>
                <w:highlight w:val="none"/>
                <w:lang w:val="en-US" w:eastAsia="zh-CN"/>
              </w:rPr>
              <w:t>62.29</w:t>
            </w:r>
            <w:r>
              <w:rPr>
                <w:rFonts w:hint="eastAsia" w:ascii="宋体" w:hAnsi="宋体" w:eastAsia="宋体" w:cs="宋体"/>
                <w:kern w:val="0"/>
                <w:sz w:val="24"/>
                <w:szCs w:val="24"/>
                <w:highlight w:val="none"/>
              </w:rPr>
              <w:t>　</w:t>
            </w:r>
          </w:p>
        </w:tc>
        <w:tc>
          <w:tcPr>
            <w:tcW w:w="3000" w:type="dxa"/>
            <w:tcBorders>
              <w:top w:val="nil"/>
              <w:left w:val="nil"/>
              <w:bottom w:val="single" w:color="auto" w:sz="4" w:space="0"/>
              <w:right w:val="single" w:color="auto" w:sz="8" w:space="0"/>
            </w:tcBorders>
            <w:shd w:val="clear" w:color="auto" w:fill="auto"/>
            <w:vAlign w:val="center"/>
          </w:tcPr>
          <w:p>
            <w:pPr>
              <w:widowControl/>
              <w:jc w:val="right"/>
              <w:rPr>
                <w:rFonts w:hint="eastAsia" w:ascii="仿宋" w:hAnsi="仿宋" w:eastAsia="仿宋" w:cs="仿宋"/>
                <w:kern w:val="0"/>
                <w:sz w:val="21"/>
                <w:szCs w:val="21"/>
                <w:highlight w:val="none"/>
                <w:shd w:val="clear" w:color="auto" w:fill="auto"/>
              </w:rPr>
            </w:pPr>
            <w:r>
              <w:rPr>
                <w:rFonts w:hint="eastAsia" w:ascii="宋体" w:hAnsi="宋体" w:eastAsia="宋体" w:cs="宋体"/>
                <w:kern w:val="0"/>
                <w:sz w:val="24"/>
                <w:szCs w:val="24"/>
                <w:highlight w:val="none"/>
              </w:rPr>
              <w:t>　</w:t>
            </w:r>
          </w:p>
        </w:tc>
      </w:tr>
      <w:tr>
        <w:tblPrEx>
          <w:tblLayout w:type="fixed"/>
          <w:tblCellMar>
            <w:top w:w="0" w:type="dxa"/>
            <w:left w:w="108" w:type="dxa"/>
            <w:bottom w:w="0" w:type="dxa"/>
            <w:right w:w="108" w:type="dxa"/>
          </w:tblCellMar>
        </w:tblPrEx>
        <w:trPr>
          <w:trHeight w:val="397" w:hRule="exact"/>
          <w:jc w:val="center"/>
        </w:trPr>
        <w:tc>
          <w:tcPr>
            <w:tcW w:w="1200" w:type="dxa"/>
            <w:tcBorders>
              <w:top w:val="single" w:color="auto" w:sz="4" w:space="0"/>
              <w:left w:val="single" w:color="auto" w:sz="8" w:space="0"/>
              <w:bottom w:val="single" w:color="auto" w:sz="4" w:space="0"/>
              <w:right w:val="single" w:color="auto" w:sz="4" w:space="0"/>
            </w:tcBorders>
            <w:shd w:val="clear" w:color="000000" w:fill="FFFFFF"/>
            <w:vAlign w:val="center"/>
          </w:tcPr>
          <w:p>
            <w:pPr>
              <w:jc w:val="left"/>
              <w:rPr>
                <w:rFonts w:hint="eastAsia" w:asciiTheme="minorHAnsi" w:hAnsiTheme="minorHAnsi" w:eastAsiaTheme="minorEastAsia" w:cstheme="minorBidi"/>
                <w:kern w:val="2"/>
                <w:sz w:val="21"/>
                <w:szCs w:val="22"/>
                <w:highlight w:val="none"/>
                <w:lang w:val="en-US" w:eastAsia="zh-CN" w:bidi="ar-SA"/>
              </w:rPr>
            </w:pPr>
            <w:r>
              <w:rPr>
                <w:rFonts w:hint="eastAsia"/>
                <w:highlight w:val="none"/>
                <w:lang w:val="en-US" w:eastAsia="zh-CN"/>
              </w:rPr>
              <w:t>213</w:t>
            </w:r>
          </w:p>
        </w:tc>
        <w:tc>
          <w:tcPr>
            <w:tcW w:w="3924" w:type="dxa"/>
            <w:tcBorders>
              <w:top w:val="nil"/>
              <w:left w:val="nil"/>
              <w:bottom w:val="single" w:color="auto" w:sz="4" w:space="0"/>
              <w:right w:val="single" w:color="auto" w:sz="4" w:space="0"/>
            </w:tcBorders>
            <w:shd w:val="clear" w:color="000000" w:fill="FFFFFF"/>
            <w:vAlign w:val="center"/>
          </w:tcPr>
          <w:p>
            <w:pPr>
              <w:jc w:val="left"/>
              <w:rPr>
                <w:rFonts w:hint="eastAsia" w:asciiTheme="minorHAnsi" w:hAnsiTheme="minorHAnsi" w:eastAsiaTheme="minorEastAsia" w:cstheme="minorBidi"/>
                <w:kern w:val="2"/>
                <w:sz w:val="21"/>
                <w:szCs w:val="22"/>
                <w:highlight w:val="none"/>
                <w:lang w:val="en-US" w:eastAsia="zh-CN" w:bidi="ar-SA"/>
              </w:rPr>
            </w:pPr>
            <w:r>
              <w:rPr>
                <w:rFonts w:hint="eastAsia"/>
                <w:highlight w:val="none"/>
                <w:lang w:val="en-US" w:eastAsia="zh-CN"/>
              </w:rPr>
              <w:t>农林水支出</w:t>
            </w:r>
          </w:p>
        </w:tc>
        <w:tc>
          <w:tcPr>
            <w:tcW w:w="3075" w:type="dxa"/>
            <w:tcBorders>
              <w:top w:val="nil"/>
              <w:left w:val="nil"/>
              <w:bottom w:val="single" w:color="auto" w:sz="4" w:space="0"/>
              <w:right w:val="single" w:color="auto" w:sz="4" w:space="0"/>
            </w:tcBorders>
            <w:shd w:val="clear" w:color="auto" w:fill="auto"/>
            <w:vAlign w:val="center"/>
          </w:tcPr>
          <w:p>
            <w:pPr>
              <w:widowControl/>
              <w:jc w:val="right"/>
              <w:rPr>
                <w:rFonts w:hint="default" w:ascii="仿宋" w:hAnsi="仿宋" w:eastAsia="仿宋" w:cs="仿宋"/>
                <w:kern w:val="0"/>
                <w:sz w:val="21"/>
                <w:szCs w:val="21"/>
                <w:highlight w:val="none"/>
                <w:shd w:val="clear" w:color="auto" w:fill="auto"/>
                <w:lang w:val="en-US"/>
              </w:rPr>
            </w:pPr>
            <w:r>
              <w:rPr>
                <w:rFonts w:hint="eastAsia" w:ascii="宋体" w:hAnsi="宋体" w:eastAsia="宋体" w:cs="宋体"/>
                <w:kern w:val="0"/>
                <w:sz w:val="24"/>
                <w:szCs w:val="24"/>
                <w:highlight w:val="none"/>
                <w:lang w:val="en-US" w:eastAsia="zh-CN"/>
              </w:rPr>
              <w:t>574.20</w:t>
            </w:r>
          </w:p>
        </w:tc>
        <w:tc>
          <w:tcPr>
            <w:tcW w:w="3020" w:type="dxa"/>
            <w:tcBorders>
              <w:top w:val="nil"/>
              <w:left w:val="nil"/>
              <w:bottom w:val="single" w:color="auto" w:sz="4" w:space="0"/>
              <w:right w:val="single" w:color="auto" w:sz="4" w:space="0"/>
            </w:tcBorders>
            <w:shd w:val="clear" w:color="auto" w:fill="auto"/>
            <w:vAlign w:val="center"/>
          </w:tcPr>
          <w:p>
            <w:pPr>
              <w:widowControl/>
              <w:jc w:val="right"/>
              <w:rPr>
                <w:rFonts w:hint="default" w:ascii="仿宋" w:hAnsi="仿宋" w:eastAsia="仿宋" w:cs="仿宋"/>
                <w:kern w:val="0"/>
                <w:sz w:val="21"/>
                <w:szCs w:val="21"/>
                <w:highlight w:val="none"/>
                <w:shd w:val="clear" w:color="auto" w:fill="auto"/>
                <w:lang w:val="en-US"/>
              </w:rPr>
            </w:pPr>
            <w:r>
              <w:rPr>
                <w:rFonts w:hint="eastAsia" w:ascii="宋体" w:hAnsi="宋体" w:eastAsia="宋体" w:cs="宋体"/>
                <w:kern w:val="0"/>
                <w:sz w:val="24"/>
                <w:szCs w:val="24"/>
                <w:highlight w:val="none"/>
                <w:lang w:val="en-US" w:eastAsia="zh-CN"/>
              </w:rPr>
              <w:t>533.15</w:t>
            </w:r>
          </w:p>
        </w:tc>
        <w:tc>
          <w:tcPr>
            <w:tcW w:w="3000" w:type="dxa"/>
            <w:tcBorders>
              <w:top w:val="nil"/>
              <w:left w:val="nil"/>
              <w:bottom w:val="single" w:color="auto" w:sz="4" w:space="0"/>
              <w:right w:val="single" w:color="auto" w:sz="8" w:space="0"/>
            </w:tcBorders>
            <w:shd w:val="clear" w:color="auto" w:fill="auto"/>
            <w:vAlign w:val="center"/>
          </w:tcPr>
          <w:p>
            <w:pPr>
              <w:widowControl/>
              <w:jc w:val="right"/>
              <w:rPr>
                <w:rFonts w:hint="eastAsia" w:ascii="仿宋" w:hAnsi="仿宋" w:eastAsia="仿宋" w:cs="仿宋"/>
                <w:kern w:val="0"/>
                <w:sz w:val="21"/>
                <w:szCs w:val="21"/>
                <w:highlight w:val="none"/>
                <w:shd w:val="clear" w:color="auto" w:fill="auto"/>
              </w:rPr>
            </w:pPr>
            <w:r>
              <w:rPr>
                <w:rFonts w:hint="eastAsia" w:ascii="宋体" w:hAnsi="宋体" w:eastAsia="宋体" w:cs="宋体"/>
                <w:kern w:val="0"/>
                <w:sz w:val="24"/>
                <w:szCs w:val="24"/>
                <w:highlight w:val="none"/>
                <w:lang w:val="en-US" w:eastAsia="zh-CN"/>
              </w:rPr>
              <w:t>41.05</w:t>
            </w:r>
          </w:p>
        </w:tc>
      </w:tr>
      <w:tr>
        <w:tblPrEx>
          <w:tblLayout w:type="fixed"/>
          <w:tblCellMar>
            <w:top w:w="0" w:type="dxa"/>
            <w:left w:w="108" w:type="dxa"/>
            <w:bottom w:w="0" w:type="dxa"/>
            <w:right w:w="108" w:type="dxa"/>
          </w:tblCellMar>
        </w:tblPrEx>
        <w:trPr>
          <w:trHeight w:val="397" w:hRule="exact"/>
          <w:jc w:val="center"/>
        </w:trPr>
        <w:tc>
          <w:tcPr>
            <w:tcW w:w="1200" w:type="dxa"/>
            <w:tcBorders>
              <w:top w:val="single" w:color="auto" w:sz="4" w:space="0"/>
              <w:left w:val="single" w:color="auto" w:sz="8" w:space="0"/>
              <w:bottom w:val="single" w:color="auto" w:sz="4" w:space="0"/>
              <w:right w:val="single" w:color="auto" w:sz="4" w:space="0"/>
            </w:tcBorders>
            <w:shd w:val="clear" w:color="000000" w:fill="FFFFFF"/>
            <w:vAlign w:val="center"/>
          </w:tcPr>
          <w:p>
            <w:pPr>
              <w:jc w:val="left"/>
              <w:rPr>
                <w:rFonts w:hint="eastAsia" w:ascii="宋体" w:hAnsi="宋体" w:eastAsia="宋体" w:cs="宋体"/>
                <w:kern w:val="0"/>
                <w:sz w:val="24"/>
                <w:szCs w:val="24"/>
                <w:highlight w:val="none"/>
                <w:lang w:val="en-US" w:eastAsia="zh-CN" w:bidi="ar-SA"/>
              </w:rPr>
            </w:pPr>
            <w:r>
              <w:rPr>
                <w:rFonts w:hint="eastAsia"/>
                <w:highlight w:val="none"/>
                <w:lang w:val="en-US" w:eastAsia="zh-CN"/>
              </w:rPr>
              <w:t>21301</w:t>
            </w:r>
          </w:p>
        </w:tc>
        <w:tc>
          <w:tcPr>
            <w:tcW w:w="3924" w:type="dxa"/>
            <w:tcBorders>
              <w:top w:val="nil"/>
              <w:left w:val="nil"/>
              <w:bottom w:val="single" w:color="auto" w:sz="4" w:space="0"/>
              <w:right w:val="single" w:color="auto" w:sz="4" w:space="0"/>
            </w:tcBorders>
            <w:shd w:val="clear" w:color="000000" w:fill="FFFFFF"/>
            <w:vAlign w:val="center"/>
          </w:tcPr>
          <w:p>
            <w:pPr>
              <w:jc w:val="left"/>
              <w:rPr>
                <w:rFonts w:hint="eastAsia" w:ascii="宋体" w:hAnsi="宋体" w:eastAsia="宋体" w:cs="宋体"/>
                <w:kern w:val="0"/>
                <w:sz w:val="24"/>
                <w:szCs w:val="24"/>
                <w:highlight w:val="none"/>
                <w:lang w:val="en-US" w:eastAsia="zh-CN" w:bidi="ar-SA"/>
              </w:rPr>
            </w:pPr>
            <w:r>
              <w:rPr>
                <w:rFonts w:hint="eastAsia"/>
                <w:highlight w:val="none"/>
                <w:lang w:val="en-US" w:eastAsia="zh-CN"/>
              </w:rPr>
              <w:t>农业农村</w:t>
            </w:r>
          </w:p>
        </w:tc>
        <w:tc>
          <w:tcPr>
            <w:tcW w:w="307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 w:hAnsi="仿宋" w:eastAsia="仿宋" w:cs="仿宋"/>
                <w:kern w:val="0"/>
                <w:sz w:val="21"/>
                <w:szCs w:val="21"/>
                <w:highlight w:val="none"/>
                <w:shd w:val="clear" w:color="auto" w:fill="auto"/>
              </w:rPr>
            </w:pPr>
            <w:r>
              <w:rPr>
                <w:rFonts w:hint="eastAsia" w:ascii="宋体" w:hAnsi="宋体" w:eastAsia="宋体" w:cs="宋体"/>
                <w:kern w:val="0"/>
                <w:sz w:val="24"/>
                <w:szCs w:val="24"/>
                <w:highlight w:val="none"/>
                <w:lang w:val="en-US" w:eastAsia="zh-CN"/>
              </w:rPr>
              <w:t>574.20</w:t>
            </w:r>
            <w:r>
              <w:rPr>
                <w:rFonts w:hint="eastAsia" w:ascii="宋体" w:hAnsi="宋体" w:eastAsia="宋体" w:cs="宋体"/>
                <w:kern w:val="0"/>
                <w:sz w:val="24"/>
                <w:szCs w:val="24"/>
                <w:highlight w:val="none"/>
              </w:rPr>
              <w:t>　</w:t>
            </w:r>
          </w:p>
        </w:tc>
        <w:tc>
          <w:tcPr>
            <w:tcW w:w="302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 w:hAnsi="仿宋" w:eastAsia="仿宋" w:cs="仿宋"/>
                <w:kern w:val="0"/>
                <w:sz w:val="21"/>
                <w:szCs w:val="21"/>
                <w:highlight w:val="none"/>
                <w:shd w:val="clear" w:color="auto" w:fill="auto"/>
              </w:rPr>
            </w:pPr>
            <w:r>
              <w:rPr>
                <w:rFonts w:hint="eastAsia" w:ascii="宋体" w:hAnsi="宋体" w:eastAsia="宋体" w:cs="宋体"/>
                <w:kern w:val="0"/>
                <w:sz w:val="24"/>
                <w:szCs w:val="24"/>
                <w:highlight w:val="none"/>
                <w:lang w:val="en-US" w:eastAsia="zh-CN"/>
              </w:rPr>
              <w:t>533.15</w:t>
            </w:r>
            <w:r>
              <w:rPr>
                <w:rFonts w:hint="eastAsia" w:ascii="宋体" w:hAnsi="宋体" w:eastAsia="宋体" w:cs="宋体"/>
                <w:kern w:val="0"/>
                <w:sz w:val="24"/>
                <w:szCs w:val="24"/>
                <w:highlight w:val="none"/>
              </w:rPr>
              <w:t>　</w:t>
            </w:r>
          </w:p>
        </w:tc>
        <w:tc>
          <w:tcPr>
            <w:tcW w:w="3000" w:type="dxa"/>
            <w:tcBorders>
              <w:top w:val="nil"/>
              <w:left w:val="nil"/>
              <w:bottom w:val="single" w:color="auto" w:sz="4" w:space="0"/>
              <w:right w:val="single" w:color="auto" w:sz="8" w:space="0"/>
            </w:tcBorders>
            <w:shd w:val="clear" w:color="auto" w:fill="auto"/>
            <w:vAlign w:val="center"/>
          </w:tcPr>
          <w:p>
            <w:pPr>
              <w:widowControl/>
              <w:jc w:val="right"/>
              <w:rPr>
                <w:rFonts w:hint="eastAsia" w:ascii="仿宋" w:hAnsi="仿宋" w:eastAsia="仿宋" w:cs="仿宋"/>
                <w:kern w:val="0"/>
                <w:sz w:val="21"/>
                <w:szCs w:val="21"/>
                <w:highlight w:val="none"/>
                <w:shd w:val="clear" w:color="auto" w:fill="auto"/>
              </w:rPr>
            </w:pPr>
            <w:r>
              <w:rPr>
                <w:rFonts w:hint="eastAsia" w:ascii="宋体" w:hAnsi="宋体" w:eastAsia="宋体" w:cs="宋体"/>
                <w:kern w:val="0"/>
                <w:sz w:val="24"/>
                <w:szCs w:val="24"/>
                <w:highlight w:val="none"/>
                <w:lang w:val="en-US" w:eastAsia="zh-CN"/>
              </w:rPr>
              <w:t>41.05</w:t>
            </w:r>
            <w:r>
              <w:rPr>
                <w:rFonts w:hint="eastAsia" w:ascii="宋体" w:hAnsi="宋体" w:eastAsia="宋体" w:cs="宋体"/>
                <w:kern w:val="0"/>
                <w:sz w:val="24"/>
                <w:szCs w:val="24"/>
                <w:highlight w:val="none"/>
              </w:rPr>
              <w:t>　</w:t>
            </w:r>
          </w:p>
        </w:tc>
      </w:tr>
      <w:tr>
        <w:tblPrEx>
          <w:tblLayout w:type="fixed"/>
          <w:tblCellMar>
            <w:top w:w="0" w:type="dxa"/>
            <w:left w:w="108" w:type="dxa"/>
            <w:bottom w:w="0" w:type="dxa"/>
            <w:right w:w="108" w:type="dxa"/>
          </w:tblCellMar>
        </w:tblPrEx>
        <w:trPr>
          <w:trHeight w:val="397" w:hRule="exact"/>
          <w:jc w:val="center"/>
        </w:trPr>
        <w:tc>
          <w:tcPr>
            <w:tcW w:w="1200" w:type="dxa"/>
            <w:tcBorders>
              <w:top w:val="single" w:color="auto" w:sz="4" w:space="0"/>
              <w:left w:val="single" w:color="auto" w:sz="8" w:space="0"/>
              <w:bottom w:val="single" w:color="auto" w:sz="4" w:space="0"/>
              <w:right w:val="single" w:color="auto" w:sz="4" w:space="0"/>
            </w:tcBorders>
            <w:shd w:val="clear" w:color="000000" w:fill="FFFFFF"/>
            <w:vAlign w:val="center"/>
          </w:tcPr>
          <w:p>
            <w:pPr>
              <w:jc w:val="left"/>
              <w:rPr>
                <w:rFonts w:hint="eastAsia" w:ascii="宋体" w:hAnsi="宋体" w:eastAsia="宋体" w:cs="宋体"/>
                <w:kern w:val="0"/>
                <w:sz w:val="24"/>
                <w:szCs w:val="24"/>
                <w:highlight w:val="none"/>
                <w:lang w:val="en-US" w:eastAsia="zh-CN" w:bidi="ar-SA"/>
              </w:rPr>
            </w:pPr>
            <w:r>
              <w:rPr>
                <w:rFonts w:hint="eastAsia"/>
                <w:highlight w:val="none"/>
                <w:lang w:val="en-US" w:eastAsia="zh-CN"/>
              </w:rPr>
              <w:t>2130101</w:t>
            </w:r>
          </w:p>
        </w:tc>
        <w:tc>
          <w:tcPr>
            <w:tcW w:w="3924" w:type="dxa"/>
            <w:tcBorders>
              <w:top w:val="nil"/>
              <w:left w:val="nil"/>
              <w:bottom w:val="single" w:color="auto" w:sz="4" w:space="0"/>
              <w:right w:val="single" w:color="auto" w:sz="4" w:space="0"/>
            </w:tcBorders>
            <w:shd w:val="clear" w:color="000000" w:fill="FFFFFF"/>
            <w:vAlign w:val="center"/>
          </w:tcPr>
          <w:p>
            <w:pPr>
              <w:jc w:val="left"/>
              <w:rPr>
                <w:rFonts w:hint="eastAsia" w:ascii="宋体" w:hAnsi="宋体" w:eastAsia="宋体" w:cs="宋体"/>
                <w:kern w:val="0"/>
                <w:sz w:val="24"/>
                <w:szCs w:val="24"/>
                <w:highlight w:val="none"/>
                <w:lang w:val="en-US" w:eastAsia="zh-CN" w:bidi="ar-SA"/>
              </w:rPr>
            </w:pPr>
            <w:r>
              <w:rPr>
                <w:rFonts w:hint="eastAsia"/>
                <w:highlight w:val="none"/>
                <w:lang w:val="en-US" w:eastAsia="zh-CN"/>
              </w:rPr>
              <w:t>行政运行</w:t>
            </w:r>
          </w:p>
        </w:tc>
        <w:tc>
          <w:tcPr>
            <w:tcW w:w="307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 w:hAnsi="仿宋" w:eastAsia="仿宋" w:cs="仿宋"/>
                <w:kern w:val="0"/>
                <w:sz w:val="21"/>
                <w:szCs w:val="21"/>
                <w:highlight w:val="none"/>
                <w:shd w:val="clear" w:color="auto" w:fill="auto"/>
              </w:rPr>
            </w:pPr>
            <w:r>
              <w:rPr>
                <w:rFonts w:hint="eastAsia" w:ascii="宋体" w:hAnsi="宋体" w:eastAsia="宋体" w:cs="宋体"/>
                <w:kern w:val="0"/>
                <w:sz w:val="24"/>
                <w:szCs w:val="24"/>
                <w:highlight w:val="none"/>
                <w:lang w:val="en-US" w:eastAsia="zh-CN"/>
              </w:rPr>
              <w:t>533.15</w:t>
            </w:r>
            <w:r>
              <w:rPr>
                <w:rFonts w:hint="eastAsia" w:ascii="宋体" w:hAnsi="宋体" w:eastAsia="宋体" w:cs="宋体"/>
                <w:kern w:val="0"/>
                <w:sz w:val="24"/>
                <w:szCs w:val="24"/>
                <w:highlight w:val="none"/>
              </w:rPr>
              <w:t>　</w:t>
            </w:r>
          </w:p>
        </w:tc>
        <w:tc>
          <w:tcPr>
            <w:tcW w:w="302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 w:hAnsi="仿宋" w:eastAsia="仿宋" w:cs="仿宋"/>
                <w:kern w:val="0"/>
                <w:sz w:val="21"/>
                <w:szCs w:val="21"/>
                <w:highlight w:val="none"/>
                <w:shd w:val="clear" w:color="auto" w:fill="auto"/>
              </w:rPr>
            </w:pPr>
            <w:r>
              <w:rPr>
                <w:rFonts w:hint="eastAsia" w:ascii="宋体" w:hAnsi="宋体" w:eastAsia="宋体" w:cs="宋体"/>
                <w:kern w:val="0"/>
                <w:sz w:val="24"/>
                <w:szCs w:val="24"/>
                <w:highlight w:val="none"/>
                <w:lang w:val="en-US" w:eastAsia="zh-CN"/>
              </w:rPr>
              <w:t>533.15</w:t>
            </w:r>
            <w:r>
              <w:rPr>
                <w:rFonts w:hint="eastAsia" w:ascii="宋体" w:hAnsi="宋体" w:eastAsia="宋体" w:cs="宋体"/>
                <w:kern w:val="0"/>
                <w:sz w:val="24"/>
                <w:szCs w:val="24"/>
                <w:highlight w:val="none"/>
              </w:rPr>
              <w:t>　</w:t>
            </w:r>
          </w:p>
        </w:tc>
        <w:tc>
          <w:tcPr>
            <w:tcW w:w="3000" w:type="dxa"/>
            <w:tcBorders>
              <w:top w:val="nil"/>
              <w:left w:val="nil"/>
              <w:bottom w:val="single" w:color="auto" w:sz="4" w:space="0"/>
              <w:right w:val="single" w:color="auto" w:sz="8" w:space="0"/>
            </w:tcBorders>
            <w:shd w:val="clear" w:color="auto" w:fill="auto"/>
            <w:vAlign w:val="center"/>
          </w:tcPr>
          <w:p>
            <w:pPr>
              <w:widowControl/>
              <w:jc w:val="right"/>
              <w:rPr>
                <w:rFonts w:hint="eastAsia" w:ascii="仿宋" w:hAnsi="仿宋" w:eastAsia="仿宋" w:cs="仿宋"/>
                <w:kern w:val="0"/>
                <w:sz w:val="21"/>
                <w:szCs w:val="21"/>
                <w:highlight w:val="none"/>
                <w:shd w:val="clear" w:color="auto" w:fill="auto"/>
              </w:rPr>
            </w:pPr>
            <w:r>
              <w:rPr>
                <w:rFonts w:hint="eastAsia" w:ascii="宋体" w:hAnsi="宋体" w:eastAsia="宋体" w:cs="宋体"/>
                <w:kern w:val="0"/>
                <w:sz w:val="24"/>
                <w:szCs w:val="24"/>
                <w:highlight w:val="none"/>
              </w:rPr>
              <w:t>　</w:t>
            </w:r>
          </w:p>
        </w:tc>
      </w:tr>
      <w:tr>
        <w:tblPrEx>
          <w:tblLayout w:type="fixed"/>
          <w:tblCellMar>
            <w:top w:w="0" w:type="dxa"/>
            <w:left w:w="108" w:type="dxa"/>
            <w:bottom w:w="0" w:type="dxa"/>
            <w:right w:w="108" w:type="dxa"/>
          </w:tblCellMar>
        </w:tblPrEx>
        <w:trPr>
          <w:trHeight w:val="397" w:hRule="exact"/>
          <w:jc w:val="center"/>
        </w:trPr>
        <w:tc>
          <w:tcPr>
            <w:tcW w:w="1200" w:type="dxa"/>
            <w:tcBorders>
              <w:top w:val="single" w:color="auto" w:sz="4" w:space="0"/>
              <w:left w:val="single" w:color="auto" w:sz="8" w:space="0"/>
              <w:bottom w:val="single" w:color="auto" w:sz="4" w:space="0"/>
              <w:right w:val="single" w:color="auto" w:sz="4" w:space="0"/>
            </w:tcBorders>
            <w:shd w:val="clear" w:color="000000" w:fill="FFFFFF"/>
            <w:vAlign w:val="center"/>
          </w:tcPr>
          <w:p>
            <w:pPr>
              <w:jc w:val="left"/>
              <w:rPr>
                <w:rFonts w:hint="eastAsia" w:ascii="宋体" w:hAnsi="宋体" w:eastAsia="宋体" w:cs="宋体"/>
                <w:kern w:val="0"/>
                <w:sz w:val="24"/>
                <w:szCs w:val="24"/>
                <w:highlight w:val="none"/>
                <w:lang w:val="en-US" w:eastAsia="zh-CN" w:bidi="ar-SA"/>
              </w:rPr>
            </w:pPr>
            <w:r>
              <w:rPr>
                <w:rFonts w:hint="eastAsia"/>
                <w:highlight w:val="none"/>
                <w:lang w:val="en-US" w:eastAsia="zh-CN"/>
              </w:rPr>
              <w:t>2130105</w:t>
            </w:r>
          </w:p>
        </w:tc>
        <w:tc>
          <w:tcPr>
            <w:tcW w:w="3924" w:type="dxa"/>
            <w:tcBorders>
              <w:top w:val="nil"/>
              <w:left w:val="nil"/>
              <w:bottom w:val="single" w:color="auto" w:sz="4" w:space="0"/>
              <w:right w:val="single" w:color="auto" w:sz="4" w:space="0"/>
            </w:tcBorders>
            <w:shd w:val="clear" w:color="000000" w:fill="FFFFFF"/>
            <w:vAlign w:val="center"/>
          </w:tcPr>
          <w:p>
            <w:pPr>
              <w:jc w:val="left"/>
              <w:rPr>
                <w:rFonts w:hint="eastAsia" w:ascii="宋体" w:hAnsi="宋体" w:eastAsia="宋体" w:cs="宋体"/>
                <w:kern w:val="0"/>
                <w:sz w:val="24"/>
                <w:szCs w:val="24"/>
                <w:highlight w:val="none"/>
                <w:lang w:val="en-US" w:eastAsia="zh-CN" w:bidi="ar-SA"/>
              </w:rPr>
            </w:pPr>
            <w:r>
              <w:rPr>
                <w:rFonts w:hint="eastAsia"/>
                <w:highlight w:val="none"/>
                <w:lang w:val="en-US" w:eastAsia="zh-CN"/>
              </w:rPr>
              <w:t>农垦运行</w:t>
            </w:r>
          </w:p>
        </w:tc>
        <w:tc>
          <w:tcPr>
            <w:tcW w:w="307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 w:hAnsi="仿宋" w:eastAsia="仿宋" w:cs="仿宋"/>
                <w:kern w:val="0"/>
                <w:sz w:val="21"/>
                <w:szCs w:val="21"/>
                <w:highlight w:val="none"/>
                <w:shd w:val="clear" w:color="auto" w:fill="auto"/>
              </w:rPr>
            </w:pPr>
            <w:r>
              <w:rPr>
                <w:rFonts w:hint="eastAsia" w:ascii="宋体" w:hAnsi="宋体" w:eastAsia="宋体" w:cs="宋体"/>
                <w:kern w:val="0"/>
                <w:sz w:val="24"/>
                <w:szCs w:val="24"/>
                <w:highlight w:val="none"/>
                <w:lang w:val="en-US" w:eastAsia="zh-CN"/>
              </w:rPr>
              <w:t>23.71</w:t>
            </w:r>
            <w:r>
              <w:rPr>
                <w:rFonts w:hint="eastAsia" w:ascii="宋体" w:hAnsi="宋体" w:eastAsia="宋体" w:cs="宋体"/>
                <w:kern w:val="0"/>
                <w:sz w:val="24"/>
                <w:szCs w:val="24"/>
                <w:highlight w:val="none"/>
              </w:rPr>
              <w:t>　</w:t>
            </w:r>
          </w:p>
        </w:tc>
        <w:tc>
          <w:tcPr>
            <w:tcW w:w="302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 w:hAnsi="仿宋" w:eastAsia="仿宋" w:cs="仿宋"/>
                <w:kern w:val="0"/>
                <w:sz w:val="21"/>
                <w:szCs w:val="21"/>
                <w:highlight w:val="none"/>
                <w:shd w:val="clear" w:color="auto" w:fill="auto"/>
              </w:rPr>
            </w:pPr>
            <w:r>
              <w:rPr>
                <w:rFonts w:hint="eastAsia" w:ascii="宋体" w:hAnsi="宋体" w:eastAsia="宋体" w:cs="宋体"/>
                <w:kern w:val="0"/>
                <w:sz w:val="24"/>
                <w:szCs w:val="24"/>
                <w:highlight w:val="none"/>
              </w:rPr>
              <w:t>　</w:t>
            </w:r>
          </w:p>
        </w:tc>
        <w:tc>
          <w:tcPr>
            <w:tcW w:w="3000" w:type="dxa"/>
            <w:tcBorders>
              <w:top w:val="nil"/>
              <w:left w:val="nil"/>
              <w:bottom w:val="single" w:color="auto" w:sz="4" w:space="0"/>
              <w:right w:val="single" w:color="auto" w:sz="8" w:space="0"/>
            </w:tcBorders>
            <w:shd w:val="clear" w:color="auto" w:fill="auto"/>
            <w:vAlign w:val="center"/>
          </w:tcPr>
          <w:p>
            <w:pPr>
              <w:widowControl/>
              <w:jc w:val="right"/>
              <w:rPr>
                <w:rFonts w:hint="eastAsia" w:ascii="仿宋" w:hAnsi="仿宋" w:eastAsia="仿宋" w:cs="仿宋"/>
                <w:kern w:val="0"/>
                <w:sz w:val="21"/>
                <w:szCs w:val="21"/>
                <w:highlight w:val="none"/>
                <w:shd w:val="clear" w:color="auto" w:fill="auto"/>
              </w:rPr>
            </w:pPr>
            <w:r>
              <w:rPr>
                <w:rFonts w:hint="eastAsia" w:ascii="宋体" w:hAnsi="宋体" w:eastAsia="宋体" w:cs="宋体"/>
                <w:kern w:val="0"/>
                <w:sz w:val="24"/>
                <w:szCs w:val="24"/>
                <w:highlight w:val="none"/>
                <w:lang w:val="en-US" w:eastAsia="zh-CN"/>
              </w:rPr>
              <w:t>23.71</w:t>
            </w:r>
            <w:r>
              <w:rPr>
                <w:rFonts w:hint="eastAsia" w:ascii="宋体" w:hAnsi="宋体" w:eastAsia="宋体" w:cs="宋体"/>
                <w:kern w:val="0"/>
                <w:sz w:val="24"/>
                <w:szCs w:val="24"/>
                <w:highlight w:val="none"/>
              </w:rPr>
              <w:t>　</w:t>
            </w:r>
          </w:p>
        </w:tc>
      </w:tr>
      <w:tr>
        <w:tblPrEx>
          <w:tblLayout w:type="fixed"/>
          <w:tblCellMar>
            <w:top w:w="0" w:type="dxa"/>
            <w:left w:w="108" w:type="dxa"/>
            <w:bottom w:w="0" w:type="dxa"/>
            <w:right w:w="108" w:type="dxa"/>
          </w:tblCellMar>
        </w:tblPrEx>
        <w:trPr>
          <w:trHeight w:val="397" w:hRule="exact"/>
          <w:jc w:val="center"/>
        </w:trPr>
        <w:tc>
          <w:tcPr>
            <w:tcW w:w="1200" w:type="dxa"/>
            <w:tcBorders>
              <w:top w:val="single" w:color="auto" w:sz="4" w:space="0"/>
              <w:left w:val="single" w:color="auto" w:sz="8" w:space="0"/>
              <w:bottom w:val="single" w:color="auto" w:sz="8" w:space="0"/>
              <w:right w:val="single" w:color="auto" w:sz="4" w:space="0"/>
            </w:tcBorders>
            <w:shd w:val="clear" w:color="000000" w:fill="FFFFFF"/>
            <w:vAlign w:val="center"/>
          </w:tcPr>
          <w:p>
            <w:pPr>
              <w:jc w:val="left"/>
              <w:rPr>
                <w:rFonts w:hint="eastAsia" w:ascii="宋体" w:hAnsi="宋体" w:eastAsia="宋体" w:cs="宋体"/>
                <w:kern w:val="0"/>
                <w:sz w:val="24"/>
                <w:szCs w:val="24"/>
                <w:highlight w:val="none"/>
                <w:lang w:val="en-US" w:eastAsia="zh-CN" w:bidi="ar-SA"/>
              </w:rPr>
            </w:pPr>
            <w:r>
              <w:rPr>
                <w:rFonts w:hint="eastAsia"/>
                <w:highlight w:val="none"/>
                <w:lang w:val="en-US" w:eastAsia="zh-CN"/>
              </w:rPr>
              <w:t>2130122</w:t>
            </w:r>
          </w:p>
        </w:tc>
        <w:tc>
          <w:tcPr>
            <w:tcW w:w="3924" w:type="dxa"/>
            <w:tcBorders>
              <w:top w:val="nil"/>
              <w:left w:val="nil"/>
              <w:bottom w:val="single" w:color="auto" w:sz="8" w:space="0"/>
              <w:right w:val="single" w:color="auto" w:sz="4" w:space="0"/>
            </w:tcBorders>
            <w:shd w:val="clear" w:color="000000" w:fill="FFFFFF"/>
            <w:vAlign w:val="center"/>
          </w:tcPr>
          <w:p>
            <w:pPr>
              <w:jc w:val="left"/>
              <w:rPr>
                <w:rFonts w:hint="eastAsia" w:ascii="宋体" w:hAnsi="宋体" w:eastAsia="宋体" w:cs="宋体"/>
                <w:kern w:val="0"/>
                <w:sz w:val="24"/>
                <w:szCs w:val="24"/>
                <w:highlight w:val="none"/>
                <w:lang w:val="en-US" w:eastAsia="zh-CN" w:bidi="ar-SA"/>
              </w:rPr>
            </w:pPr>
            <w:r>
              <w:rPr>
                <w:rFonts w:hint="eastAsia"/>
                <w:highlight w:val="none"/>
                <w:lang w:val="en-US" w:eastAsia="zh-CN"/>
              </w:rPr>
              <w:t>农业生产发展</w:t>
            </w:r>
          </w:p>
        </w:tc>
        <w:tc>
          <w:tcPr>
            <w:tcW w:w="3075" w:type="dxa"/>
            <w:tcBorders>
              <w:top w:val="nil"/>
              <w:left w:val="nil"/>
              <w:bottom w:val="single" w:color="auto" w:sz="8" w:space="0"/>
              <w:right w:val="single" w:color="auto" w:sz="4" w:space="0"/>
            </w:tcBorders>
            <w:shd w:val="clear" w:color="auto" w:fill="auto"/>
            <w:vAlign w:val="center"/>
          </w:tcPr>
          <w:p>
            <w:pPr>
              <w:widowControl/>
              <w:jc w:val="right"/>
              <w:rPr>
                <w:rFonts w:hint="eastAsia" w:ascii="仿宋" w:hAnsi="仿宋" w:eastAsia="仿宋" w:cs="仿宋"/>
                <w:kern w:val="0"/>
                <w:sz w:val="21"/>
                <w:szCs w:val="21"/>
                <w:highlight w:val="none"/>
                <w:shd w:val="clear" w:color="auto" w:fill="auto"/>
              </w:rPr>
            </w:pPr>
            <w:r>
              <w:rPr>
                <w:rFonts w:hint="eastAsia" w:ascii="宋体" w:hAnsi="宋体" w:eastAsia="宋体" w:cs="宋体"/>
                <w:kern w:val="0"/>
                <w:sz w:val="24"/>
                <w:szCs w:val="24"/>
                <w:highlight w:val="none"/>
                <w:lang w:val="en-US" w:eastAsia="zh-CN"/>
              </w:rPr>
              <w:t>17.34</w:t>
            </w:r>
            <w:r>
              <w:rPr>
                <w:rFonts w:hint="eastAsia" w:ascii="宋体" w:hAnsi="宋体" w:eastAsia="宋体" w:cs="宋体"/>
                <w:kern w:val="0"/>
                <w:sz w:val="24"/>
                <w:szCs w:val="24"/>
                <w:highlight w:val="none"/>
              </w:rPr>
              <w:t>　</w:t>
            </w:r>
          </w:p>
        </w:tc>
        <w:tc>
          <w:tcPr>
            <w:tcW w:w="3020" w:type="dxa"/>
            <w:tcBorders>
              <w:top w:val="nil"/>
              <w:left w:val="nil"/>
              <w:bottom w:val="single" w:color="auto" w:sz="8" w:space="0"/>
              <w:right w:val="single" w:color="auto" w:sz="4" w:space="0"/>
            </w:tcBorders>
            <w:shd w:val="clear" w:color="auto" w:fill="auto"/>
            <w:vAlign w:val="center"/>
          </w:tcPr>
          <w:p>
            <w:pPr>
              <w:widowControl/>
              <w:jc w:val="right"/>
              <w:rPr>
                <w:rFonts w:hint="eastAsia" w:ascii="仿宋" w:hAnsi="仿宋" w:eastAsia="仿宋" w:cs="仿宋"/>
                <w:kern w:val="0"/>
                <w:sz w:val="21"/>
                <w:szCs w:val="21"/>
                <w:highlight w:val="none"/>
                <w:shd w:val="clear" w:color="auto" w:fill="auto"/>
              </w:rPr>
            </w:pPr>
            <w:r>
              <w:rPr>
                <w:rFonts w:hint="eastAsia" w:ascii="宋体" w:hAnsi="宋体" w:eastAsia="宋体" w:cs="宋体"/>
                <w:kern w:val="0"/>
                <w:sz w:val="24"/>
                <w:szCs w:val="24"/>
                <w:highlight w:val="none"/>
              </w:rPr>
              <w:t>　</w:t>
            </w:r>
          </w:p>
        </w:tc>
        <w:tc>
          <w:tcPr>
            <w:tcW w:w="3000" w:type="dxa"/>
            <w:tcBorders>
              <w:top w:val="nil"/>
              <w:left w:val="nil"/>
              <w:bottom w:val="single" w:color="auto" w:sz="8" w:space="0"/>
              <w:right w:val="single" w:color="auto" w:sz="8" w:space="0"/>
            </w:tcBorders>
            <w:shd w:val="clear" w:color="auto" w:fill="auto"/>
            <w:vAlign w:val="center"/>
          </w:tcPr>
          <w:p>
            <w:pPr>
              <w:widowControl/>
              <w:jc w:val="right"/>
              <w:rPr>
                <w:rFonts w:hint="eastAsia" w:ascii="仿宋" w:hAnsi="仿宋" w:eastAsia="仿宋" w:cs="仿宋"/>
                <w:kern w:val="0"/>
                <w:sz w:val="21"/>
                <w:szCs w:val="21"/>
                <w:highlight w:val="none"/>
                <w:shd w:val="clear" w:color="auto" w:fill="auto"/>
              </w:rPr>
            </w:pPr>
            <w:r>
              <w:rPr>
                <w:rFonts w:hint="eastAsia" w:ascii="宋体" w:hAnsi="宋体" w:eastAsia="宋体" w:cs="宋体"/>
                <w:kern w:val="0"/>
                <w:sz w:val="24"/>
                <w:szCs w:val="24"/>
                <w:highlight w:val="none"/>
                <w:lang w:val="en-US" w:eastAsia="zh-CN"/>
              </w:rPr>
              <w:t>17.34</w:t>
            </w:r>
            <w:r>
              <w:rPr>
                <w:rFonts w:hint="eastAsia" w:ascii="宋体" w:hAnsi="宋体" w:eastAsia="宋体" w:cs="宋体"/>
                <w:kern w:val="0"/>
                <w:sz w:val="24"/>
                <w:szCs w:val="24"/>
                <w:highlight w:val="none"/>
              </w:rPr>
              <w:t>　</w:t>
            </w:r>
          </w:p>
        </w:tc>
      </w:tr>
      <w:tr>
        <w:tblPrEx>
          <w:tblLayout w:type="fixed"/>
          <w:tblCellMar>
            <w:top w:w="0" w:type="dxa"/>
            <w:left w:w="108" w:type="dxa"/>
            <w:bottom w:w="0" w:type="dxa"/>
            <w:right w:w="108" w:type="dxa"/>
          </w:tblCellMar>
        </w:tblPrEx>
        <w:trPr>
          <w:trHeight w:val="397" w:hRule="exact"/>
          <w:jc w:val="center"/>
        </w:trPr>
        <w:tc>
          <w:tcPr>
            <w:tcW w:w="14219" w:type="dxa"/>
            <w:gridSpan w:val="5"/>
            <w:tcBorders>
              <w:top w:val="nil"/>
              <w:left w:val="nil"/>
              <w:bottom w:val="nil"/>
              <w:right w:val="nil"/>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注：本表反映部门本年度一般公共预算财政拨款支出情况。</w:t>
            </w:r>
          </w:p>
        </w:tc>
      </w:tr>
    </w:tbl>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r>
        <w:rPr>
          <w:rFonts w:ascii="Times New Roman" w:hAnsi="Times New Roman" w:eastAsia="仿宋_GB2312" w:cs="Times New Roman"/>
          <w:bCs/>
          <w:kern w:val="0"/>
          <w:szCs w:val="21"/>
        </w:rPr>
        <w:br w:type="page"/>
      </w:r>
    </w:p>
    <w:tbl>
      <w:tblPr>
        <w:tblStyle w:val="10"/>
        <w:tblW w:w="15614" w:type="dxa"/>
        <w:tblInd w:w="0" w:type="dxa"/>
        <w:tblLayout w:type="fixed"/>
        <w:tblCellMar>
          <w:top w:w="0" w:type="dxa"/>
          <w:left w:w="108" w:type="dxa"/>
          <w:bottom w:w="0" w:type="dxa"/>
          <w:right w:w="108" w:type="dxa"/>
        </w:tblCellMar>
      </w:tblPr>
      <w:tblGrid>
        <w:gridCol w:w="985"/>
        <w:gridCol w:w="239"/>
        <w:gridCol w:w="93"/>
        <w:gridCol w:w="1282"/>
        <w:gridCol w:w="2017"/>
        <w:gridCol w:w="87"/>
        <w:gridCol w:w="893"/>
        <w:gridCol w:w="1071"/>
        <w:gridCol w:w="387"/>
        <w:gridCol w:w="1874"/>
        <w:gridCol w:w="202"/>
        <w:gridCol w:w="612"/>
        <w:gridCol w:w="1115"/>
        <w:gridCol w:w="353"/>
        <w:gridCol w:w="2076"/>
        <w:gridCol w:w="1342"/>
        <w:gridCol w:w="735"/>
        <w:gridCol w:w="251"/>
      </w:tblGrid>
      <w:tr>
        <w:tblPrEx>
          <w:tblLayout w:type="fixed"/>
          <w:tblCellMar>
            <w:top w:w="0" w:type="dxa"/>
            <w:left w:w="108" w:type="dxa"/>
            <w:bottom w:w="0" w:type="dxa"/>
            <w:right w:w="108" w:type="dxa"/>
          </w:tblCellMar>
        </w:tblPrEx>
        <w:trPr>
          <w:trHeight w:val="113" w:hRule="atLeast"/>
        </w:trPr>
        <w:tc>
          <w:tcPr>
            <w:tcW w:w="15614" w:type="dxa"/>
            <w:gridSpan w:val="18"/>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Cs w:val="32"/>
              </w:rPr>
            </w:pPr>
            <w:bookmarkStart w:id="2" w:name="RANGE!A1:I34"/>
            <w:r>
              <w:rPr>
                <w:rFonts w:hint="eastAsia" w:ascii="华文中宋" w:hAnsi="华文中宋" w:eastAsia="华文中宋" w:cs="宋体"/>
                <w:color w:val="000000"/>
                <w:kern w:val="0"/>
                <w:szCs w:val="32"/>
              </w:rPr>
              <w:t>一般公共预算财政拨款基本支出决算明细表</w:t>
            </w:r>
            <w:bookmarkEnd w:id="2"/>
          </w:p>
          <w:p>
            <w:pPr>
              <w:widowControl/>
              <w:wordWrap w:val="0"/>
              <w:jc w:val="righ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部门：</w:t>
            </w:r>
            <w:r>
              <w:rPr>
                <w:rFonts w:hint="eastAsia" w:ascii="Times New Roman" w:hAnsi="Times New Roman" w:eastAsia="仿宋_GB2312" w:cs="Times New Roman"/>
                <w:color w:val="000000"/>
                <w:kern w:val="0"/>
                <w:szCs w:val="21"/>
                <w:lang w:val="en-US" w:eastAsia="zh-CN"/>
              </w:rPr>
              <w:t>湖南省农垦管理服务站</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公开06表</w:t>
            </w:r>
          </w:p>
          <w:p>
            <w:pPr>
              <w:widowControl/>
              <w:jc w:val="right"/>
              <w:rPr>
                <w:rFonts w:ascii="华文中宋" w:hAnsi="华文中宋" w:eastAsia="华文中宋" w:cs="宋体"/>
                <w:color w:val="000000"/>
                <w:kern w:val="0"/>
                <w:szCs w:val="32"/>
              </w:rPr>
            </w:pPr>
            <w:r>
              <w:rPr>
                <w:rFonts w:hint="eastAsia" w:ascii="Times New Roman" w:hAnsi="Times New Roman" w:eastAsia="仿宋_GB2312" w:cs="Times New Roman"/>
                <w:color w:val="000000"/>
                <w:kern w:val="0"/>
                <w:szCs w:val="21"/>
              </w:rPr>
              <w:t>单位：万元</w:t>
            </w:r>
          </w:p>
        </w:tc>
      </w:tr>
      <w:tr>
        <w:tblPrEx>
          <w:tblLayout w:type="fixed"/>
          <w:tblCellMar>
            <w:top w:w="0" w:type="dxa"/>
            <w:left w:w="108" w:type="dxa"/>
            <w:bottom w:w="0" w:type="dxa"/>
            <w:right w:w="108" w:type="dxa"/>
          </w:tblCellMar>
        </w:tblPrEx>
        <w:trPr>
          <w:trHeight w:val="113" w:hRule="atLeast"/>
        </w:trPr>
        <w:tc>
          <w:tcPr>
            <w:tcW w:w="131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 w:val="20"/>
                <w:szCs w:val="20"/>
              </w:rPr>
              <w:t>经济分类科目编码</w:t>
            </w:r>
          </w:p>
        </w:tc>
        <w:tc>
          <w:tcPr>
            <w:tcW w:w="329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9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10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226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81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111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3771"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9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r>
      <w:tr>
        <w:tblPrEx>
          <w:tblLayout w:type="fixed"/>
          <w:tblCellMar>
            <w:top w:w="0" w:type="dxa"/>
            <w:left w:w="108" w:type="dxa"/>
            <w:bottom w:w="0" w:type="dxa"/>
            <w:right w:w="108" w:type="dxa"/>
          </w:tblCellMar>
        </w:tblPrEx>
        <w:trPr>
          <w:trHeight w:val="284" w:hRule="exact"/>
        </w:trPr>
        <w:tc>
          <w:tcPr>
            <w:tcW w:w="1317"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w:t>
            </w:r>
          </w:p>
        </w:tc>
        <w:tc>
          <w:tcPr>
            <w:tcW w:w="329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工资福利支出</w:t>
            </w:r>
          </w:p>
        </w:tc>
        <w:tc>
          <w:tcPr>
            <w:tcW w:w="98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436.50</w:t>
            </w:r>
          </w:p>
        </w:tc>
        <w:tc>
          <w:tcPr>
            <w:tcW w:w="10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w:t>
            </w:r>
          </w:p>
        </w:tc>
        <w:tc>
          <w:tcPr>
            <w:tcW w:w="226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商品和服务支出</w:t>
            </w:r>
          </w:p>
        </w:tc>
        <w:tc>
          <w:tcPr>
            <w:tcW w:w="814"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78.12</w:t>
            </w:r>
            <w:r>
              <w:rPr>
                <w:rFonts w:hint="eastAsia" w:ascii="宋体" w:hAnsi="宋体" w:eastAsia="宋体" w:cs="宋体"/>
                <w:color w:val="000000"/>
                <w:kern w:val="0"/>
                <w:sz w:val="21"/>
                <w:szCs w:val="21"/>
              </w:rPr>
              <w:t>　</w:t>
            </w:r>
            <w:r>
              <w:rPr>
                <w:rFonts w:hint="eastAsia" w:ascii="宋体" w:hAnsi="宋体" w:eastAsia="宋体" w:cs="宋体"/>
                <w:color w:val="000000"/>
                <w:kern w:val="0"/>
                <w:sz w:val="21"/>
                <w:szCs w:val="21"/>
                <w:lang w:val="en-US" w:eastAsia="zh-CN"/>
              </w:rPr>
              <w:t>78.1278.12178.12</w:t>
            </w:r>
          </w:p>
        </w:tc>
        <w:tc>
          <w:tcPr>
            <w:tcW w:w="11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w:t>
            </w:r>
          </w:p>
        </w:tc>
        <w:tc>
          <w:tcPr>
            <w:tcW w:w="3771"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债务利息及费用支出</w:t>
            </w:r>
          </w:p>
        </w:tc>
        <w:tc>
          <w:tcPr>
            <w:tcW w:w="98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0.00</w:t>
            </w:r>
          </w:p>
        </w:tc>
      </w:tr>
      <w:tr>
        <w:tblPrEx>
          <w:tblLayout w:type="fixed"/>
          <w:tblCellMar>
            <w:top w:w="0" w:type="dxa"/>
            <w:left w:w="108" w:type="dxa"/>
            <w:bottom w:w="0" w:type="dxa"/>
            <w:right w:w="108" w:type="dxa"/>
          </w:tblCellMar>
        </w:tblPrEx>
        <w:trPr>
          <w:trHeight w:val="263" w:hRule="exact"/>
        </w:trPr>
        <w:tc>
          <w:tcPr>
            <w:tcW w:w="1317"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30101</w:t>
            </w:r>
          </w:p>
        </w:tc>
        <w:tc>
          <w:tcPr>
            <w:tcW w:w="329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基本工资</w:t>
            </w:r>
          </w:p>
        </w:tc>
        <w:tc>
          <w:tcPr>
            <w:tcW w:w="98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106.11</w:t>
            </w: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106.11106.113106106106106106106.11106.11106.11</w:t>
            </w:r>
          </w:p>
        </w:tc>
        <w:tc>
          <w:tcPr>
            <w:tcW w:w="10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30201</w:t>
            </w:r>
          </w:p>
        </w:tc>
        <w:tc>
          <w:tcPr>
            <w:tcW w:w="226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办公费</w:t>
            </w:r>
          </w:p>
        </w:tc>
        <w:tc>
          <w:tcPr>
            <w:tcW w:w="814"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1.20</w:t>
            </w:r>
          </w:p>
        </w:tc>
        <w:tc>
          <w:tcPr>
            <w:tcW w:w="11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30701</w:t>
            </w:r>
          </w:p>
        </w:tc>
        <w:tc>
          <w:tcPr>
            <w:tcW w:w="3771"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国内债务付息</w:t>
            </w:r>
          </w:p>
        </w:tc>
        <w:tc>
          <w:tcPr>
            <w:tcW w:w="98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0.00</w:t>
            </w:r>
          </w:p>
        </w:tc>
      </w:tr>
      <w:tr>
        <w:tblPrEx>
          <w:tblLayout w:type="fixed"/>
          <w:tblCellMar>
            <w:top w:w="0" w:type="dxa"/>
            <w:left w:w="108" w:type="dxa"/>
            <w:bottom w:w="0" w:type="dxa"/>
            <w:right w:w="108" w:type="dxa"/>
          </w:tblCellMar>
        </w:tblPrEx>
        <w:trPr>
          <w:trHeight w:val="284" w:hRule="exact"/>
        </w:trPr>
        <w:tc>
          <w:tcPr>
            <w:tcW w:w="1317"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30102</w:t>
            </w:r>
          </w:p>
        </w:tc>
        <w:tc>
          <w:tcPr>
            <w:tcW w:w="329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津贴补贴</w:t>
            </w:r>
          </w:p>
        </w:tc>
        <w:tc>
          <w:tcPr>
            <w:tcW w:w="98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83.47</w:t>
            </w:r>
          </w:p>
        </w:tc>
        <w:tc>
          <w:tcPr>
            <w:tcW w:w="10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30202</w:t>
            </w:r>
          </w:p>
        </w:tc>
        <w:tc>
          <w:tcPr>
            <w:tcW w:w="226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印刷费</w:t>
            </w:r>
          </w:p>
        </w:tc>
        <w:tc>
          <w:tcPr>
            <w:tcW w:w="814"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0.00</w:t>
            </w:r>
            <w:r>
              <w:rPr>
                <w:rFonts w:hint="eastAsia" w:ascii="宋体" w:hAnsi="宋体" w:eastAsia="宋体" w:cs="宋体"/>
                <w:color w:val="000000"/>
                <w:kern w:val="0"/>
                <w:sz w:val="21"/>
                <w:szCs w:val="21"/>
              </w:rPr>
              <w:t>　</w:t>
            </w:r>
          </w:p>
        </w:tc>
        <w:tc>
          <w:tcPr>
            <w:tcW w:w="11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30702</w:t>
            </w:r>
          </w:p>
        </w:tc>
        <w:tc>
          <w:tcPr>
            <w:tcW w:w="3771"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国外债务付息</w:t>
            </w:r>
          </w:p>
        </w:tc>
        <w:tc>
          <w:tcPr>
            <w:tcW w:w="98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0.00</w:t>
            </w:r>
          </w:p>
        </w:tc>
      </w:tr>
      <w:tr>
        <w:tblPrEx>
          <w:tblLayout w:type="fixed"/>
          <w:tblCellMar>
            <w:top w:w="0" w:type="dxa"/>
            <w:left w:w="108" w:type="dxa"/>
            <w:bottom w:w="0" w:type="dxa"/>
            <w:right w:w="108" w:type="dxa"/>
          </w:tblCellMar>
        </w:tblPrEx>
        <w:trPr>
          <w:trHeight w:val="284" w:hRule="exact"/>
        </w:trPr>
        <w:tc>
          <w:tcPr>
            <w:tcW w:w="1317"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30103</w:t>
            </w:r>
          </w:p>
        </w:tc>
        <w:tc>
          <w:tcPr>
            <w:tcW w:w="329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奖金</w:t>
            </w:r>
          </w:p>
        </w:tc>
        <w:tc>
          <w:tcPr>
            <w:tcW w:w="98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0.12</w:t>
            </w:r>
          </w:p>
        </w:tc>
        <w:tc>
          <w:tcPr>
            <w:tcW w:w="10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30203</w:t>
            </w:r>
          </w:p>
        </w:tc>
        <w:tc>
          <w:tcPr>
            <w:tcW w:w="226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咨询费</w:t>
            </w:r>
          </w:p>
        </w:tc>
        <w:tc>
          <w:tcPr>
            <w:tcW w:w="814"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0.00</w:t>
            </w:r>
            <w:r>
              <w:rPr>
                <w:rFonts w:hint="eastAsia" w:ascii="宋体" w:hAnsi="宋体" w:eastAsia="宋体" w:cs="宋体"/>
                <w:color w:val="000000"/>
                <w:kern w:val="0"/>
                <w:sz w:val="21"/>
                <w:szCs w:val="21"/>
              </w:rPr>
              <w:t>　</w:t>
            </w:r>
          </w:p>
        </w:tc>
        <w:tc>
          <w:tcPr>
            <w:tcW w:w="11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w:t>
            </w:r>
          </w:p>
        </w:tc>
        <w:tc>
          <w:tcPr>
            <w:tcW w:w="3771"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资本性支出</w:t>
            </w:r>
          </w:p>
        </w:tc>
        <w:tc>
          <w:tcPr>
            <w:tcW w:w="98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Cs w:val="20"/>
              </w:rPr>
            </w:pPr>
            <w:r>
              <w:rPr>
                <w:rFonts w:hint="eastAsia" w:ascii="宋体" w:hAnsi="宋体" w:eastAsia="宋体" w:cs="宋体"/>
                <w:color w:val="000000"/>
                <w:kern w:val="0"/>
                <w:szCs w:val="20"/>
                <w:lang w:val="en-US" w:eastAsia="zh-CN"/>
              </w:rPr>
              <w:t>0.00</w:t>
            </w: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17"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30106</w:t>
            </w:r>
          </w:p>
        </w:tc>
        <w:tc>
          <w:tcPr>
            <w:tcW w:w="329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伙食补助费</w:t>
            </w:r>
          </w:p>
        </w:tc>
        <w:tc>
          <w:tcPr>
            <w:tcW w:w="98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Cs w:val="20"/>
              </w:rPr>
            </w:pPr>
            <w:r>
              <w:rPr>
                <w:rFonts w:hint="eastAsia" w:ascii="宋体" w:hAnsi="宋体" w:eastAsia="宋体" w:cs="宋体"/>
                <w:color w:val="000000"/>
                <w:kern w:val="0"/>
                <w:szCs w:val="20"/>
                <w:lang w:val="en-US" w:eastAsia="zh-CN"/>
              </w:rPr>
              <w:t>11.05</w:t>
            </w:r>
            <w:r>
              <w:rPr>
                <w:rFonts w:hint="eastAsia" w:ascii="宋体" w:hAnsi="宋体" w:eastAsia="宋体" w:cs="宋体"/>
                <w:color w:val="000000"/>
                <w:kern w:val="0"/>
                <w:szCs w:val="20"/>
              </w:rPr>
              <w:t>　</w:t>
            </w:r>
          </w:p>
        </w:tc>
        <w:tc>
          <w:tcPr>
            <w:tcW w:w="10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30204</w:t>
            </w:r>
          </w:p>
        </w:tc>
        <w:tc>
          <w:tcPr>
            <w:tcW w:w="226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手续费</w:t>
            </w:r>
          </w:p>
        </w:tc>
        <w:tc>
          <w:tcPr>
            <w:tcW w:w="814"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0.00</w:t>
            </w:r>
            <w:r>
              <w:rPr>
                <w:rFonts w:hint="eastAsia" w:ascii="宋体" w:hAnsi="宋体" w:eastAsia="宋体" w:cs="宋体"/>
                <w:color w:val="000000"/>
                <w:kern w:val="0"/>
                <w:sz w:val="21"/>
                <w:szCs w:val="21"/>
              </w:rPr>
              <w:t>　</w:t>
            </w:r>
            <w:r>
              <w:rPr>
                <w:rFonts w:hint="eastAsia" w:ascii="宋体" w:hAnsi="宋体" w:eastAsia="宋体" w:cs="宋体"/>
                <w:color w:val="000000"/>
                <w:kern w:val="0"/>
                <w:sz w:val="21"/>
                <w:szCs w:val="21"/>
                <w:lang w:val="en-US" w:eastAsia="zh-CN"/>
              </w:rPr>
              <w:t>0.000.0000.000.00</w:t>
            </w:r>
          </w:p>
        </w:tc>
        <w:tc>
          <w:tcPr>
            <w:tcW w:w="11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31001</w:t>
            </w:r>
          </w:p>
        </w:tc>
        <w:tc>
          <w:tcPr>
            <w:tcW w:w="3771"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房屋建筑物购建</w:t>
            </w:r>
          </w:p>
        </w:tc>
        <w:tc>
          <w:tcPr>
            <w:tcW w:w="98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Cs w:val="20"/>
              </w:rPr>
            </w:pPr>
            <w:r>
              <w:rPr>
                <w:rFonts w:hint="eastAsia" w:ascii="宋体" w:hAnsi="宋体" w:eastAsia="宋体" w:cs="宋体"/>
                <w:color w:val="000000"/>
                <w:kern w:val="0"/>
                <w:szCs w:val="20"/>
                <w:lang w:val="en-US" w:eastAsia="zh-CN"/>
              </w:rPr>
              <w:t>0.00</w:t>
            </w: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17"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30107</w:t>
            </w:r>
          </w:p>
        </w:tc>
        <w:tc>
          <w:tcPr>
            <w:tcW w:w="329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绩效工资</w:t>
            </w:r>
          </w:p>
        </w:tc>
        <w:tc>
          <w:tcPr>
            <w:tcW w:w="98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Cs w:val="20"/>
              </w:rPr>
            </w:pPr>
            <w:r>
              <w:rPr>
                <w:rFonts w:hint="eastAsia" w:ascii="宋体" w:hAnsi="宋体" w:eastAsia="宋体" w:cs="宋体"/>
                <w:color w:val="000000"/>
                <w:kern w:val="0"/>
                <w:szCs w:val="20"/>
                <w:lang w:val="en-US" w:eastAsia="zh-CN"/>
              </w:rPr>
              <w:t>103.99</w:t>
            </w:r>
            <w:r>
              <w:rPr>
                <w:rFonts w:hint="eastAsia" w:ascii="宋体" w:hAnsi="宋体" w:eastAsia="宋体" w:cs="宋体"/>
                <w:color w:val="000000"/>
                <w:kern w:val="0"/>
                <w:szCs w:val="20"/>
              </w:rPr>
              <w:t>　</w:t>
            </w:r>
          </w:p>
        </w:tc>
        <w:tc>
          <w:tcPr>
            <w:tcW w:w="10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30205</w:t>
            </w:r>
          </w:p>
        </w:tc>
        <w:tc>
          <w:tcPr>
            <w:tcW w:w="226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水费</w:t>
            </w:r>
          </w:p>
        </w:tc>
        <w:tc>
          <w:tcPr>
            <w:tcW w:w="814"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0.27</w:t>
            </w:r>
            <w:r>
              <w:rPr>
                <w:rFonts w:hint="eastAsia" w:ascii="宋体" w:hAnsi="宋体" w:eastAsia="宋体" w:cs="宋体"/>
                <w:color w:val="000000"/>
                <w:kern w:val="0"/>
                <w:sz w:val="21"/>
                <w:szCs w:val="21"/>
              </w:rPr>
              <w:t>　</w:t>
            </w:r>
            <w:r>
              <w:rPr>
                <w:rFonts w:hint="eastAsia" w:ascii="宋体" w:hAnsi="宋体" w:eastAsia="宋体" w:cs="宋体"/>
                <w:color w:val="000000"/>
                <w:kern w:val="0"/>
                <w:sz w:val="21"/>
                <w:szCs w:val="21"/>
                <w:lang w:val="en-US" w:eastAsia="zh-CN"/>
              </w:rPr>
              <w:t>0.270.270.27</w:t>
            </w:r>
          </w:p>
        </w:tc>
        <w:tc>
          <w:tcPr>
            <w:tcW w:w="11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31002</w:t>
            </w:r>
          </w:p>
        </w:tc>
        <w:tc>
          <w:tcPr>
            <w:tcW w:w="3771"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办公设备购置</w:t>
            </w:r>
          </w:p>
        </w:tc>
        <w:tc>
          <w:tcPr>
            <w:tcW w:w="98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Cs w:val="20"/>
              </w:rPr>
            </w:pPr>
            <w:r>
              <w:rPr>
                <w:rFonts w:hint="eastAsia" w:ascii="宋体" w:hAnsi="宋体" w:eastAsia="宋体" w:cs="宋体"/>
                <w:color w:val="000000"/>
                <w:kern w:val="0"/>
                <w:szCs w:val="20"/>
                <w:lang w:val="en-US" w:eastAsia="zh-CN"/>
              </w:rPr>
              <w:t>0.00</w:t>
            </w: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17"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30108</w:t>
            </w:r>
          </w:p>
        </w:tc>
        <w:tc>
          <w:tcPr>
            <w:tcW w:w="329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机关事业单位基本养老保险缴费</w:t>
            </w:r>
          </w:p>
        </w:tc>
        <w:tc>
          <w:tcPr>
            <w:tcW w:w="98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Cs w:val="20"/>
              </w:rPr>
            </w:pPr>
            <w:r>
              <w:rPr>
                <w:rFonts w:hint="eastAsia" w:ascii="宋体" w:hAnsi="宋体" w:eastAsia="宋体" w:cs="宋体"/>
                <w:color w:val="000000"/>
                <w:kern w:val="0"/>
                <w:szCs w:val="20"/>
                <w:lang w:val="en-US" w:eastAsia="zh-CN"/>
              </w:rPr>
              <w:t>41.04</w:t>
            </w:r>
            <w:r>
              <w:rPr>
                <w:rFonts w:hint="eastAsia" w:ascii="宋体" w:hAnsi="宋体" w:eastAsia="宋体" w:cs="宋体"/>
                <w:color w:val="000000"/>
                <w:kern w:val="0"/>
                <w:szCs w:val="20"/>
              </w:rPr>
              <w:t>　</w:t>
            </w:r>
          </w:p>
        </w:tc>
        <w:tc>
          <w:tcPr>
            <w:tcW w:w="10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30206</w:t>
            </w:r>
          </w:p>
        </w:tc>
        <w:tc>
          <w:tcPr>
            <w:tcW w:w="226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电费</w:t>
            </w:r>
          </w:p>
        </w:tc>
        <w:tc>
          <w:tcPr>
            <w:tcW w:w="814"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2.00</w:t>
            </w:r>
            <w:r>
              <w:rPr>
                <w:rFonts w:hint="eastAsia" w:ascii="宋体" w:hAnsi="宋体" w:eastAsia="宋体" w:cs="宋体"/>
                <w:color w:val="000000"/>
                <w:kern w:val="0"/>
                <w:sz w:val="21"/>
                <w:szCs w:val="21"/>
              </w:rPr>
              <w:t>　</w:t>
            </w:r>
            <w:r>
              <w:rPr>
                <w:rFonts w:hint="eastAsia" w:ascii="宋体" w:hAnsi="宋体" w:eastAsia="宋体" w:cs="宋体"/>
                <w:color w:val="000000"/>
                <w:kern w:val="0"/>
                <w:sz w:val="21"/>
                <w:szCs w:val="21"/>
                <w:lang w:val="en-US" w:eastAsia="zh-CN"/>
              </w:rPr>
              <w:t>2.002.00000000000000002.002.00</w:t>
            </w:r>
          </w:p>
        </w:tc>
        <w:tc>
          <w:tcPr>
            <w:tcW w:w="11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31003</w:t>
            </w:r>
          </w:p>
        </w:tc>
        <w:tc>
          <w:tcPr>
            <w:tcW w:w="3771"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专用设备购置</w:t>
            </w:r>
          </w:p>
        </w:tc>
        <w:tc>
          <w:tcPr>
            <w:tcW w:w="98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Cs w:val="20"/>
              </w:rPr>
            </w:pPr>
            <w:r>
              <w:rPr>
                <w:rFonts w:hint="eastAsia" w:ascii="宋体" w:hAnsi="宋体" w:eastAsia="宋体" w:cs="宋体"/>
                <w:color w:val="000000"/>
                <w:kern w:val="0"/>
                <w:szCs w:val="20"/>
                <w:lang w:val="en-US" w:eastAsia="zh-CN"/>
              </w:rPr>
              <w:t>0.00</w:t>
            </w: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17"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30109</w:t>
            </w:r>
          </w:p>
        </w:tc>
        <w:tc>
          <w:tcPr>
            <w:tcW w:w="329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职业年金缴费</w:t>
            </w:r>
          </w:p>
        </w:tc>
        <w:tc>
          <w:tcPr>
            <w:tcW w:w="98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Cs w:val="20"/>
              </w:rPr>
            </w:pPr>
            <w:r>
              <w:rPr>
                <w:rFonts w:hint="eastAsia" w:ascii="宋体" w:hAnsi="宋体" w:eastAsia="宋体" w:cs="宋体"/>
                <w:color w:val="000000"/>
                <w:kern w:val="0"/>
                <w:szCs w:val="20"/>
                <w:lang w:val="en-US" w:eastAsia="zh-CN"/>
              </w:rPr>
              <w:t>0.00</w:t>
            </w:r>
            <w:r>
              <w:rPr>
                <w:rFonts w:hint="eastAsia" w:ascii="宋体" w:hAnsi="宋体" w:eastAsia="宋体" w:cs="宋体"/>
                <w:color w:val="000000"/>
                <w:kern w:val="0"/>
                <w:szCs w:val="20"/>
              </w:rPr>
              <w:t>　</w:t>
            </w:r>
          </w:p>
        </w:tc>
        <w:tc>
          <w:tcPr>
            <w:tcW w:w="10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30207</w:t>
            </w:r>
          </w:p>
        </w:tc>
        <w:tc>
          <w:tcPr>
            <w:tcW w:w="226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邮电费</w:t>
            </w:r>
          </w:p>
        </w:tc>
        <w:tc>
          <w:tcPr>
            <w:tcW w:w="814"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1.72</w:t>
            </w:r>
            <w:r>
              <w:rPr>
                <w:rFonts w:hint="eastAsia" w:ascii="宋体" w:hAnsi="宋体" w:eastAsia="宋体" w:cs="宋体"/>
                <w:color w:val="000000"/>
                <w:kern w:val="0"/>
                <w:sz w:val="21"/>
                <w:szCs w:val="21"/>
              </w:rPr>
              <w:t>　</w:t>
            </w:r>
          </w:p>
        </w:tc>
        <w:tc>
          <w:tcPr>
            <w:tcW w:w="11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31005</w:t>
            </w:r>
          </w:p>
        </w:tc>
        <w:tc>
          <w:tcPr>
            <w:tcW w:w="3771"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基础设施建设</w:t>
            </w:r>
          </w:p>
        </w:tc>
        <w:tc>
          <w:tcPr>
            <w:tcW w:w="98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Cs w:val="20"/>
              </w:rPr>
            </w:pPr>
            <w:r>
              <w:rPr>
                <w:rFonts w:hint="eastAsia" w:ascii="宋体" w:hAnsi="宋体" w:eastAsia="宋体" w:cs="宋体"/>
                <w:color w:val="000000"/>
                <w:kern w:val="0"/>
                <w:szCs w:val="20"/>
                <w:lang w:val="en-US" w:eastAsia="zh-CN"/>
              </w:rPr>
              <w:t>0.00</w:t>
            </w: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17"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30110</w:t>
            </w:r>
          </w:p>
        </w:tc>
        <w:tc>
          <w:tcPr>
            <w:tcW w:w="329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职工基本医疗保险缴费</w:t>
            </w:r>
          </w:p>
        </w:tc>
        <w:tc>
          <w:tcPr>
            <w:tcW w:w="98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Cs w:val="20"/>
              </w:rPr>
            </w:pPr>
            <w:r>
              <w:rPr>
                <w:rFonts w:hint="eastAsia" w:ascii="宋体" w:hAnsi="宋体" w:eastAsia="宋体" w:cs="宋体"/>
                <w:color w:val="000000"/>
                <w:kern w:val="0"/>
                <w:szCs w:val="20"/>
                <w:lang w:val="en-US" w:eastAsia="zh-CN"/>
              </w:rPr>
              <w:t>26.62</w:t>
            </w:r>
            <w:r>
              <w:rPr>
                <w:rFonts w:hint="eastAsia" w:ascii="宋体" w:hAnsi="宋体" w:eastAsia="宋体" w:cs="宋体"/>
                <w:color w:val="000000"/>
                <w:kern w:val="0"/>
                <w:szCs w:val="20"/>
              </w:rPr>
              <w:t>　</w:t>
            </w:r>
          </w:p>
        </w:tc>
        <w:tc>
          <w:tcPr>
            <w:tcW w:w="10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30208</w:t>
            </w:r>
          </w:p>
        </w:tc>
        <w:tc>
          <w:tcPr>
            <w:tcW w:w="226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取暖费</w:t>
            </w:r>
          </w:p>
        </w:tc>
        <w:tc>
          <w:tcPr>
            <w:tcW w:w="814"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0.00</w:t>
            </w:r>
            <w:r>
              <w:rPr>
                <w:rFonts w:hint="eastAsia" w:ascii="宋体" w:hAnsi="宋体" w:eastAsia="宋体" w:cs="宋体"/>
                <w:color w:val="000000"/>
                <w:kern w:val="0"/>
                <w:sz w:val="21"/>
                <w:szCs w:val="21"/>
              </w:rPr>
              <w:t>　</w:t>
            </w:r>
          </w:p>
        </w:tc>
        <w:tc>
          <w:tcPr>
            <w:tcW w:w="11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31006</w:t>
            </w:r>
          </w:p>
        </w:tc>
        <w:tc>
          <w:tcPr>
            <w:tcW w:w="3771"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大型修缮</w:t>
            </w:r>
          </w:p>
        </w:tc>
        <w:tc>
          <w:tcPr>
            <w:tcW w:w="98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Cs w:val="20"/>
              </w:rPr>
            </w:pPr>
            <w:r>
              <w:rPr>
                <w:rFonts w:hint="eastAsia" w:ascii="宋体" w:hAnsi="宋体" w:eastAsia="宋体" w:cs="宋体"/>
                <w:color w:val="000000"/>
                <w:kern w:val="0"/>
                <w:szCs w:val="20"/>
                <w:lang w:val="en-US" w:eastAsia="zh-CN"/>
              </w:rPr>
              <w:t>0.00</w:t>
            </w: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17"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30111</w:t>
            </w:r>
          </w:p>
        </w:tc>
        <w:tc>
          <w:tcPr>
            <w:tcW w:w="329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公务员医疗补助缴费</w:t>
            </w:r>
          </w:p>
        </w:tc>
        <w:tc>
          <w:tcPr>
            <w:tcW w:w="98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Cs w:val="20"/>
              </w:rPr>
            </w:pPr>
            <w:r>
              <w:rPr>
                <w:rFonts w:hint="eastAsia" w:ascii="宋体" w:hAnsi="宋体" w:eastAsia="宋体" w:cs="宋体"/>
                <w:color w:val="000000"/>
                <w:kern w:val="0"/>
                <w:szCs w:val="20"/>
                <w:lang w:val="en-US" w:eastAsia="zh-CN"/>
              </w:rPr>
              <w:t>21.42</w:t>
            </w:r>
            <w:r>
              <w:rPr>
                <w:rFonts w:hint="eastAsia" w:ascii="宋体" w:hAnsi="宋体" w:eastAsia="宋体" w:cs="宋体"/>
                <w:color w:val="000000"/>
                <w:kern w:val="0"/>
                <w:szCs w:val="20"/>
              </w:rPr>
              <w:t>　</w:t>
            </w:r>
          </w:p>
        </w:tc>
        <w:tc>
          <w:tcPr>
            <w:tcW w:w="10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30209</w:t>
            </w:r>
          </w:p>
        </w:tc>
        <w:tc>
          <w:tcPr>
            <w:tcW w:w="226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物业管理费</w:t>
            </w:r>
          </w:p>
        </w:tc>
        <w:tc>
          <w:tcPr>
            <w:tcW w:w="814"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0.00</w:t>
            </w:r>
          </w:p>
          <w:p>
            <w:pPr>
              <w:widowControl/>
              <w:jc w:val="righ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w:t>
            </w:r>
          </w:p>
        </w:tc>
        <w:tc>
          <w:tcPr>
            <w:tcW w:w="11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31007</w:t>
            </w:r>
          </w:p>
        </w:tc>
        <w:tc>
          <w:tcPr>
            <w:tcW w:w="3771"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信息网络及软件购置更新</w:t>
            </w:r>
          </w:p>
        </w:tc>
        <w:tc>
          <w:tcPr>
            <w:tcW w:w="98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Cs w:val="20"/>
              </w:rPr>
            </w:pPr>
            <w:r>
              <w:rPr>
                <w:rFonts w:hint="eastAsia" w:ascii="宋体" w:hAnsi="宋体" w:eastAsia="宋体" w:cs="宋体"/>
                <w:color w:val="000000"/>
                <w:kern w:val="0"/>
                <w:szCs w:val="20"/>
                <w:lang w:val="en-US" w:eastAsia="zh-CN"/>
              </w:rPr>
              <w:t>0.00</w:t>
            </w: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17"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30112</w:t>
            </w:r>
          </w:p>
        </w:tc>
        <w:tc>
          <w:tcPr>
            <w:tcW w:w="329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其他社会保障缴费</w:t>
            </w:r>
          </w:p>
        </w:tc>
        <w:tc>
          <w:tcPr>
            <w:tcW w:w="98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Cs w:val="20"/>
              </w:rPr>
            </w:pPr>
            <w:r>
              <w:rPr>
                <w:rFonts w:hint="eastAsia" w:ascii="宋体" w:hAnsi="宋体" w:eastAsia="宋体" w:cs="宋体"/>
                <w:color w:val="000000"/>
                <w:kern w:val="0"/>
                <w:szCs w:val="20"/>
                <w:lang w:val="en-US" w:eastAsia="zh-CN"/>
              </w:rPr>
              <w:t>3.60</w:t>
            </w:r>
            <w:r>
              <w:rPr>
                <w:rFonts w:hint="eastAsia" w:ascii="宋体" w:hAnsi="宋体" w:eastAsia="宋体" w:cs="宋体"/>
                <w:color w:val="000000"/>
                <w:kern w:val="0"/>
                <w:szCs w:val="20"/>
              </w:rPr>
              <w:t>　</w:t>
            </w:r>
          </w:p>
        </w:tc>
        <w:tc>
          <w:tcPr>
            <w:tcW w:w="10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30211</w:t>
            </w:r>
          </w:p>
        </w:tc>
        <w:tc>
          <w:tcPr>
            <w:tcW w:w="226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差旅费</w:t>
            </w:r>
          </w:p>
        </w:tc>
        <w:tc>
          <w:tcPr>
            <w:tcW w:w="814"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0.98</w:t>
            </w:r>
            <w:r>
              <w:rPr>
                <w:rFonts w:hint="eastAsia" w:ascii="宋体" w:hAnsi="宋体" w:eastAsia="宋体" w:cs="宋体"/>
                <w:color w:val="000000"/>
                <w:kern w:val="0"/>
                <w:sz w:val="21"/>
                <w:szCs w:val="21"/>
              </w:rPr>
              <w:t>　</w:t>
            </w:r>
          </w:p>
        </w:tc>
        <w:tc>
          <w:tcPr>
            <w:tcW w:w="11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31008</w:t>
            </w:r>
          </w:p>
        </w:tc>
        <w:tc>
          <w:tcPr>
            <w:tcW w:w="3771"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物资储备</w:t>
            </w:r>
          </w:p>
        </w:tc>
        <w:tc>
          <w:tcPr>
            <w:tcW w:w="98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Cs w:val="20"/>
              </w:rPr>
            </w:pPr>
            <w:r>
              <w:rPr>
                <w:rFonts w:hint="eastAsia" w:ascii="宋体" w:hAnsi="宋体" w:eastAsia="宋体" w:cs="宋体"/>
                <w:color w:val="000000"/>
                <w:kern w:val="0"/>
                <w:szCs w:val="20"/>
                <w:lang w:val="en-US" w:eastAsia="zh-CN"/>
              </w:rPr>
              <w:t>0.00</w:t>
            </w: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17"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30113</w:t>
            </w:r>
          </w:p>
        </w:tc>
        <w:tc>
          <w:tcPr>
            <w:tcW w:w="329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住房公积金</w:t>
            </w:r>
          </w:p>
        </w:tc>
        <w:tc>
          <w:tcPr>
            <w:tcW w:w="98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Cs w:val="20"/>
              </w:rPr>
            </w:pPr>
            <w:r>
              <w:rPr>
                <w:rFonts w:hint="eastAsia" w:ascii="宋体" w:hAnsi="宋体" w:eastAsia="宋体" w:cs="宋体"/>
                <w:color w:val="000000"/>
                <w:kern w:val="0"/>
                <w:szCs w:val="20"/>
                <w:lang w:val="en-US" w:eastAsia="zh-CN"/>
              </w:rPr>
              <w:t>39.07</w:t>
            </w:r>
            <w:r>
              <w:rPr>
                <w:rFonts w:hint="eastAsia" w:ascii="宋体" w:hAnsi="宋体" w:eastAsia="宋体" w:cs="宋体"/>
                <w:color w:val="000000"/>
                <w:kern w:val="0"/>
                <w:szCs w:val="20"/>
              </w:rPr>
              <w:t>　</w:t>
            </w:r>
          </w:p>
        </w:tc>
        <w:tc>
          <w:tcPr>
            <w:tcW w:w="10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30212</w:t>
            </w:r>
          </w:p>
        </w:tc>
        <w:tc>
          <w:tcPr>
            <w:tcW w:w="226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因公出国（境）费用</w:t>
            </w:r>
          </w:p>
        </w:tc>
        <w:tc>
          <w:tcPr>
            <w:tcW w:w="814"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0.00</w:t>
            </w:r>
            <w:r>
              <w:rPr>
                <w:rFonts w:hint="eastAsia" w:ascii="宋体" w:hAnsi="宋体" w:eastAsia="宋体" w:cs="宋体"/>
                <w:color w:val="000000"/>
                <w:kern w:val="0"/>
                <w:sz w:val="21"/>
                <w:szCs w:val="21"/>
              </w:rPr>
              <w:t>　</w:t>
            </w:r>
          </w:p>
        </w:tc>
        <w:tc>
          <w:tcPr>
            <w:tcW w:w="11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31009</w:t>
            </w:r>
          </w:p>
        </w:tc>
        <w:tc>
          <w:tcPr>
            <w:tcW w:w="3771"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土地补偿</w:t>
            </w:r>
          </w:p>
        </w:tc>
        <w:tc>
          <w:tcPr>
            <w:tcW w:w="98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lang w:val="en-US" w:eastAsia="zh-CN"/>
              </w:rPr>
              <w:t>0.00</w:t>
            </w:r>
          </w:p>
        </w:tc>
      </w:tr>
      <w:tr>
        <w:tblPrEx>
          <w:tblLayout w:type="fixed"/>
          <w:tblCellMar>
            <w:top w:w="0" w:type="dxa"/>
            <w:left w:w="108" w:type="dxa"/>
            <w:bottom w:w="0" w:type="dxa"/>
            <w:right w:w="108" w:type="dxa"/>
          </w:tblCellMar>
        </w:tblPrEx>
        <w:trPr>
          <w:trHeight w:val="284" w:hRule="exact"/>
        </w:trPr>
        <w:tc>
          <w:tcPr>
            <w:tcW w:w="1317"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30114</w:t>
            </w:r>
          </w:p>
        </w:tc>
        <w:tc>
          <w:tcPr>
            <w:tcW w:w="329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w:t>
            </w:r>
          </w:p>
        </w:tc>
        <w:tc>
          <w:tcPr>
            <w:tcW w:w="98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Cs w:val="20"/>
              </w:rPr>
            </w:pPr>
            <w:r>
              <w:rPr>
                <w:rFonts w:hint="eastAsia" w:ascii="宋体" w:hAnsi="宋体" w:eastAsia="宋体" w:cs="宋体"/>
                <w:color w:val="000000"/>
                <w:kern w:val="0"/>
                <w:szCs w:val="20"/>
                <w:lang w:val="en-US" w:eastAsia="zh-CN"/>
              </w:rPr>
              <w:t>0.00</w:t>
            </w:r>
            <w:r>
              <w:rPr>
                <w:rFonts w:hint="eastAsia" w:ascii="宋体" w:hAnsi="宋体" w:eastAsia="宋体" w:cs="宋体"/>
                <w:color w:val="000000"/>
                <w:kern w:val="0"/>
                <w:szCs w:val="20"/>
              </w:rPr>
              <w:t>　</w:t>
            </w:r>
          </w:p>
        </w:tc>
        <w:tc>
          <w:tcPr>
            <w:tcW w:w="10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30213</w:t>
            </w:r>
          </w:p>
        </w:tc>
        <w:tc>
          <w:tcPr>
            <w:tcW w:w="226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维修（护）费</w:t>
            </w:r>
          </w:p>
        </w:tc>
        <w:tc>
          <w:tcPr>
            <w:tcW w:w="814"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1.46</w:t>
            </w:r>
            <w:r>
              <w:rPr>
                <w:rFonts w:hint="eastAsia" w:ascii="宋体" w:hAnsi="宋体" w:eastAsia="宋体" w:cs="宋体"/>
                <w:color w:val="000000"/>
                <w:kern w:val="0"/>
                <w:sz w:val="21"/>
                <w:szCs w:val="21"/>
              </w:rPr>
              <w:t>　</w:t>
            </w:r>
          </w:p>
        </w:tc>
        <w:tc>
          <w:tcPr>
            <w:tcW w:w="11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31010</w:t>
            </w:r>
          </w:p>
        </w:tc>
        <w:tc>
          <w:tcPr>
            <w:tcW w:w="3771"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安置补助</w:t>
            </w:r>
          </w:p>
        </w:tc>
        <w:tc>
          <w:tcPr>
            <w:tcW w:w="98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0.00</w:t>
            </w:r>
          </w:p>
        </w:tc>
      </w:tr>
      <w:tr>
        <w:tblPrEx>
          <w:tblLayout w:type="fixed"/>
          <w:tblCellMar>
            <w:top w:w="0" w:type="dxa"/>
            <w:left w:w="108" w:type="dxa"/>
            <w:bottom w:w="0" w:type="dxa"/>
            <w:right w:w="108" w:type="dxa"/>
          </w:tblCellMar>
        </w:tblPrEx>
        <w:trPr>
          <w:trHeight w:val="284" w:hRule="exact"/>
        </w:trPr>
        <w:tc>
          <w:tcPr>
            <w:tcW w:w="1317"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30199</w:t>
            </w:r>
          </w:p>
        </w:tc>
        <w:tc>
          <w:tcPr>
            <w:tcW w:w="329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其他工资福利支出</w:t>
            </w:r>
          </w:p>
        </w:tc>
        <w:tc>
          <w:tcPr>
            <w:tcW w:w="98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Cs w:val="20"/>
              </w:rPr>
            </w:pPr>
            <w:r>
              <w:rPr>
                <w:rFonts w:hint="eastAsia" w:ascii="宋体" w:hAnsi="宋体" w:eastAsia="宋体" w:cs="宋体"/>
                <w:color w:val="000000"/>
                <w:kern w:val="0"/>
                <w:szCs w:val="20"/>
                <w:lang w:val="en-US" w:eastAsia="zh-CN"/>
              </w:rPr>
              <w:t>0.00</w:t>
            </w:r>
            <w:r>
              <w:rPr>
                <w:rFonts w:hint="eastAsia" w:ascii="宋体" w:hAnsi="宋体" w:eastAsia="宋体" w:cs="宋体"/>
                <w:color w:val="000000"/>
                <w:kern w:val="0"/>
                <w:szCs w:val="20"/>
              </w:rPr>
              <w:t>　</w:t>
            </w:r>
          </w:p>
        </w:tc>
        <w:tc>
          <w:tcPr>
            <w:tcW w:w="10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30214</w:t>
            </w:r>
          </w:p>
        </w:tc>
        <w:tc>
          <w:tcPr>
            <w:tcW w:w="226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租赁费</w:t>
            </w:r>
          </w:p>
        </w:tc>
        <w:tc>
          <w:tcPr>
            <w:tcW w:w="814"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2.12</w:t>
            </w:r>
            <w:r>
              <w:rPr>
                <w:rFonts w:hint="eastAsia" w:ascii="宋体" w:hAnsi="宋体" w:eastAsia="宋体" w:cs="宋体"/>
                <w:color w:val="000000"/>
                <w:kern w:val="0"/>
                <w:sz w:val="21"/>
                <w:szCs w:val="21"/>
              </w:rPr>
              <w:t>　</w:t>
            </w:r>
          </w:p>
        </w:tc>
        <w:tc>
          <w:tcPr>
            <w:tcW w:w="11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31011</w:t>
            </w:r>
          </w:p>
        </w:tc>
        <w:tc>
          <w:tcPr>
            <w:tcW w:w="3771"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地上附着物和青苗补偿</w:t>
            </w:r>
          </w:p>
        </w:tc>
        <w:tc>
          <w:tcPr>
            <w:tcW w:w="98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0.00</w:t>
            </w:r>
          </w:p>
        </w:tc>
      </w:tr>
      <w:tr>
        <w:tblPrEx>
          <w:tblLayout w:type="fixed"/>
          <w:tblCellMar>
            <w:top w:w="0" w:type="dxa"/>
            <w:left w:w="108" w:type="dxa"/>
            <w:bottom w:w="0" w:type="dxa"/>
            <w:right w:w="108" w:type="dxa"/>
          </w:tblCellMar>
        </w:tblPrEx>
        <w:trPr>
          <w:trHeight w:val="284" w:hRule="exact"/>
        </w:trPr>
        <w:tc>
          <w:tcPr>
            <w:tcW w:w="1317"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w:t>
            </w:r>
          </w:p>
        </w:tc>
        <w:tc>
          <w:tcPr>
            <w:tcW w:w="329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对个人和家庭的补助</w:t>
            </w:r>
          </w:p>
        </w:tc>
        <w:tc>
          <w:tcPr>
            <w:tcW w:w="98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Cs w:val="20"/>
              </w:rPr>
            </w:pPr>
            <w:r>
              <w:rPr>
                <w:rFonts w:hint="eastAsia" w:ascii="宋体" w:hAnsi="宋体" w:eastAsia="宋体" w:cs="宋体"/>
                <w:color w:val="000000"/>
                <w:kern w:val="0"/>
                <w:szCs w:val="20"/>
                <w:lang w:val="en-US" w:eastAsia="zh-CN"/>
              </w:rPr>
              <w:t>173.51</w:t>
            </w:r>
            <w:r>
              <w:rPr>
                <w:rFonts w:hint="eastAsia" w:ascii="宋体" w:hAnsi="宋体" w:eastAsia="宋体" w:cs="宋体"/>
                <w:color w:val="000000"/>
                <w:kern w:val="0"/>
                <w:szCs w:val="20"/>
              </w:rPr>
              <w:t>　</w:t>
            </w:r>
          </w:p>
        </w:tc>
        <w:tc>
          <w:tcPr>
            <w:tcW w:w="10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30215</w:t>
            </w:r>
          </w:p>
        </w:tc>
        <w:tc>
          <w:tcPr>
            <w:tcW w:w="226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会议费</w:t>
            </w:r>
          </w:p>
        </w:tc>
        <w:tc>
          <w:tcPr>
            <w:tcW w:w="814"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0.00</w:t>
            </w:r>
            <w:r>
              <w:rPr>
                <w:rFonts w:hint="eastAsia" w:ascii="宋体" w:hAnsi="宋体" w:eastAsia="宋体" w:cs="宋体"/>
                <w:color w:val="000000"/>
                <w:kern w:val="0"/>
                <w:sz w:val="21"/>
                <w:szCs w:val="21"/>
              </w:rPr>
              <w:t>　</w:t>
            </w:r>
          </w:p>
        </w:tc>
        <w:tc>
          <w:tcPr>
            <w:tcW w:w="11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31012</w:t>
            </w:r>
          </w:p>
        </w:tc>
        <w:tc>
          <w:tcPr>
            <w:tcW w:w="3771"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拆迁补偿</w:t>
            </w:r>
          </w:p>
        </w:tc>
        <w:tc>
          <w:tcPr>
            <w:tcW w:w="98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lang w:val="en-US" w:eastAsia="zh-CN"/>
              </w:rPr>
              <w:t>0.00</w:t>
            </w: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17"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30301</w:t>
            </w:r>
          </w:p>
        </w:tc>
        <w:tc>
          <w:tcPr>
            <w:tcW w:w="329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离休费</w:t>
            </w:r>
          </w:p>
        </w:tc>
        <w:tc>
          <w:tcPr>
            <w:tcW w:w="98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Cs w:val="20"/>
              </w:rPr>
            </w:pPr>
            <w:r>
              <w:rPr>
                <w:rFonts w:hint="eastAsia" w:ascii="宋体" w:hAnsi="宋体" w:eastAsia="宋体" w:cs="宋体"/>
                <w:color w:val="000000"/>
                <w:kern w:val="0"/>
                <w:szCs w:val="20"/>
                <w:lang w:val="en-US" w:eastAsia="zh-CN"/>
              </w:rPr>
              <w:t>0.00</w:t>
            </w:r>
            <w:r>
              <w:rPr>
                <w:rFonts w:hint="eastAsia" w:ascii="宋体" w:hAnsi="宋体" w:eastAsia="宋体" w:cs="宋体"/>
                <w:color w:val="000000"/>
                <w:kern w:val="0"/>
                <w:szCs w:val="20"/>
              </w:rPr>
              <w:t>　</w:t>
            </w:r>
          </w:p>
        </w:tc>
        <w:tc>
          <w:tcPr>
            <w:tcW w:w="10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30216</w:t>
            </w:r>
          </w:p>
        </w:tc>
        <w:tc>
          <w:tcPr>
            <w:tcW w:w="226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培训费</w:t>
            </w:r>
          </w:p>
        </w:tc>
        <w:tc>
          <w:tcPr>
            <w:tcW w:w="814"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0.00</w:t>
            </w:r>
            <w:r>
              <w:rPr>
                <w:rFonts w:hint="eastAsia" w:ascii="宋体" w:hAnsi="宋体" w:eastAsia="宋体" w:cs="宋体"/>
                <w:color w:val="000000"/>
                <w:kern w:val="0"/>
                <w:sz w:val="21"/>
                <w:szCs w:val="21"/>
              </w:rPr>
              <w:t>　</w:t>
            </w:r>
          </w:p>
        </w:tc>
        <w:tc>
          <w:tcPr>
            <w:tcW w:w="11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31013</w:t>
            </w:r>
          </w:p>
        </w:tc>
        <w:tc>
          <w:tcPr>
            <w:tcW w:w="3771"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公务用车购置</w:t>
            </w:r>
          </w:p>
        </w:tc>
        <w:tc>
          <w:tcPr>
            <w:tcW w:w="98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lang w:val="en-US" w:eastAsia="zh-CN"/>
              </w:rPr>
              <w:t>0.00</w:t>
            </w: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17"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30302</w:t>
            </w:r>
          </w:p>
        </w:tc>
        <w:tc>
          <w:tcPr>
            <w:tcW w:w="329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退休费</w:t>
            </w:r>
          </w:p>
        </w:tc>
        <w:tc>
          <w:tcPr>
            <w:tcW w:w="98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Cs w:val="20"/>
              </w:rPr>
            </w:pPr>
            <w:r>
              <w:rPr>
                <w:rFonts w:hint="eastAsia" w:ascii="宋体" w:hAnsi="宋体" w:eastAsia="宋体" w:cs="宋体"/>
                <w:color w:val="000000"/>
                <w:kern w:val="0"/>
                <w:szCs w:val="20"/>
                <w:lang w:val="en-US" w:eastAsia="zh-CN"/>
              </w:rPr>
              <w:t>93.60</w:t>
            </w:r>
            <w:r>
              <w:rPr>
                <w:rFonts w:hint="eastAsia" w:ascii="宋体" w:hAnsi="宋体" w:eastAsia="宋体" w:cs="宋体"/>
                <w:color w:val="000000"/>
                <w:kern w:val="0"/>
                <w:szCs w:val="20"/>
              </w:rPr>
              <w:t>　</w:t>
            </w:r>
          </w:p>
        </w:tc>
        <w:tc>
          <w:tcPr>
            <w:tcW w:w="10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30217</w:t>
            </w:r>
          </w:p>
        </w:tc>
        <w:tc>
          <w:tcPr>
            <w:tcW w:w="226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公务接待费</w:t>
            </w:r>
          </w:p>
        </w:tc>
        <w:tc>
          <w:tcPr>
            <w:tcW w:w="814"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0.31</w:t>
            </w:r>
            <w:r>
              <w:rPr>
                <w:rFonts w:hint="eastAsia" w:ascii="宋体" w:hAnsi="宋体" w:eastAsia="宋体" w:cs="宋体"/>
                <w:color w:val="000000"/>
                <w:kern w:val="0"/>
                <w:sz w:val="21"/>
                <w:szCs w:val="21"/>
              </w:rPr>
              <w:t>　</w:t>
            </w:r>
          </w:p>
        </w:tc>
        <w:tc>
          <w:tcPr>
            <w:tcW w:w="11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31019</w:t>
            </w:r>
          </w:p>
        </w:tc>
        <w:tc>
          <w:tcPr>
            <w:tcW w:w="3771"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其他交通工具购置</w:t>
            </w:r>
          </w:p>
        </w:tc>
        <w:tc>
          <w:tcPr>
            <w:tcW w:w="98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lang w:val="en-US" w:eastAsia="zh-CN"/>
              </w:rPr>
              <w:t>0.00</w:t>
            </w: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17"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30303</w:t>
            </w:r>
          </w:p>
        </w:tc>
        <w:tc>
          <w:tcPr>
            <w:tcW w:w="329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退职（役）费</w:t>
            </w:r>
          </w:p>
        </w:tc>
        <w:tc>
          <w:tcPr>
            <w:tcW w:w="98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Cs w:val="20"/>
              </w:rPr>
            </w:pPr>
            <w:r>
              <w:rPr>
                <w:rFonts w:hint="eastAsia" w:ascii="宋体" w:hAnsi="宋体" w:eastAsia="宋体" w:cs="宋体"/>
                <w:color w:val="000000"/>
                <w:kern w:val="0"/>
                <w:szCs w:val="20"/>
                <w:lang w:val="en-US" w:eastAsia="zh-CN"/>
              </w:rPr>
              <w:t>0.00</w:t>
            </w:r>
            <w:r>
              <w:rPr>
                <w:rFonts w:hint="eastAsia" w:ascii="宋体" w:hAnsi="宋体" w:eastAsia="宋体" w:cs="宋体"/>
                <w:color w:val="000000"/>
                <w:kern w:val="0"/>
                <w:szCs w:val="20"/>
              </w:rPr>
              <w:t>　</w:t>
            </w:r>
          </w:p>
        </w:tc>
        <w:tc>
          <w:tcPr>
            <w:tcW w:w="10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30218</w:t>
            </w:r>
          </w:p>
        </w:tc>
        <w:tc>
          <w:tcPr>
            <w:tcW w:w="226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专用材料费</w:t>
            </w:r>
          </w:p>
        </w:tc>
        <w:tc>
          <w:tcPr>
            <w:tcW w:w="814"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0.00</w:t>
            </w:r>
            <w:r>
              <w:rPr>
                <w:rFonts w:hint="eastAsia" w:ascii="宋体" w:hAnsi="宋体" w:eastAsia="宋体" w:cs="宋体"/>
                <w:color w:val="000000"/>
                <w:kern w:val="0"/>
                <w:sz w:val="21"/>
                <w:szCs w:val="21"/>
              </w:rPr>
              <w:t>　</w:t>
            </w:r>
          </w:p>
        </w:tc>
        <w:tc>
          <w:tcPr>
            <w:tcW w:w="11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31021</w:t>
            </w:r>
          </w:p>
        </w:tc>
        <w:tc>
          <w:tcPr>
            <w:tcW w:w="3771"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文物和陈列品购置</w:t>
            </w:r>
          </w:p>
        </w:tc>
        <w:tc>
          <w:tcPr>
            <w:tcW w:w="98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lang w:val="en-US" w:eastAsia="zh-CN"/>
              </w:rPr>
              <w:t>0.00</w:t>
            </w: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17"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30304</w:t>
            </w:r>
          </w:p>
        </w:tc>
        <w:tc>
          <w:tcPr>
            <w:tcW w:w="329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抚恤金</w:t>
            </w:r>
          </w:p>
        </w:tc>
        <w:tc>
          <w:tcPr>
            <w:tcW w:w="98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Cs w:val="20"/>
              </w:rPr>
            </w:pPr>
            <w:r>
              <w:rPr>
                <w:rFonts w:hint="eastAsia" w:ascii="宋体" w:hAnsi="宋体" w:eastAsia="宋体" w:cs="宋体"/>
                <w:color w:val="000000"/>
                <w:kern w:val="0"/>
                <w:szCs w:val="20"/>
                <w:lang w:val="en-US" w:eastAsia="zh-CN"/>
              </w:rPr>
              <w:t>63.30</w:t>
            </w:r>
            <w:r>
              <w:rPr>
                <w:rFonts w:hint="eastAsia" w:ascii="宋体" w:hAnsi="宋体" w:eastAsia="宋体" w:cs="宋体"/>
                <w:color w:val="000000"/>
                <w:kern w:val="0"/>
                <w:szCs w:val="20"/>
              </w:rPr>
              <w:t>　</w:t>
            </w:r>
          </w:p>
        </w:tc>
        <w:tc>
          <w:tcPr>
            <w:tcW w:w="10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30224</w:t>
            </w:r>
          </w:p>
        </w:tc>
        <w:tc>
          <w:tcPr>
            <w:tcW w:w="226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被装购置费</w:t>
            </w:r>
          </w:p>
        </w:tc>
        <w:tc>
          <w:tcPr>
            <w:tcW w:w="814"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0.00</w:t>
            </w:r>
            <w:r>
              <w:rPr>
                <w:rFonts w:hint="eastAsia" w:ascii="宋体" w:hAnsi="宋体" w:eastAsia="宋体" w:cs="宋体"/>
                <w:color w:val="000000"/>
                <w:kern w:val="0"/>
                <w:sz w:val="21"/>
                <w:szCs w:val="21"/>
              </w:rPr>
              <w:t>　</w:t>
            </w:r>
          </w:p>
        </w:tc>
        <w:tc>
          <w:tcPr>
            <w:tcW w:w="11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31022</w:t>
            </w:r>
          </w:p>
        </w:tc>
        <w:tc>
          <w:tcPr>
            <w:tcW w:w="3771"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无形资产购置</w:t>
            </w:r>
          </w:p>
        </w:tc>
        <w:tc>
          <w:tcPr>
            <w:tcW w:w="98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lang w:val="en-US" w:eastAsia="zh-CN"/>
              </w:rPr>
              <w:t>0.00</w:t>
            </w: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17"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30305</w:t>
            </w:r>
          </w:p>
        </w:tc>
        <w:tc>
          <w:tcPr>
            <w:tcW w:w="329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生活补助</w:t>
            </w:r>
          </w:p>
        </w:tc>
        <w:tc>
          <w:tcPr>
            <w:tcW w:w="98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Cs w:val="20"/>
              </w:rPr>
            </w:pPr>
            <w:r>
              <w:rPr>
                <w:rFonts w:hint="eastAsia" w:ascii="宋体" w:hAnsi="宋体" w:eastAsia="宋体" w:cs="宋体"/>
                <w:color w:val="000000"/>
                <w:kern w:val="0"/>
                <w:szCs w:val="20"/>
                <w:lang w:val="en-US" w:eastAsia="zh-CN"/>
              </w:rPr>
              <w:t>0.00</w:t>
            </w:r>
            <w:r>
              <w:rPr>
                <w:rFonts w:hint="eastAsia" w:ascii="宋体" w:hAnsi="宋体" w:eastAsia="宋体" w:cs="宋体"/>
                <w:color w:val="000000"/>
                <w:kern w:val="0"/>
                <w:szCs w:val="20"/>
              </w:rPr>
              <w:t>　</w:t>
            </w:r>
          </w:p>
        </w:tc>
        <w:tc>
          <w:tcPr>
            <w:tcW w:w="10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30225</w:t>
            </w:r>
          </w:p>
        </w:tc>
        <w:tc>
          <w:tcPr>
            <w:tcW w:w="226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专用燃料费</w:t>
            </w:r>
          </w:p>
        </w:tc>
        <w:tc>
          <w:tcPr>
            <w:tcW w:w="814"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0.00</w:t>
            </w:r>
            <w:r>
              <w:rPr>
                <w:rFonts w:hint="eastAsia" w:ascii="宋体" w:hAnsi="宋体" w:eastAsia="宋体" w:cs="宋体"/>
                <w:color w:val="000000"/>
                <w:kern w:val="0"/>
                <w:sz w:val="21"/>
                <w:szCs w:val="21"/>
              </w:rPr>
              <w:t>　</w:t>
            </w:r>
          </w:p>
        </w:tc>
        <w:tc>
          <w:tcPr>
            <w:tcW w:w="11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31099</w:t>
            </w:r>
          </w:p>
        </w:tc>
        <w:tc>
          <w:tcPr>
            <w:tcW w:w="3771"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其他资本性支出</w:t>
            </w:r>
          </w:p>
        </w:tc>
        <w:tc>
          <w:tcPr>
            <w:tcW w:w="98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lang w:val="en-US" w:eastAsia="zh-CN"/>
              </w:rPr>
              <w:t>0.00</w:t>
            </w: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17"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30306</w:t>
            </w:r>
          </w:p>
        </w:tc>
        <w:tc>
          <w:tcPr>
            <w:tcW w:w="329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救济费</w:t>
            </w:r>
          </w:p>
        </w:tc>
        <w:tc>
          <w:tcPr>
            <w:tcW w:w="98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Cs w:val="20"/>
              </w:rPr>
            </w:pPr>
            <w:r>
              <w:rPr>
                <w:rFonts w:hint="eastAsia" w:ascii="宋体" w:hAnsi="宋体" w:eastAsia="宋体" w:cs="宋体"/>
                <w:color w:val="000000"/>
                <w:kern w:val="0"/>
                <w:szCs w:val="20"/>
                <w:lang w:val="en-US" w:eastAsia="zh-CN"/>
              </w:rPr>
              <w:t>0.00</w:t>
            </w:r>
            <w:r>
              <w:rPr>
                <w:rFonts w:hint="eastAsia" w:ascii="宋体" w:hAnsi="宋体" w:eastAsia="宋体" w:cs="宋体"/>
                <w:color w:val="000000"/>
                <w:kern w:val="0"/>
                <w:szCs w:val="20"/>
              </w:rPr>
              <w:t>　</w:t>
            </w:r>
          </w:p>
        </w:tc>
        <w:tc>
          <w:tcPr>
            <w:tcW w:w="10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30226</w:t>
            </w:r>
          </w:p>
        </w:tc>
        <w:tc>
          <w:tcPr>
            <w:tcW w:w="226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劳务费</w:t>
            </w:r>
          </w:p>
        </w:tc>
        <w:tc>
          <w:tcPr>
            <w:tcW w:w="814"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19.13</w:t>
            </w:r>
            <w:r>
              <w:rPr>
                <w:rFonts w:hint="eastAsia" w:ascii="宋体" w:hAnsi="宋体" w:eastAsia="宋体" w:cs="宋体"/>
                <w:color w:val="000000"/>
                <w:kern w:val="0"/>
                <w:sz w:val="21"/>
                <w:szCs w:val="21"/>
              </w:rPr>
              <w:t>　</w:t>
            </w:r>
          </w:p>
        </w:tc>
        <w:tc>
          <w:tcPr>
            <w:tcW w:w="11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w:t>
            </w:r>
          </w:p>
        </w:tc>
        <w:tc>
          <w:tcPr>
            <w:tcW w:w="3771"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其他支出</w:t>
            </w:r>
          </w:p>
        </w:tc>
        <w:tc>
          <w:tcPr>
            <w:tcW w:w="98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lang w:val="en-US" w:eastAsia="zh-CN"/>
              </w:rPr>
              <w:t>0.00</w:t>
            </w: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17"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30307</w:t>
            </w:r>
          </w:p>
        </w:tc>
        <w:tc>
          <w:tcPr>
            <w:tcW w:w="329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医疗费补助</w:t>
            </w:r>
          </w:p>
        </w:tc>
        <w:tc>
          <w:tcPr>
            <w:tcW w:w="98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Cs w:val="20"/>
              </w:rPr>
            </w:pPr>
            <w:r>
              <w:rPr>
                <w:rFonts w:hint="eastAsia" w:ascii="宋体" w:hAnsi="宋体" w:eastAsia="宋体" w:cs="宋体"/>
                <w:color w:val="000000"/>
                <w:kern w:val="0"/>
                <w:szCs w:val="20"/>
                <w:lang w:val="en-US" w:eastAsia="zh-CN"/>
              </w:rPr>
              <w:t>0.00</w:t>
            </w:r>
            <w:r>
              <w:rPr>
                <w:rFonts w:hint="eastAsia" w:ascii="宋体" w:hAnsi="宋体" w:eastAsia="宋体" w:cs="宋体"/>
                <w:color w:val="000000"/>
                <w:kern w:val="0"/>
                <w:szCs w:val="20"/>
              </w:rPr>
              <w:t>　</w:t>
            </w:r>
          </w:p>
        </w:tc>
        <w:tc>
          <w:tcPr>
            <w:tcW w:w="10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30227</w:t>
            </w:r>
          </w:p>
        </w:tc>
        <w:tc>
          <w:tcPr>
            <w:tcW w:w="226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委托业务费</w:t>
            </w:r>
          </w:p>
        </w:tc>
        <w:tc>
          <w:tcPr>
            <w:tcW w:w="814"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0.00</w:t>
            </w:r>
            <w:r>
              <w:rPr>
                <w:rFonts w:hint="eastAsia" w:ascii="宋体" w:hAnsi="宋体" w:eastAsia="宋体" w:cs="宋体"/>
                <w:color w:val="000000"/>
                <w:kern w:val="0"/>
                <w:sz w:val="21"/>
                <w:szCs w:val="21"/>
              </w:rPr>
              <w:t>　</w:t>
            </w:r>
          </w:p>
        </w:tc>
        <w:tc>
          <w:tcPr>
            <w:tcW w:w="11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rPr>
              <w:t>39907</w:t>
            </w:r>
          </w:p>
        </w:tc>
        <w:tc>
          <w:tcPr>
            <w:tcW w:w="3771"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rPr>
              <w:t xml:space="preserve">  国家赔偿费用支出</w:t>
            </w:r>
          </w:p>
        </w:tc>
        <w:tc>
          <w:tcPr>
            <w:tcW w:w="98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lang w:val="en-US" w:eastAsia="zh-CN"/>
              </w:rPr>
              <w:t>0.00</w:t>
            </w: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17"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30308</w:t>
            </w:r>
          </w:p>
        </w:tc>
        <w:tc>
          <w:tcPr>
            <w:tcW w:w="329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助学金</w:t>
            </w:r>
          </w:p>
        </w:tc>
        <w:tc>
          <w:tcPr>
            <w:tcW w:w="98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Cs w:val="20"/>
              </w:rPr>
            </w:pPr>
            <w:r>
              <w:rPr>
                <w:rFonts w:hint="eastAsia" w:ascii="宋体" w:hAnsi="宋体" w:eastAsia="宋体" w:cs="宋体"/>
                <w:color w:val="000000"/>
                <w:kern w:val="0"/>
                <w:szCs w:val="20"/>
                <w:lang w:val="en-US" w:eastAsia="zh-CN"/>
              </w:rPr>
              <w:t>0.00</w:t>
            </w:r>
            <w:r>
              <w:rPr>
                <w:rFonts w:hint="eastAsia" w:ascii="宋体" w:hAnsi="宋体" w:eastAsia="宋体" w:cs="宋体"/>
                <w:color w:val="000000"/>
                <w:kern w:val="0"/>
                <w:szCs w:val="20"/>
              </w:rPr>
              <w:t>　</w:t>
            </w:r>
          </w:p>
        </w:tc>
        <w:tc>
          <w:tcPr>
            <w:tcW w:w="10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30228</w:t>
            </w:r>
          </w:p>
        </w:tc>
        <w:tc>
          <w:tcPr>
            <w:tcW w:w="226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工会经费</w:t>
            </w:r>
          </w:p>
        </w:tc>
        <w:tc>
          <w:tcPr>
            <w:tcW w:w="814"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10.60</w:t>
            </w:r>
            <w:r>
              <w:rPr>
                <w:rFonts w:hint="eastAsia" w:ascii="宋体" w:hAnsi="宋体" w:eastAsia="宋体" w:cs="宋体"/>
                <w:color w:val="000000"/>
                <w:kern w:val="0"/>
                <w:sz w:val="21"/>
                <w:szCs w:val="21"/>
              </w:rPr>
              <w:t>　</w:t>
            </w:r>
          </w:p>
        </w:tc>
        <w:tc>
          <w:tcPr>
            <w:tcW w:w="11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rPr>
              <w:t>39908</w:t>
            </w:r>
          </w:p>
        </w:tc>
        <w:tc>
          <w:tcPr>
            <w:tcW w:w="3771"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rPr>
              <w:t xml:space="preserve">  对民间非营利组织和群众性自治组织补贴</w:t>
            </w:r>
          </w:p>
        </w:tc>
        <w:tc>
          <w:tcPr>
            <w:tcW w:w="98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lang w:val="en-US" w:eastAsia="zh-CN"/>
              </w:rPr>
              <w:t>0.00</w:t>
            </w: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17"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30309</w:t>
            </w:r>
          </w:p>
        </w:tc>
        <w:tc>
          <w:tcPr>
            <w:tcW w:w="329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奖励金</w:t>
            </w:r>
          </w:p>
        </w:tc>
        <w:tc>
          <w:tcPr>
            <w:tcW w:w="98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Cs w:val="20"/>
              </w:rPr>
            </w:pPr>
            <w:r>
              <w:rPr>
                <w:rFonts w:hint="eastAsia" w:ascii="宋体" w:hAnsi="宋体" w:eastAsia="宋体" w:cs="宋体"/>
                <w:color w:val="000000"/>
                <w:kern w:val="0"/>
                <w:szCs w:val="20"/>
                <w:lang w:val="en-US" w:eastAsia="zh-CN"/>
              </w:rPr>
              <w:t>2.00</w:t>
            </w:r>
            <w:r>
              <w:rPr>
                <w:rFonts w:hint="eastAsia" w:ascii="宋体" w:hAnsi="宋体" w:eastAsia="宋体" w:cs="宋体"/>
                <w:color w:val="000000"/>
                <w:kern w:val="0"/>
                <w:szCs w:val="20"/>
              </w:rPr>
              <w:t>　</w:t>
            </w:r>
          </w:p>
        </w:tc>
        <w:tc>
          <w:tcPr>
            <w:tcW w:w="10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30229</w:t>
            </w:r>
          </w:p>
        </w:tc>
        <w:tc>
          <w:tcPr>
            <w:tcW w:w="226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福利费</w:t>
            </w:r>
          </w:p>
        </w:tc>
        <w:tc>
          <w:tcPr>
            <w:tcW w:w="814"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10.00</w:t>
            </w:r>
            <w:r>
              <w:rPr>
                <w:rFonts w:hint="eastAsia" w:ascii="宋体" w:hAnsi="宋体" w:eastAsia="宋体" w:cs="宋体"/>
                <w:color w:val="000000"/>
                <w:kern w:val="0"/>
                <w:sz w:val="21"/>
                <w:szCs w:val="21"/>
              </w:rPr>
              <w:t>　</w:t>
            </w:r>
          </w:p>
        </w:tc>
        <w:tc>
          <w:tcPr>
            <w:tcW w:w="1115"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rPr>
              <w:t>3990</w:t>
            </w:r>
            <w:r>
              <w:rPr>
                <w:rFonts w:hint="eastAsia" w:ascii="宋体" w:hAnsi="宋体" w:eastAsia="宋体" w:cs="宋体"/>
                <w:color w:val="000000"/>
                <w:kern w:val="0"/>
                <w:szCs w:val="20"/>
                <w:lang w:val="en-US" w:eastAsia="zh-CN"/>
              </w:rPr>
              <w:t>9</w:t>
            </w:r>
          </w:p>
        </w:tc>
        <w:tc>
          <w:tcPr>
            <w:tcW w:w="3771" w:type="dxa"/>
            <w:gridSpan w:val="3"/>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color w:val="000000"/>
                <w:kern w:val="0"/>
                <w:szCs w:val="20"/>
              </w:rPr>
            </w:pPr>
            <w:r>
              <w:rPr>
                <w:rFonts w:hint="eastAsia" w:ascii="宋体" w:hAnsi="宋体" w:eastAsia="宋体" w:cs="宋体"/>
                <w:color w:val="000000"/>
                <w:kern w:val="0"/>
                <w:szCs w:val="20"/>
              </w:rPr>
              <w:t xml:space="preserve">  经常性赠与</w:t>
            </w:r>
          </w:p>
          <w:p>
            <w:pPr>
              <w:widowControl/>
              <w:jc w:val="left"/>
              <w:rPr>
                <w:rFonts w:hint="eastAsia" w:ascii="宋体" w:hAnsi="宋体" w:eastAsia="宋体" w:cs="宋体"/>
                <w:color w:val="000000"/>
                <w:kern w:val="0"/>
                <w:szCs w:val="20"/>
              </w:rPr>
            </w:pPr>
            <w:r>
              <w:rPr>
                <w:rFonts w:hint="eastAsia" w:ascii="宋体" w:hAnsi="宋体" w:eastAsia="宋体" w:cs="宋体"/>
                <w:color w:val="000000"/>
                <w:kern w:val="0"/>
                <w:szCs w:val="20"/>
              </w:rPr>
              <w:t xml:space="preserve">  资本性赠与</w:t>
            </w:r>
          </w:p>
          <w:p>
            <w:pPr>
              <w:widowControl/>
              <w:jc w:val="left"/>
              <w:rPr>
                <w:rFonts w:hint="eastAsia" w:ascii="宋体" w:hAnsi="宋体" w:eastAsia="宋体" w:cs="宋体"/>
                <w:color w:val="000000"/>
                <w:kern w:val="0"/>
                <w:szCs w:val="20"/>
              </w:rPr>
            </w:pPr>
          </w:p>
          <w:tbl>
            <w:tblPr>
              <w:tblStyle w:val="10"/>
              <w:tblW w:w="3902" w:type="dxa"/>
              <w:tblInd w:w="-2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90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52" w:hRule="atLeast"/>
              </w:trPr>
              <w:tc>
                <w:tcPr>
                  <w:tcW w:w="39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经常性赠与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52" w:hRule="atLeast"/>
              </w:trPr>
              <w:tc>
                <w:tcPr>
                  <w:tcW w:w="39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资本性赠与</w:t>
                  </w:r>
                </w:p>
              </w:tc>
            </w:tr>
          </w:tbl>
          <w:p>
            <w:pPr>
              <w:widowControl/>
              <w:jc w:val="left"/>
              <w:rPr>
                <w:rFonts w:hint="eastAsia" w:ascii="宋体" w:hAnsi="宋体" w:eastAsia="宋体" w:cs="宋体"/>
                <w:color w:val="000000"/>
                <w:kern w:val="0"/>
                <w:szCs w:val="20"/>
              </w:rPr>
            </w:pPr>
          </w:p>
          <w:tbl>
            <w:tblPr>
              <w:tblStyle w:val="10"/>
              <w:tblW w:w="3902" w:type="dxa"/>
              <w:tblInd w:w="-2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90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52" w:hRule="atLeast"/>
              </w:trPr>
              <w:tc>
                <w:tcPr>
                  <w:tcW w:w="39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经常性赠与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52" w:hRule="atLeast"/>
              </w:trPr>
              <w:tc>
                <w:tcPr>
                  <w:tcW w:w="39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资本性赠与</w:t>
                  </w:r>
                </w:p>
              </w:tc>
            </w:tr>
          </w:tbl>
          <w:p>
            <w:pPr>
              <w:widowControl/>
              <w:jc w:val="left"/>
              <w:rPr>
                <w:rFonts w:ascii="宋体" w:hAnsi="宋体" w:eastAsia="宋体" w:cs="宋体"/>
                <w:color w:val="000000"/>
                <w:kern w:val="0"/>
                <w:szCs w:val="20"/>
              </w:rPr>
            </w:pPr>
          </w:p>
        </w:tc>
        <w:tc>
          <w:tcPr>
            <w:tcW w:w="98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lang w:val="en-US" w:eastAsia="zh-CN"/>
              </w:rPr>
              <w:t>0.00</w:t>
            </w: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17"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30310</w:t>
            </w:r>
          </w:p>
        </w:tc>
        <w:tc>
          <w:tcPr>
            <w:tcW w:w="329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个人农业生产补贴</w:t>
            </w:r>
          </w:p>
        </w:tc>
        <w:tc>
          <w:tcPr>
            <w:tcW w:w="98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Cs w:val="20"/>
              </w:rPr>
            </w:pPr>
            <w:r>
              <w:rPr>
                <w:rFonts w:hint="eastAsia" w:ascii="宋体" w:hAnsi="宋体" w:eastAsia="宋体" w:cs="宋体"/>
                <w:color w:val="000000"/>
                <w:kern w:val="0"/>
                <w:szCs w:val="20"/>
                <w:lang w:val="en-US" w:eastAsia="zh-CN"/>
              </w:rPr>
              <w:t>0.00</w:t>
            </w:r>
            <w:r>
              <w:rPr>
                <w:rFonts w:hint="eastAsia" w:ascii="宋体" w:hAnsi="宋体" w:eastAsia="宋体" w:cs="宋体"/>
                <w:color w:val="000000"/>
                <w:kern w:val="0"/>
                <w:szCs w:val="20"/>
              </w:rPr>
              <w:t>　</w:t>
            </w:r>
          </w:p>
        </w:tc>
        <w:tc>
          <w:tcPr>
            <w:tcW w:w="10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30231</w:t>
            </w:r>
          </w:p>
        </w:tc>
        <w:tc>
          <w:tcPr>
            <w:tcW w:w="226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公务用车运行维护费</w:t>
            </w:r>
          </w:p>
        </w:tc>
        <w:tc>
          <w:tcPr>
            <w:tcW w:w="814"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0.00</w:t>
            </w:r>
            <w:r>
              <w:rPr>
                <w:rFonts w:hint="eastAsia" w:ascii="宋体" w:hAnsi="宋体" w:eastAsia="宋体" w:cs="宋体"/>
                <w:color w:val="000000"/>
                <w:kern w:val="0"/>
                <w:sz w:val="21"/>
                <w:szCs w:val="21"/>
              </w:rPr>
              <w:t>　</w:t>
            </w:r>
          </w:p>
        </w:tc>
        <w:tc>
          <w:tcPr>
            <w:tcW w:w="1115"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rPr>
              <w:t>399</w:t>
            </w:r>
            <w:r>
              <w:rPr>
                <w:rFonts w:hint="eastAsia" w:ascii="宋体" w:hAnsi="宋体" w:eastAsia="宋体" w:cs="宋体"/>
                <w:color w:val="000000"/>
                <w:kern w:val="0"/>
                <w:szCs w:val="20"/>
                <w:lang w:val="en-US" w:eastAsia="zh-CN"/>
              </w:rPr>
              <w:t>10</w:t>
            </w:r>
          </w:p>
        </w:tc>
        <w:tc>
          <w:tcPr>
            <w:tcW w:w="3771" w:type="dxa"/>
            <w:gridSpan w:val="3"/>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 xml:space="preserve">  资本性赠与</w:t>
            </w:r>
          </w:p>
        </w:tc>
        <w:tc>
          <w:tcPr>
            <w:tcW w:w="98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lang w:val="en-US" w:eastAsia="zh-CN"/>
              </w:rPr>
              <w:t>0.00</w:t>
            </w: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17"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30311</w:t>
            </w:r>
          </w:p>
        </w:tc>
        <w:tc>
          <w:tcPr>
            <w:tcW w:w="329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代缴社会保险费</w:t>
            </w:r>
          </w:p>
        </w:tc>
        <w:tc>
          <w:tcPr>
            <w:tcW w:w="98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Cs w:val="20"/>
              </w:rPr>
            </w:pPr>
            <w:r>
              <w:rPr>
                <w:rFonts w:hint="eastAsia" w:ascii="宋体" w:hAnsi="宋体" w:eastAsia="宋体" w:cs="宋体"/>
                <w:color w:val="000000"/>
                <w:kern w:val="0"/>
                <w:szCs w:val="20"/>
                <w:lang w:val="en-US" w:eastAsia="zh-CN"/>
              </w:rPr>
              <w:t>0.00</w:t>
            </w:r>
            <w:r>
              <w:rPr>
                <w:rFonts w:hint="eastAsia" w:ascii="宋体" w:hAnsi="宋体" w:eastAsia="宋体" w:cs="宋体"/>
                <w:color w:val="000000"/>
                <w:kern w:val="0"/>
                <w:szCs w:val="20"/>
              </w:rPr>
              <w:t>　</w:t>
            </w:r>
          </w:p>
        </w:tc>
        <w:tc>
          <w:tcPr>
            <w:tcW w:w="10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30239</w:t>
            </w:r>
          </w:p>
        </w:tc>
        <w:tc>
          <w:tcPr>
            <w:tcW w:w="226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其他交通费用</w:t>
            </w:r>
          </w:p>
        </w:tc>
        <w:tc>
          <w:tcPr>
            <w:tcW w:w="814"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22.00</w:t>
            </w:r>
            <w:r>
              <w:rPr>
                <w:rFonts w:hint="eastAsia" w:ascii="宋体" w:hAnsi="宋体" w:eastAsia="宋体" w:cs="宋体"/>
                <w:color w:val="000000"/>
                <w:kern w:val="0"/>
                <w:sz w:val="21"/>
                <w:szCs w:val="21"/>
              </w:rPr>
              <w:t>　</w:t>
            </w:r>
          </w:p>
        </w:tc>
        <w:tc>
          <w:tcPr>
            <w:tcW w:w="11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rPr>
              <w:t>39999</w:t>
            </w:r>
          </w:p>
        </w:tc>
        <w:tc>
          <w:tcPr>
            <w:tcW w:w="3771"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rPr>
              <w:t xml:space="preserve">  其他支出</w:t>
            </w:r>
          </w:p>
        </w:tc>
        <w:tc>
          <w:tcPr>
            <w:tcW w:w="98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lang w:val="en-US" w:eastAsia="zh-CN"/>
              </w:rPr>
              <w:t>0.00</w:t>
            </w: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17"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30399</w:t>
            </w:r>
          </w:p>
        </w:tc>
        <w:tc>
          <w:tcPr>
            <w:tcW w:w="329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其他对个人和家庭的补助</w:t>
            </w:r>
          </w:p>
        </w:tc>
        <w:tc>
          <w:tcPr>
            <w:tcW w:w="98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Cs w:val="20"/>
              </w:rPr>
            </w:pPr>
            <w:r>
              <w:rPr>
                <w:rFonts w:hint="eastAsia" w:ascii="宋体" w:hAnsi="宋体" w:eastAsia="宋体" w:cs="宋体"/>
                <w:color w:val="000000"/>
                <w:kern w:val="0"/>
                <w:szCs w:val="20"/>
                <w:lang w:val="en-US" w:eastAsia="zh-CN"/>
              </w:rPr>
              <w:t>14.61</w:t>
            </w:r>
            <w:r>
              <w:rPr>
                <w:rFonts w:hint="eastAsia" w:ascii="宋体" w:hAnsi="宋体" w:eastAsia="宋体" w:cs="宋体"/>
                <w:color w:val="000000"/>
                <w:kern w:val="0"/>
                <w:szCs w:val="20"/>
              </w:rPr>
              <w:t>　</w:t>
            </w:r>
          </w:p>
        </w:tc>
        <w:tc>
          <w:tcPr>
            <w:tcW w:w="10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30240</w:t>
            </w:r>
          </w:p>
        </w:tc>
        <w:tc>
          <w:tcPr>
            <w:tcW w:w="226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税金及附加费用</w:t>
            </w:r>
          </w:p>
        </w:tc>
        <w:tc>
          <w:tcPr>
            <w:tcW w:w="814"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0.00</w:t>
            </w:r>
            <w:r>
              <w:rPr>
                <w:rFonts w:hint="eastAsia" w:ascii="宋体" w:hAnsi="宋体" w:eastAsia="宋体" w:cs="宋体"/>
                <w:color w:val="000000"/>
                <w:kern w:val="0"/>
                <w:sz w:val="21"/>
                <w:szCs w:val="21"/>
              </w:rPr>
              <w:t>　</w:t>
            </w:r>
          </w:p>
        </w:tc>
        <w:tc>
          <w:tcPr>
            <w:tcW w:w="11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3771"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98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17"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329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98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0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30299</w:t>
            </w:r>
          </w:p>
        </w:tc>
        <w:tc>
          <w:tcPr>
            <w:tcW w:w="226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其他商品和服务支出</w:t>
            </w:r>
          </w:p>
        </w:tc>
        <w:tc>
          <w:tcPr>
            <w:tcW w:w="814"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6.33</w:t>
            </w:r>
            <w:r>
              <w:rPr>
                <w:rFonts w:hint="eastAsia" w:ascii="宋体" w:hAnsi="宋体" w:eastAsia="宋体" w:cs="宋体"/>
                <w:color w:val="000000"/>
                <w:kern w:val="0"/>
                <w:sz w:val="21"/>
                <w:szCs w:val="21"/>
              </w:rPr>
              <w:t>　</w:t>
            </w:r>
          </w:p>
        </w:tc>
        <w:tc>
          <w:tcPr>
            <w:tcW w:w="11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3771"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98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4616"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人员经费合计</w:t>
            </w:r>
          </w:p>
        </w:tc>
        <w:tc>
          <w:tcPr>
            <w:tcW w:w="98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Cs w:val="20"/>
              </w:rPr>
            </w:pPr>
            <w:r>
              <w:rPr>
                <w:rFonts w:hint="eastAsia" w:ascii="宋体" w:hAnsi="宋体" w:eastAsia="宋体" w:cs="宋体"/>
                <w:color w:val="000000"/>
                <w:kern w:val="0"/>
                <w:szCs w:val="20"/>
                <w:lang w:val="en-US" w:eastAsia="zh-CN"/>
              </w:rPr>
              <w:t>610.01</w:t>
            </w:r>
            <w:r>
              <w:rPr>
                <w:rFonts w:hint="eastAsia" w:ascii="宋体" w:hAnsi="宋体" w:eastAsia="宋体" w:cs="宋体"/>
                <w:color w:val="000000"/>
                <w:kern w:val="0"/>
                <w:szCs w:val="20"/>
              </w:rPr>
              <w:t>　</w:t>
            </w:r>
          </w:p>
        </w:tc>
        <w:tc>
          <w:tcPr>
            <w:tcW w:w="9032" w:type="dxa"/>
            <w:gridSpan w:val="9"/>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公用经费合计</w:t>
            </w:r>
          </w:p>
        </w:tc>
        <w:tc>
          <w:tcPr>
            <w:tcW w:w="98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Cs w:val="18"/>
              </w:rPr>
            </w:pPr>
            <w:r>
              <w:rPr>
                <w:rFonts w:hint="eastAsia" w:ascii="宋体" w:hAnsi="宋体" w:eastAsia="宋体" w:cs="宋体"/>
                <w:color w:val="000000"/>
                <w:kern w:val="0"/>
                <w:szCs w:val="18"/>
                <w:lang w:val="en-US" w:eastAsia="zh-CN"/>
              </w:rPr>
              <w:t>78.12</w:t>
            </w:r>
            <w:r>
              <w:rPr>
                <w:rFonts w:hint="eastAsia" w:ascii="宋体" w:hAnsi="宋体" w:eastAsia="宋体" w:cs="宋体"/>
                <w:color w:val="000000"/>
                <w:kern w:val="0"/>
                <w:szCs w:val="18"/>
              </w:rPr>
              <w:t>　</w:t>
            </w:r>
          </w:p>
        </w:tc>
      </w:tr>
      <w:tr>
        <w:tblPrEx>
          <w:tblLayout w:type="fixed"/>
          <w:tblCellMar>
            <w:top w:w="0" w:type="dxa"/>
            <w:left w:w="108" w:type="dxa"/>
            <w:bottom w:w="0" w:type="dxa"/>
            <w:right w:w="108" w:type="dxa"/>
          </w:tblCellMar>
        </w:tblPrEx>
        <w:trPr>
          <w:trHeight w:val="284" w:hRule="exact"/>
        </w:trPr>
        <w:tc>
          <w:tcPr>
            <w:tcW w:w="15614" w:type="dxa"/>
            <w:gridSpan w:val="18"/>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Cs w:val="24"/>
              </w:rPr>
            </w:pPr>
            <w:r>
              <w:rPr>
                <w:rFonts w:hint="eastAsia" w:ascii="宋体" w:hAnsi="宋体" w:eastAsia="宋体" w:cs="宋体"/>
                <w:color w:val="000000"/>
                <w:kern w:val="0"/>
                <w:szCs w:val="24"/>
              </w:rPr>
              <w:t>注：本表反映部门本年度一般公共预算财政拨款基本支出明细情况。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1" w:type="dxa"/>
          <w:trHeight w:val="690" w:hRule="atLeast"/>
        </w:trPr>
        <w:tc>
          <w:tcPr>
            <w:tcW w:w="15363" w:type="dxa"/>
            <w:gridSpan w:val="17"/>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bidi="ar"/>
              </w:rPr>
            </w:pPr>
          </w:p>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政府性基金预算财政拨款收入支出决算表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1" w:type="dxa"/>
          <w:trHeight w:val="345" w:hRule="atLeast"/>
        </w:trPr>
        <w:tc>
          <w:tcPr>
            <w:tcW w:w="985"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39"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1375" w:type="dxa"/>
            <w:gridSpan w:val="2"/>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104"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351" w:type="dxa"/>
            <w:gridSpan w:val="3"/>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076"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080" w:type="dxa"/>
            <w:gridSpan w:val="3"/>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076"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077" w:type="dxa"/>
            <w:gridSpan w:val="2"/>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公开07表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1" w:type="dxa"/>
          <w:trHeight w:val="690" w:hRule="atLeast"/>
        </w:trPr>
        <w:tc>
          <w:tcPr>
            <w:tcW w:w="4703" w:type="dxa"/>
            <w:gridSpan w:val="6"/>
            <w:tcBorders>
              <w:top w:val="nil"/>
              <w:left w:val="nil"/>
              <w:bottom w:val="nil"/>
              <w:right w:val="nil"/>
            </w:tcBorders>
            <w:shd w:val="clear" w:color="auto" w:fill="FFFFFF"/>
            <w:noWrap/>
            <w:vAlign w:val="center"/>
          </w:tcPr>
          <w:p>
            <w:pPr>
              <w:rPr>
                <w:rFonts w:hint="default" w:ascii="宋体" w:hAnsi="宋体" w:eastAsia="宋体" w:cs="宋体"/>
                <w:i w:val="0"/>
                <w:color w:val="000000"/>
                <w:sz w:val="20"/>
                <w:szCs w:val="20"/>
                <w:u w:val="none"/>
                <w:lang w:val="en-US"/>
              </w:rPr>
            </w:pPr>
            <w:r>
              <w:rPr>
                <w:rFonts w:hint="eastAsia" w:ascii="宋体" w:hAnsi="宋体" w:eastAsia="宋体" w:cs="宋体"/>
                <w:i w:val="0"/>
                <w:color w:val="000000"/>
                <w:kern w:val="0"/>
                <w:sz w:val="20"/>
                <w:szCs w:val="20"/>
                <w:u w:val="none"/>
                <w:lang w:val="en-US" w:eastAsia="zh-CN" w:bidi="ar"/>
              </w:rPr>
              <w:t>部门：湖南省农垦管理服务站</w:t>
            </w:r>
          </w:p>
        </w:tc>
        <w:tc>
          <w:tcPr>
            <w:tcW w:w="2351" w:type="dxa"/>
            <w:gridSpan w:val="3"/>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076"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080" w:type="dxa"/>
            <w:gridSpan w:val="3"/>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076"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077" w:type="dxa"/>
            <w:gridSpan w:val="2"/>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1" w:type="dxa"/>
          <w:trHeight w:val="459" w:hRule="atLeast"/>
        </w:trPr>
        <w:tc>
          <w:tcPr>
            <w:tcW w:w="25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项 </w:t>
            </w:r>
            <w:r>
              <w:rPr>
                <w:rStyle w:val="17"/>
                <w:lang w:val="en-US" w:eastAsia="zh-CN" w:bidi="ar"/>
              </w:rPr>
              <w:t xml:space="preserve">   </w:t>
            </w:r>
            <w:r>
              <w:rPr>
                <w:rStyle w:val="18"/>
                <w:lang w:val="en-US" w:eastAsia="zh-CN" w:bidi="ar"/>
              </w:rPr>
              <w:t>目</w:t>
            </w:r>
          </w:p>
        </w:tc>
        <w:tc>
          <w:tcPr>
            <w:tcW w:w="210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年初结转和结余</w:t>
            </w:r>
          </w:p>
        </w:tc>
        <w:tc>
          <w:tcPr>
            <w:tcW w:w="235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本年收入</w:t>
            </w:r>
          </w:p>
        </w:tc>
        <w:tc>
          <w:tcPr>
            <w:tcW w:w="623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本年支出</w:t>
            </w:r>
          </w:p>
        </w:tc>
        <w:tc>
          <w:tcPr>
            <w:tcW w:w="207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1" w:type="dxa"/>
          <w:trHeight w:val="609" w:hRule="atLeast"/>
        </w:trPr>
        <w:tc>
          <w:tcPr>
            <w:tcW w:w="122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科目代码</w:t>
            </w:r>
          </w:p>
        </w:tc>
        <w:tc>
          <w:tcPr>
            <w:tcW w:w="137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科目名称</w:t>
            </w:r>
          </w:p>
        </w:tc>
        <w:tc>
          <w:tcPr>
            <w:tcW w:w="210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35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7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小计</w:t>
            </w:r>
          </w:p>
        </w:tc>
        <w:tc>
          <w:tcPr>
            <w:tcW w:w="208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基本支出  </w:t>
            </w:r>
          </w:p>
        </w:tc>
        <w:tc>
          <w:tcPr>
            <w:tcW w:w="20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项目支出</w:t>
            </w:r>
          </w:p>
        </w:tc>
        <w:tc>
          <w:tcPr>
            <w:tcW w:w="207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1" w:type="dxa"/>
          <w:trHeight w:val="409" w:hRule="atLeast"/>
        </w:trPr>
        <w:tc>
          <w:tcPr>
            <w:tcW w:w="122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3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0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35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7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8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7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1" w:type="dxa"/>
          <w:trHeight w:val="509" w:hRule="atLeast"/>
        </w:trPr>
        <w:tc>
          <w:tcPr>
            <w:tcW w:w="122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3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0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35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7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8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7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1" w:type="dxa"/>
          <w:trHeight w:val="509" w:hRule="atLeast"/>
        </w:trPr>
        <w:tc>
          <w:tcPr>
            <w:tcW w:w="25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栏次</w:t>
            </w:r>
          </w:p>
        </w:tc>
        <w:tc>
          <w:tcPr>
            <w:tcW w:w="21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23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20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20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2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20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1" w:type="dxa"/>
          <w:trHeight w:val="509" w:hRule="atLeast"/>
        </w:trPr>
        <w:tc>
          <w:tcPr>
            <w:tcW w:w="25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21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3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1" w:type="dxa"/>
          <w:trHeight w:val="509" w:hRule="atLeast"/>
        </w:trPr>
        <w:tc>
          <w:tcPr>
            <w:tcW w:w="12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3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3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1" w:type="dxa"/>
          <w:trHeight w:val="509" w:hRule="atLeast"/>
        </w:trPr>
        <w:tc>
          <w:tcPr>
            <w:tcW w:w="12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3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3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1" w:type="dxa"/>
          <w:trHeight w:val="509" w:hRule="atLeast"/>
        </w:trPr>
        <w:tc>
          <w:tcPr>
            <w:tcW w:w="12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3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3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1" w:type="dxa"/>
          <w:trHeight w:val="509" w:hRule="atLeast"/>
        </w:trPr>
        <w:tc>
          <w:tcPr>
            <w:tcW w:w="12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3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3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1" w:type="dxa"/>
          <w:trHeight w:val="509" w:hRule="atLeast"/>
        </w:trPr>
        <w:tc>
          <w:tcPr>
            <w:tcW w:w="12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3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3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1" w:type="dxa"/>
          <w:trHeight w:val="509" w:hRule="atLeast"/>
        </w:trPr>
        <w:tc>
          <w:tcPr>
            <w:tcW w:w="12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3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3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1" w:type="dxa"/>
          <w:trHeight w:val="725" w:hRule="atLeast"/>
        </w:trPr>
        <w:tc>
          <w:tcPr>
            <w:tcW w:w="15363" w:type="dxa"/>
            <w:gridSpan w:val="17"/>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注：本表反映部门本年度政府性基金预算财政拨款收入、支出及结转和结余情况。</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楷体" w:hAnsi="楷体" w:eastAsia="楷体" w:cs="楷体"/>
                <w:b/>
                <w:bCs/>
                <w:i w:val="0"/>
                <w:color w:val="auto"/>
                <w:kern w:val="0"/>
                <w:sz w:val="24"/>
                <w:szCs w:val="24"/>
                <w:u w:val="none"/>
                <w:lang w:val="en-US" w:eastAsia="zh-CN" w:bidi="ar"/>
              </w:rPr>
              <w:t>说明：我单位没有政府性基金收入，也没有使用政府性基金安排的支出，故本表无数据。</w:t>
            </w:r>
          </w:p>
        </w:tc>
      </w:tr>
    </w:tbl>
    <w:p>
      <w:pPr>
        <w:widowControl/>
        <w:jc w:val="center"/>
        <w:rPr>
          <w:rFonts w:hint="eastAsia" w:ascii="Times New Roman" w:hAnsi="Times New Roman" w:eastAsia="方正小标宋_GBK" w:cs="Times New Roman"/>
          <w:color w:val="000000"/>
          <w:kern w:val="0"/>
          <w:sz w:val="36"/>
          <w:szCs w:val="36"/>
        </w:rPr>
      </w:pPr>
    </w:p>
    <w:p>
      <w:pPr>
        <w:widowControl/>
        <w:jc w:val="center"/>
        <w:rPr>
          <w:rFonts w:hint="eastAsia" w:ascii="Times New Roman" w:hAnsi="Times New Roman" w:eastAsia="方正小标宋_GBK" w:cs="Times New Roman"/>
          <w:color w:val="000000"/>
          <w:kern w:val="0"/>
          <w:sz w:val="36"/>
          <w:szCs w:val="36"/>
        </w:rPr>
      </w:pPr>
    </w:p>
    <w:tbl>
      <w:tblPr>
        <w:tblStyle w:val="10"/>
        <w:tblW w:w="151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26"/>
        <w:gridCol w:w="701"/>
        <w:gridCol w:w="2292"/>
        <w:gridCol w:w="3315"/>
        <w:gridCol w:w="3315"/>
        <w:gridCol w:w="41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63" w:hRule="atLeast"/>
        </w:trPr>
        <w:tc>
          <w:tcPr>
            <w:tcW w:w="15120" w:type="dxa"/>
            <w:gridSpan w:val="6"/>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国有资本经营预算财政拨款支出决算表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17" w:hRule="atLeast"/>
        </w:trPr>
        <w:tc>
          <w:tcPr>
            <w:tcW w:w="1326"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701"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292"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4171"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公开08表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17" w:hRule="atLeast"/>
        </w:trPr>
        <w:tc>
          <w:tcPr>
            <w:tcW w:w="4319" w:type="dxa"/>
            <w:gridSpan w:val="3"/>
            <w:tcBorders>
              <w:top w:val="nil"/>
              <w:left w:val="nil"/>
              <w:bottom w:val="nil"/>
              <w:right w:val="nil"/>
            </w:tcBorders>
            <w:shd w:val="clear" w:color="auto" w:fill="FFFFFF"/>
            <w:noWrap/>
            <w:vAlign w:val="center"/>
          </w:tcPr>
          <w:p>
            <w:pPr>
              <w:jc w:val="left"/>
              <w:rPr>
                <w:rFonts w:hint="default" w:ascii="宋体" w:hAnsi="宋体" w:eastAsia="宋体" w:cs="宋体"/>
                <w:i w:val="0"/>
                <w:color w:val="000000"/>
                <w:sz w:val="20"/>
                <w:szCs w:val="20"/>
                <w:u w:val="none"/>
                <w:lang w:val="en-US"/>
              </w:rPr>
            </w:pPr>
            <w:r>
              <w:rPr>
                <w:rFonts w:hint="eastAsia" w:ascii="宋体" w:hAnsi="宋体" w:eastAsia="宋体" w:cs="宋体"/>
                <w:i w:val="0"/>
                <w:color w:val="000000"/>
                <w:kern w:val="0"/>
                <w:sz w:val="20"/>
                <w:szCs w:val="20"/>
                <w:u w:val="none"/>
                <w:lang w:val="en-US" w:eastAsia="zh-CN" w:bidi="ar"/>
              </w:rPr>
              <w:t>部门：湖南省农垦管理服务站</w:t>
            </w: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4171"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项 </w:t>
            </w:r>
            <w:r>
              <w:rPr>
                <w:rFonts w:hint="eastAsia" w:ascii="宋体" w:hAnsi="宋体" w:eastAsia="宋体" w:cs="宋体"/>
                <w:i w:val="0"/>
                <w:color w:val="000000"/>
                <w:kern w:val="0"/>
                <w:sz w:val="22"/>
                <w:szCs w:val="22"/>
                <w:u w:val="none"/>
                <w:lang w:val="en-US" w:eastAsia="zh-CN" w:bidi="ar"/>
              </w:rPr>
              <w:t xml:space="preserve">   </w:t>
            </w:r>
            <w:r>
              <w:rPr>
                <w:rStyle w:val="19"/>
                <w:lang w:val="en-US" w:eastAsia="zh-CN" w:bidi="ar"/>
              </w:rPr>
              <w:t>目</w:t>
            </w:r>
          </w:p>
        </w:tc>
        <w:tc>
          <w:tcPr>
            <w:tcW w:w="108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科目代码</w:t>
            </w:r>
          </w:p>
        </w:tc>
        <w:tc>
          <w:tcPr>
            <w:tcW w:w="22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科目名称</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基本支出  </w:t>
            </w:r>
          </w:p>
        </w:tc>
        <w:tc>
          <w:tcPr>
            <w:tcW w:w="41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栏次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76" w:hRule="atLeast"/>
        </w:trPr>
        <w:tc>
          <w:tcPr>
            <w:tcW w:w="15120" w:type="dxa"/>
            <w:gridSpan w:val="6"/>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注：本表反映部门本年度国有资本经营预算财政拨款支出情况。</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楷体" w:hAnsi="楷体" w:eastAsia="楷体" w:cs="楷体"/>
                <w:b/>
                <w:bCs/>
                <w:i w:val="0"/>
                <w:color w:val="auto"/>
                <w:kern w:val="0"/>
                <w:sz w:val="24"/>
                <w:szCs w:val="24"/>
                <w:u w:val="none"/>
                <w:lang w:val="en-US" w:eastAsia="zh-CN" w:bidi="ar"/>
              </w:rPr>
              <w:t>说明：我单位没有使用国有资本经营预算安排的支出，故本表无数据。</w:t>
            </w:r>
          </w:p>
        </w:tc>
      </w:tr>
    </w:tbl>
    <w:p>
      <w:pPr>
        <w:widowControl/>
        <w:jc w:val="center"/>
        <w:rPr>
          <w:rFonts w:hint="eastAsia" w:ascii="Times New Roman" w:hAnsi="Times New Roman" w:eastAsia="方正小标宋_GBK" w:cs="Times New Roman"/>
          <w:color w:val="000000"/>
          <w:kern w:val="0"/>
          <w:sz w:val="36"/>
          <w:szCs w:val="36"/>
        </w:rPr>
      </w:pPr>
    </w:p>
    <w:tbl>
      <w:tblPr>
        <w:tblStyle w:val="10"/>
        <w:tblW w:w="151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60"/>
        <w:gridCol w:w="1261"/>
        <w:gridCol w:w="1261"/>
        <w:gridCol w:w="1261"/>
        <w:gridCol w:w="1261"/>
        <w:gridCol w:w="1261"/>
        <w:gridCol w:w="1261"/>
        <w:gridCol w:w="1261"/>
        <w:gridCol w:w="1261"/>
        <w:gridCol w:w="1261"/>
        <w:gridCol w:w="1261"/>
        <w:gridCol w:w="12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40" w:hRule="atLeast"/>
        </w:trPr>
        <w:tc>
          <w:tcPr>
            <w:tcW w:w="15140" w:type="dxa"/>
            <w:gridSpan w:val="12"/>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bidi="ar"/>
              </w:rPr>
            </w:pPr>
          </w:p>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财政拨款“三公”经费支出决算表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260"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7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公开09表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5043" w:type="dxa"/>
            <w:gridSpan w:val="4"/>
            <w:tcBorders>
              <w:top w:val="nil"/>
              <w:left w:val="nil"/>
              <w:bottom w:val="nil"/>
              <w:right w:val="nil"/>
            </w:tcBorders>
            <w:shd w:val="clear" w:color="auto" w:fill="FFFFFF"/>
            <w:noWrap/>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部门：湖南省农垦管理服务站</w:t>
            </w: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7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66" w:hRule="atLeast"/>
        </w:trPr>
        <w:tc>
          <w:tcPr>
            <w:tcW w:w="75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预算数</w:t>
            </w:r>
          </w:p>
        </w:tc>
        <w:tc>
          <w:tcPr>
            <w:tcW w:w="75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22" w:hRule="atLeast"/>
        </w:trPr>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公务用车购置及运行维护费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公务接待费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公务用车购置及运行维护费</w:t>
            </w: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74" w:hRule="atLeast"/>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公务用车</w:t>
            </w:r>
          </w:p>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公务用车</w:t>
            </w:r>
          </w:p>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运行维护费</w:t>
            </w: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公务用车</w:t>
            </w:r>
          </w:p>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公务用车</w:t>
            </w:r>
          </w:p>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运行维护费</w:t>
            </w: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66"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65"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1.00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1.00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0.31</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226" w:hRule="atLeast"/>
        </w:trPr>
        <w:tc>
          <w:tcPr>
            <w:tcW w:w="15140" w:type="dxa"/>
            <w:gridSpan w:val="1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注：本表反映部门本年度财政拨款“三公”经费支出预决算情况。其中，预算数为“三公”经费全年预算数，反映按规定程序调整后的预算数；决算数是包括当年财政拨款和以前年度结转资金安排的实际支出。</w:t>
            </w:r>
          </w:p>
        </w:tc>
      </w:tr>
    </w:tbl>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widowControl/>
        <w:jc w:val="both"/>
        <w:rPr>
          <w:sz w:val="72"/>
          <w:szCs w:val="72"/>
        </w:rPr>
        <w:sectPr>
          <w:pgSz w:w="16838" w:h="11906" w:orient="landscape"/>
          <w:pgMar w:top="720" w:right="720" w:bottom="720" w:left="720" w:header="851" w:footer="992" w:gutter="0"/>
          <w:cols w:space="425" w:num="1"/>
          <w:docGrid w:type="lines" w:linePitch="312" w:charSpace="0"/>
        </w:sectPr>
      </w:pPr>
      <w:r>
        <w:rPr>
          <w:rFonts w:ascii="黑体" w:hAnsi="黑体" w:eastAsia="黑体"/>
          <w:szCs w:val="21"/>
        </w:rPr>
        <w:br w:type="page"/>
      </w:r>
    </w:p>
    <w:p>
      <w:pPr>
        <w:pStyle w:val="14"/>
        <w:rPr>
          <w:sz w:val="72"/>
          <w:szCs w:val="72"/>
        </w:rPr>
      </w:pPr>
    </w:p>
    <w:p>
      <w:pPr>
        <w:pStyle w:val="14"/>
        <w:rPr>
          <w:sz w:val="72"/>
          <w:szCs w:val="72"/>
        </w:rPr>
      </w:pPr>
    </w:p>
    <w:p>
      <w:pPr>
        <w:pStyle w:val="14"/>
        <w:rPr>
          <w:sz w:val="72"/>
          <w:szCs w:val="72"/>
        </w:rPr>
      </w:pPr>
    </w:p>
    <w:p>
      <w:pPr>
        <w:pStyle w:val="14"/>
        <w:rPr>
          <w:sz w:val="72"/>
          <w:szCs w:val="72"/>
        </w:rPr>
      </w:pPr>
    </w:p>
    <w:p>
      <w:pPr>
        <w:pStyle w:val="14"/>
        <w:jc w:val="center"/>
        <w:rPr>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4"/>
        <w:jc w:val="center"/>
        <w:rPr>
          <w:rFonts w:hint="eastAsia" w:ascii="方正小标宋_GBK" w:hAnsi="方正小标宋_GBK" w:eastAsia="方正小标宋_GBK" w:cs="方正小标宋_GBK"/>
          <w:sz w:val="70"/>
          <w:szCs w:val="70"/>
        </w:rPr>
      </w:pPr>
    </w:p>
    <w:p>
      <w:pPr>
        <w:pStyle w:val="14"/>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pPr>
        <w:widowControl/>
        <w:jc w:val="left"/>
        <w:rPr>
          <w:rFonts w:asciiTheme="minorEastAsia" w:hAnsiTheme="minorEastAsia" w:eastAsiaTheme="minorEastAsia"/>
          <w:sz w:val="32"/>
          <w:szCs w:val="32"/>
        </w:rPr>
      </w:pPr>
      <w:r>
        <w:rPr>
          <w:rFonts w:hint="eastAsia" w:ascii="方正小标宋_GBK" w:hAnsi="方正小标宋_GBK" w:eastAsia="方正小标宋_GBK" w:cs="方正小标宋_GBK"/>
          <w:sz w:val="70"/>
          <w:szCs w:val="70"/>
        </w:rPr>
        <w:br w:type="page"/>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Times New Roman" w:hAnsi="Times New Roman" w:eastAsia="仿宋_GB2312"/>
          <w:color w:val="000000" w:themeColor="text1"/>
          <w:sz w:val="32"/>
          <w:szCs w:val="32"/>
          <w:highlight w:val="red"/>
          <w:shd w:val="clear" w:color="FFFFFF" w:fill="D9D9D9"/>
          <w:lang w:val="en-US" w:eastAsia="zh-CN"/>
          <w14:textFill>
            <w14:solidFill>
              <w14:schemeClr w14:val="tx1"/>
            </w14:solidFill>
          </w14:textFill>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年度收、支总计</w:t>
      </w:r>
      <w:r>
        <w:rPr>
          <w:rFonts w:hint="eastAsia" w:ascii="Times New Roman" w:hAnsi="Times New Roman" w:eastAsia="仿宋_GB2312"/>
          <w:sz w:val="32"/>
          <w:szCs w:val="32"/>
          <w:lang w:val="en-US" w:eastAsia="zh-CN"/>
        </w:rPr>
        <w:t>821.47</w:t>
      </w:r>
      <w:r>
        <w:rPr>
          <w:rFonts w:hint="eastAsia" w:ascii="Times New Roman" w:hAnsi="Times New Roman" w:eastAsia="仿宋_GB2312"/>
          <w:sz w:val="32"/>
          <w:szCs w:val="32"/>
        </w:rPr>
        <w:t>万元。与上年相比，减少</w:t>
      </w:r>
      <w:r>
        <w:rPr>
          <w:rFonts w:hint="eastAsia" w:ascii="Times New Roman" w:hAnsi="Times New Roman" w:eastAsia="仿宋_GB2312"/>
          <w:sz w:val="32"/>
          <w:szCs w:val="32"/>
          <w:lang w:val="en-US" w:eastAsia="zh-CN"/>
        </w:rPr>
        <w:t>230.89</w:t>
      </w:r>
      <w:r>
        <w:rPr>
          <w:rFonts w:hint="eastAsia" w:ascii="Times New Roman" w:hAnsi="Times New Roman" w:eastAsia="仿宋_GB2312"/>
          <w:sz w:val="32"/>
          <w:szCs w:val="32"/>
        </w:rPr>
        <w:t>万元，减少</w:t>
      </w:r>
      <w:r>
        <w:rPr>
          <w:rFonts w:hint="eastAsia" w:ascii="Times New Roman" w:hAnsi="Times New Roman" w:eastAsia="仿宋_GB2312"/>
          <w:sz w:val="32"/>
          <w:szCs w:val="32"/>
          <w:lang w:val="en-US" w:eastAsia="zh-CN"/>
        </w:rPr>
        <w:t>21.94</w:t>
      </w:r>
      <w:r>
        <w:rPr>
          <w:rFonts w:hint="eastAsia" w:ascii="Times New Roman" w:hAnsi="Times New Roman" w:eastAsia="仿宋_GB2312"/>
          <w:sz w:val="32"/>
          <w:szCs w:val="32"/>
        </w:rPr>
        <w:t>%，主要是</w:t>
      </w:r>
      <w:r>
        <w:rPr>
          <w:rFonts w:hint="eastAsia" w:ascii="Times New Roman" w:hAnsi="Times New Roman" w:eastAsia="仿宋_GB2312"/>
          <w:sz w:val="32"/>
          <w:szCs w:val="32"/>
          <w:lang w:val="en-US" w:eastAsia="zh-CN"/>
        </w:rPr>
        <w:t>因为人员经费减少。</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年度收入合计</w:t>
      </w:r>
      <w:r>
        <w:rPr>
          <w:rFonts w:hint="eastAsia" w:ascii="Times New Roman" w:hAnsi="Times New Roman" w:eastAsia="仿宋_GB2312"/>
          <w:sz w:val="32"/>
          <w:szCs w:val="32"/>
          <w:lang w:val="en-US" w:eastAsia="zh-CN"/>
        </w:rPr>
        <w:t>773.15</w:t>
      </w:r>
      <w:r>
        <w:rPr>
          <w:rFonts w:hint="eastAsia" w:ascii="Times New Roman" w:hAnsi="Times New Roman" w:eastAsia="仿宋_GB2312"/>
          <w:sz w:val="32"/>
          <w:szCs w:val="32"/>
        </w:rPr>
        <w:t>万元，其中：财政拨款收入</w:t>
      </w:r>
      <w:r>
        <w:rPr>
          <w:rFonts w:hint="eastAsia" w:ascii="Times New Roman" w:hAnsi="Times New Roman" w:eastAsia="仿宋_GB2312"/>
          <w:sz w:val="32"/>
          <w:szCs w:val="32"/>
          <w:lang w:val="en-US" w:eastAsia="zh-CN"/>
        </w:rPr>
        <w:t>773.12</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%；上级补助收入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%；事业收入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%；经营收入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%；附属单位上缴收入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%；其他收入</w:t>
      </w:r>
      <w:r>
        <w:rPr>
          <w:rFonts w:hint="eastAsia" w:ascii="Times New Roman" w:hAnsi="Times New Roman" w:eastAsia="仿宋_GB2312"/>
          <w:sz w:val="32"/>
          <w:szCs w:val="32"/>
          <w:lang w:val="en-US" w:eastAsia="zh-CN"/>
        </w:rPr>
        <w:t>0.03</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年度支出合计</w:t>
      </w:r>
      <w:r>
        <w:rPr>
          <w:rFonts w:hint="eastAsia" w:ascii="Times New Roman" w:hAnsi="Times New Roman" w:eastAsia="仿宋_GB2312"/>
          <w:sz w:val="32"/>
          <w:szCs w:val="32"/>
          <w:lang w:val="en-US" w:eastAsia="zh-CN"/>
        </w:rPr>
        <w:t>789.01</w:t>
      </w:r>
      <w:r>
        <w:rPr>
          <w:rFonts w:hint="eastAsia" w:ascii="Times New Roman" w:hAnsi="Times New Roman" w:eastAsia="仿宋_GB2312"/>
          <w:sz w:val="32"/>
          <w:szCs w:val="32"/>
        </w:rPr>
        <w:t>万元，其中：基本支出</w:t>
      </w:r>
      <w:r>
        <w:rPr>
          <w:rFonts w:hint="eastAsia" w:ascii="Times New Roman" w:hAnsi="Times New Roman" w:eastAsia="仿宋_GB2312"/>
          <w:sz w:val="32"/>
          <w:szCs w:val="32"/>
          <w:lang w:val="en-US" w:eastAsia="zh-CN"/>
        </w:rPr>
        <w:t>688.37</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87.24</w:t>
      </w:r>
      <w:r>
        <w:rPr>
          <w:rFonts w:hint="eastAsia" w:ascii="Times New Roman" w:hAnsi="Times New Roman" w:eastAsia="仿宋_GB2312"/>
          <w:sz w:val="32"/>
          <w:szCs w:val="32"/>
        </w:rPr>
        <w:t>%；项目支出</w:t>
      </w:r>
      <w:r>
        <w:rPr>
          <w:rFonts w:hint="eastAsia" w:ascii="Times New Roman" w:hAnsi="Times New Roman" w:eastAsia="仿宋_GB2312"/>
          <w:sz w:val="32"/>
          <w:szCs w:val="32"/>
          <w:lang w:val="en-US" w:eastAsia="zh-CN"/>
        </w:rPr>
        <w:t>100.64</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12.76</w:t>
      </w:r>
      <w:r>
        <w:rPr>
          <w:rFonts w:hint="eastAsia" w:ascii="Times New Roman" w:hAnsi="Times New Roman" w:eastAsia="仿宋_GB2312"/>
          <w:sz w:val="32"/>
          <w:szCs w:val="32"/>
        </w:rPr>
        <w:t>%；上缴上级支出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%；经营支出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%；对附属单位补助支出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pPr>
        <w:pStyle w:val="14"/>
        <w:keepNext w:val="0"/>
        <w:keepLines w:val="0"/>
        <w:pageBreakBefore w:val="0"/>
        <w:widowControl w:val="0"/>
        <w:kinsoku/>
        <w:wordWrap/>
        <w:overflowPunct/>
        <w:topLinePunct w:val="0"/>
        <w:bidi w:val="0"/>
        <w:snapToGrid/>
        <w:spacing w:line="600" w:lineRule="exact"/>
        <w:textAlignment w:val="auto"/>
        <w:rPr>
          <w:rFonts w:hint="default" w:ascii="Times New Roman" w:hAnsi="Times New Roman" w:eastAsia="仿宋_GB2312"/>
          <w:sz w:val="32"/>
          <w:szCs w:val="32"/>
          <w:highlight w:val="red"/>
          <w:lang w:val="en-US" w:eastAsia="zh-CN"/>
        </w:rPr>
      </w:pPr>
      <w:r>
        <w:rPr>
          <w:rFonts w:hint="eastAsia" w:ascii="Times New Roman" w:hAnsi="Times New Roman" w:eastAsia="仿宋_GB2312"/>
          <w:sz w:val="32"/>
          <w:szCs w:val="32"/>
        </w:rPr>
        <w:t xml:space="preserve">    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年度财政拨款收、支总计</w:t>
      </w:r>
      <w:r>
        <w:rPr>
          <w:rFonts w:hint="eastAsia" w:ascii="Times New Roman" w:hAnsi="Times New Roman" w:eastAsia="仿宋_GB2312"/>
          <w:sz w:val="32"/>
          <w:szCs w:val="32"/>
          <w:lang w:val="en-US" w:eastAsia="zh-CN"/>
        </w:rPr>
        <w:t>821.23</w:t>
      </w:r>
      <w:r>
        <w:rPr>
          <w:rFonts w:hint="eastAsia" w:ascii="Times New Roman" w:hAnsi="Times New Roman" w:eastAsia="仿宋_GB2312"/>
          <w:sz w:val="32"/>
          <w:szCs w:val="32"/>
        </w:rPr>
        <w:t>万元，与上年相比，减少</w:t>
      </w:r>
      <w:r>
        <w:rPr>
          <w:rFonts w:hint="eastAsia" w:ascii="Times New Roman" w:hAnsi="Times New Roman" w:eastAsia="仿宋_GB2312"/>
          <w:sz w:val="32"/>
          <w:szCs w:val="32"/>
          <w:lang w:val="en-US" w:eastAsia="zh-CN"/>
        </w:rPr>
        <w:t>229.70万</w:t>
      </w:r>
      <w:r>
        <w:rPr>
          <w:rFonts w:hint="eastAsia" w:ascii="Times New Roman" w:hAnsi="Times New Roman" w:eastAsia="仿宋_GB2312"/>
          <w:sz w:val="32"/>
          <w:szCs w:val="32"/>
        </w:rPr>
        <w:t>万元,减少</w:t>
      </w:r>
      <w:r>
        <w:rPr>
          <w:rFonts w:hint="eastAsia" w:ascii="Times New Roman" w:hAnsi="Times New Roman" w:eastAsia="仿宋_GB2312"/>
          <w:sz w:val="32"/>
          <w:szCs w:val="32"/>
          <w:lang w:val="en-US" w:eastAsia="zh-CN"/>
        </w:rPr>
        <w:t>21.86</w:t>
      </w:r>
      <w:r>
        <w:rPr>
          <w:rFonts w:hint="eastAsia" w:ascii="Times New Roman" w:hAnsi="Times New Roman" w:eastAsia="仿宋_GB2312"/>
          <w:sz w:val="32"/>
          <w:szCs w:val="32"/>
        </w:rPr>
        <w:t>%，主要是因为</w:t>
      </w:r>
      <w:r>
        <w:rPr>
          <w:rFonts w:hint="eastAsia" w:ascii="Times New Roman" w:hAnsi="Times New Roman" w:eastAsia="仿宋_GB2312"/>
          <w:sz w:val="32"/>
          <w:szCs w:val="32"/>
          <w:lang w:val="en-US" w:eastAsia="zh-CN"/>
        </w:rPr>
        <w:t>人员经费减少。</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（一）一般公共预算财政拨款支出决算总体情况</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highlight w:val="red"/>
          <w:lang w:val="en-US"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w:t>
      </w:r>
      <w:r>
        <w:rPr>
          <w:rFonts w:hint="eastAsia" w:ascii="Times New Roman" w:hAnsi="Times New Roman" w:eastAsia="仿宋_GB2312"/>
          <w:sz w:val="32"/>
          <w:szCs w:val="32"/>
          <w:lang w:val="en-US" w:eastAsia="zh-CN"/>
        </w:rPr>
        <w:t>788.77</w:t>
      </w:r>
      <w:r>
        <w:rPr>
          <w:rFonts w:hint="eastAsia" w:ascii="Times New Roman" w:hAnsi="Times New Roman" w:eastAsia="仿宋_GB2312"/>
          <w:sz w:val="32"/>
          <w:szCs w:val="32"/>
        </w:rPr>
        <w:t>万元，占本年支出合计的</w:t>
      </w:r>
      <w:r>
        <w:rPr>
          <w:rFonts w:hint="eastAsia" w:ascii="Times New Roman" w:hAnsi="Times New Roman" w:eastAsia="仿宋_GB2312"/>
          <w:sz w:val="32"/>
          <w:szCs w:val="32"/>
          <w:lang w:val="en-US" w:eastAsia="zh-CN"/>
        </w:rPr>
        <w:t>99.97</w:t>
      </w:r>
      <w:r>
        <w:rPr>
          <w:rFonts w:hint="eastAsia" w:ascii="Times New Roman" w:hAnsi="Times New Roman" w:eastAsia="仿宋_GB2312"/>
          <w:sz w:val="32"/>
          <w:szCs w:val="32"/>
        </w:rPr>
        <w:t>%，与上年相比，财政拨款支出减少</w:t>
      </w:r>
      <w:r>
        <w:rPr>
          <w:rFonts w:hint="eastAsia" w:ascii="Times New Roman" w:hAnsi="Times New Roman" w:eastAsia="仿宋_GB2312"/>
          <w:sz w:val="32"/>
          <w:szCs w:val="32"/>
          <w:lang w:val="en-US" w:eastAsia="zh-CN"/>
        </w:rPr>
        <w:t>188.92</w:t>
      </w:r>
      <w:r>
        <w:rPr>
          <w:rFonts w:hint="eastAsia" w:ascii="Times New Roman" w:hAnsi="Times New Roman" w:eastAsia="仿宋_GB2312"/>
          <w:sz w:val="32"/>
          <w:szCs w:val="32"/>
        </w:rPr>
        <w:t>万元，减少</w:t>
      </w:r>
      <w:r>
        <w:rPr>
          <w:rFonts w:hint="eastAsia" w:ascii="Times New Roman" w:hAnsi="Times New Roman" w:eastAsia="仿宋_GB2312"/>
          <w:sz w:val="32"/>
          <w:szCs w:val="32"/>
          <w:lang w:val="en-US" w:eastAsia="zh-CN"/>
        </w:rPr>
        <w:t>19.32</w:t>
      </w:r>
      <w:r>
        <w:rPr>
          <w:rFonts w:hint="eastAsia" w:ascii="Times New Roman" w:hAnsi="Times New Roman" w:eastAsia="仿宋_GB2312"/>
          <w:sz w:val="32"/>
          <w:szCs w:val="32"/>
        </w:rPr>
        <w:t>%，主要是</w:t>
      </w:r>
      <w:r>
        <w:rPr>
          <w:rFonts w:hint="eastAsia" w:ascii="Times New Roman" w:hAnsi="Times New Roman" w:eastAsia="仿宋_GB2312"/>
          <w:sz w:val="32"/>
          <w:szCs w:val="32"/>
          <w:lang w:val="en-US" w:eastAsia="zh-CN"/>
        </w:rPr>
        <w:t>因为人员经费减少。</w:t>
      </w:r>
    </w:p>
    <w:p>
      <w:pPr>
        <w:pStyle w:val="14"/>
        <w:keepNext w:val="0"/>
        <w:keepLines w:val="0"/>
        <w:pageBreakBefore w:val="0"/>
        <w:widowControl w:val="0"/>
        <w:kinsoku/>
        <w:wordWrap/>
        <w:overflowPunct/>
        <w:topLinePunct w:val="0"/>
        <w:bidi w:val="0"/>
        <w:snapToGrid/>
        <w:spacing w:line="600" w:lineRule="exact"/>
        <w:ind w:firstLine="480" w:firstLineChars="15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（二）一般公共预算财政拨款支出决算结构情况</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w:t>
      </w:r>
      <w:r>
        <w:rPr>
          <w:rFonts w:hint="eastAsia" w:ascii="Times New Roman" w:hAnsi="Times New Roman" w:eastAsia="仿宋_GB2312"/>
          <w:sz w:val="32"/>
          <w:szCs w:val="32"/>
          <w:lang w:val="en-US" w:eastAsia="zh-CN"/>
        </w:rPr>
        <w:t>788.77</w:t>
      </w:r>
      <w:r>
        <w:rPr>
          <w:rFonts w:hint="eastAsia" w:ascii="Times New Roman" w:hAnsi="Times New Roman" w:eastAsia="仿宋_GB2312"/>
          <w:sz w:val="32"/>
          <w:szCs w:val="32"/>
        </w:rPr>
        <w:t>万元，主要用于以下方面：一般公共服务（类）支出</w:t>
      </w:r>
      <w:r>
        <w:rPr>
          <w:rFonts w:hint="eastAsia" w:ascii="Times New Roman" w:hAnsi="Times New Roman" w:eastAsia="仿宋_GB2312"/>
          <w:sz w:val="32"/>
          <w:szCs w:val="32"/>
          <w:lang w:val="en-US" w:eastAsia="zh-CN"/>
        </w:rPr>
        <w:t>59.59</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7.55</w:t>
      </w:r>
      <w:r>
        <w:rPr>
          <w:rFonts w:hint="eastAsia" w:ascii="Times New Roman" w:hAnsi="Times New Roman" w:eastAsia="仿宋_GB2312"/>
          <w:sz w:val="32"/>
          <w:szCs w:val="32"/>
        </w:rPr>
        <w:t>%；社会保障和就业（类）支出</w:t>
      </w:r>
      <w:r>
        <w:rPr>
          <w:rFonts w:hint="eastAsia" w:ascii="Times New Roman" w:hAnsi="Times New Roman" w:eastAsia="仿宋_GB2312"/>
          <w:sz w:val="32"/>
          <w:szCs w:val="32"/>
          <w:lang w:val="en-US" w:eastAsia="zh-CN"/>
        </w:rPr>
        <w:t>154.98</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19.65</w:t>
      </w:r>
      <w:r>
        <w:rPr>
          <w:rFonts w:hint="eastAsia" w:ascii="Times New Roman" w:hAnsi="Times New Roman" w:eastAsia="仿宋_GB2312"/>
          <w:sz w:val="32"/>
          <w:szCs w:val="32"/>
        </w:rPr>
        <w:t>%;农林水</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类）支出</w:t>
      </w:r>
      <w:r>
        <w:rPr>
          <w:rFonts w:hint="eastAsia" w:ascii="Times New Roman" w:hAnsi="Times New Roman" w:eastAsia="仿宋_GB2312"/>
          <w:sz w:val="32"/>
          <w:szCs w:val="32"/>
          <w:lang w:val="en-US" w:eastAsia="zh-CN"/>
        </w:rPr>
        <w:t>574.20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72.80</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（三）一般公共预算财政拨款支出决算具体情况</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年度财政拨款支出年初预算数为</w:t>
      </w:r>
      <w:r>
        <w:rPr>
          <w:rFonts w:hint="eastAsia" w:ascii="Times New Roman" w:hAnsi="Times New Roman" w:eastAsia="仿宋_GB2312"/>
          <w:sz w:val="32"/>
          <w:szCs w:val="32"/>
          <w:lang w:val="en-US" w:eastAsia="zh-CN"/>
        </w:rPr>
        <w:t>684.66</w:t>
      </w:r>
      <w:r>
        <w:rPr>
          <w:rFonts w:hint="eastAsia" w:ascii="Times New Roman" w:hAnsi="Times New Roman" w:eastAsia="仿宋_GB2312"/>
          <w:sz w:val="32"/>
          <w:szCs w:val="32"/>
        </w:rPr>
        <w:t>万元，支出决算数为</w:t>
      </w:r>
      <w:r>
        <w:rPr>
          <w:rFonts w:hint="eastAsia" w:ascii="Times New Roman" w:hAnsi="Times New Roman" w:eastAsia="仿宋_GB2312"/>
          <w:sz w:val="32"/>
          <w:szCs w:val="32"/>
          <w:lang w:val="en-US" w:eastAsia="zh-CN"/>
        </w:rPr>
        <w:t>788.77</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%，其中：</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1、一般公共服务（类）</w:t>
      </w:r>
      <w:r>
        <w:rPr>
          <w:rFonts w:hint="eastAsia" w:ascii="Times New Roman" w:hAnsi="Times New Roman" w:eastAsia="仿宋_GB2312"/>
          <w:sz w:val="32"/>
          <w:szCs w:val="32"/>
          <w:lang w:val="en-US" w:eastAsia="zh-CN"/>
        </w:rPr>
        <w:t>财政事务</w:t>
      </w:r>
      <w:r>
        <w:rPr>
          <w:rFonts w:hint="eastAsia" w:ascii="Times New Roman" w:hAnsi="Times New Roman" w:eastAsia="仿宋_GB2312"/>
          <w:sz w:val="32"/>
          <w:szCs w:val="32"/>
        </w:rPr>
        <w:t>（款）</w:t>
      </w:r>
      <w:r>
        <w:rPr>
          <w:rFonts w:hint="eastAsia" w:ascii="Times New Roman" w:hAnsi="Times New Roman" w:eastAsia="仿宋_GB2312"/>
          <w:sz w:val="32"/>
          <w:szCs w:val="32"/>
          <w:lang w:val="en-US" w:eastAsia="zh-CN"/>
        </w:rPr>
        <w:t>其他财政事务支出</w:t>
      </w:r>
      <w:r>
        <w:rPr>
          <w:rFonts w:hint="eastAsia" w:ascii="Times New Roman" w:hAnsi="Times New Roman" w:eastAsia="仿宋_GB2312"/>
          <w:sz w:val="32"/>
          <w:szCs w:val="32"/>
        </w:rPr>
        <w:t>（项）。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30.00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59.59</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%，决算数大于年初预算数的主要原因是：</w:t>
      </w:r>
      <w:r>
        <w:rPr>
          <w:rFonts w:hint="eastAsia" w:ascii="Times New Roman" w:hAnsi="Times New Roman" w:eastAsia="仿宋_GB2312"/>
          <w:sz w:val="32"/>
          <w:szCs w:val="32"/>
          <w:lang w:val="en-US" w:eastAsia="zh-CN"/>
        </w:rPr>
        <w:t>国外贷款项目配套资金年中有追加。</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2、社会保障和就业</w:t>
      </w:r>
      <w:r>
        <w:rPr>
          <w:rFonts w:hint="eastAsia" w:ascii="Times New Roman" w:hAnsi="Times New Roman" w:eastAsia="仿宋_GB2312"/>
          <w:sz w:val="32"/>
          <w:szCs w:val="32"/>
        </w:rPr>
        <w:t>（类）行政事业单位养老支出（款）机关事业单位基本养老保险缴费支出（项）。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highlight w:val="red"/>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76.50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92.69</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%，决算数</w:t>
      </w:r>
      <w:r>
        <w:rPr>
          <w:rFonts w:hint="eastAsia" w:ascii="Times New Roman" w:hAnsi="Times New Roman" w:eastAsia="仿宋_GB2312"/>
          <w:sz w:val="32"/>
          <w:szCs w:val="32"/>
          <w:lang w:val="en-US" w:eastAsia="zh-CN"/>
        </w:rPr>
        <w:t>大</w:t>
      </w:r>
      <w:r>
        <w:rPr>
          <w:rFonts w:hint="eastAsia" w:ascii="Times New Roman" w:hAnsi="Times New Roman" w:eastAsia="仿宋_GB2312"/>
          <w:sz w:val="32"/>
          <w:szCs w:val="32"/>
        </w:rPr>
        <w:t>于年初预算数的主要原因是：</w:t>
      </w:r>
      <w:r>
        <w:rPr>
          <w:rFonts w:hint="eastAsia" w:ascii="Times New Roman" w:hAnsi="Times New Roman" w:eastAsia="仿宋_GB2312"/>
          <w:sz w:val="32"/>
          <w:szCs w:val="32"/>
          <w:lang w:val="en-US" w:eastAsia="zh-CN"/>
        </w:rPr>
        <w:t>根据《中华人民共和国保险法》和《社会保险费申报缴纳管理规定》以及相关文件的规定，2023年度本单位社会保险缴费基数有大幅提升，年中进行了指标调剂。</w:t>
      </w:r>
    </w:p>
    <w:p>
      <w:pPr>
        <w:pStyle w:val="14"/>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lang w:val="en-US" w:eastAsia="zh-CN"/>
        </w:rPr>
        <w:t>3、社会</w:t>
      </w:r>
      <w:r>
        <w:rPr>
          <w:rFonts w:hint="eastAsia" w:ascii="Times New Roman" w:hAnsi="Times New Roman" w:eastAsia="仿宋_GB2312"/>
          <w:sz w:val="32"/>
          <w:szCs w:val="32"/>
        </w:rPr>
        <w:t>保障和就业（类）其他社会保障和就业支出（款）其他社会保障和就业支出（项）。</w:t>
      </w:r>
    </w:p>
    <w:p>
      <w:pPr>
        <w:pStyle w:val="14"/>
        <w:spacing w:line="600" w:lineRule="exact"/>
        <w:ind w:firstLine="800" w:firstLineChars="25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0.04</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%，决算数</w:t>
      </w:r>
      <w:r>
        <w:rPr>
          <w:rFonts w:hint="eastAsia" w:ascii="Times New Roman" w:hAnsi="Times New Roman" w:eastAsia="仿宋_GB2312"/>
          <w:sz w:val="32"/>
          <w:szCs w:val="32"/>
          <w:lang w:val="en-US" w:eastAsia="zh-CN"/>
        </w:rPr>
        <w:t>小</w:t>
      </w:r>
      <w:r>
        <w:rPr>
          <w:rFonts w:hint="eastAsia" w:ascii="Times New Roman" w:hAnsi="Times New Roman" w:eastAsia="仿宋_GB2312"/>
          <w:sz w:val="32"/>
          <w:szCs w:val="32"/>
        </w:rPr>
        <w:t>年初预算数的主要原因是：</w:t>
      </w:r>
      <w:r>
        <w:rPr>
          <w:rFonts w:hint="eastAsia" w:ascii="Times New Roman" w:hAnsi="Times New Roman" w:eastAsia="仿宋_GB2312"/>
          <w:sz w:val="32"/>
          <w:szCs w:val="32"/>
          <w:lang w:val="en-US" w:eastAsia="zh-CN"/>
        </w:rPr>
        <w:t>补贴的退休老干部已逝世。</w:t>
      </w:r>
    </w:p>
    <w:p>
      <w:pPr>
        <w:pStyle w:val="14"/>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lang w:val="en-US" w:eastAsia="zh-CN"/>
        </w:rPr>
        <w:t>4、社会</w:t>
      </w:r>
      <w:r>
        <w:rPr>
          <w:rFonts w:hint="eastAsia" w:ascii="Times New Roman" w:hAnsi="Times New Roman" w:eastAsia="仿宋_GB2312"/>
          <w:sz w:val="32"/>
          <w:szCs w:val="32"/>
        </w:rPr>
        <w:t>保障和就业（类）其他社会保障和就业支出（款）其他</w:t>
      </w:r>
      <w:r>
        <w:rPr>
          <w:rFonts w:hint="eastAsia" w:ascii="Times New Roman" w:hAnsi="Times New Roman" w:eastAsia="仿宋_GB2312"/>
          <w:sz w:val="32"/>
          <w:szCs w:val="32"/>
          <w:lang w:val="en-US" w:eastAsia="zh-CN"/>
        </w:rPr>
        <w:t>卫生健康</w:t>
      </w:r>
      <w:r>
        <w:rPr>
          <w:rFonts w:hint="eastAsia" w:ascii="Times New Roman" w:hAnsi="Times New Roman" w:eastAsia="仿宋_GB2312"/>
          <w:sz w:val="32"/>
          <w:szCs w:val="32"/>
        </w:rPr>
        <w:t>支出（项）。</w:t>
      </w:r>
    </w:p>
    <w:p>
      <w:pPr>
        <w:pStyle w:val="14"/>
        <w:spacing w:line="600" w:lineRule="exact"/>
        <w:ind w:firstLine="800" w:firstLineChars="25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0.40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%，决算数</w:t>
      </w:r>
      <w:r>
        <w:rPr>
          <w:rFonts w:hint="eastAsia" w:ascii="Times New Roman" w:hAnsi="Times New Roman" w:eastAsia="仿宋_GB2312"/>
          <w:sz w:val="32"/>
          <w:szCs w:val="32"/>
          <w:lang w:val="en-US" w:eastAsia="zh-CN"/>
        </w:rPr>
        <w:t>小</w:t>
      </w:r>
      <w:r>
        <w:rPr>
          <w:rFonts w:hint="eastAsia" w:ascii="Times New Roman" w:hAnsi="Times New Roman" w:eastAsia="仿宋_GB2312"/>
          <w:sz w:val="32"/>
          <w:szCs w:val="32"/>
        </w:rPr>
        <w:t>年初预算数的主要原因是：</w:t>
      </w:r>
      <w:r>
        <w:rPr>
          <w:rFonts w:hint="eastAsia" w:ascii="Times New Roman" w:hAnsi="Times New Roman" w:eastAsia="仿宋_GB2312"/>
          <w:sz w:val="32"/>
          <w:szCs w:val="32"/>
          <w:lang w:val="en-US" w:eastAsia="zh-CN"/>
        </w:rPr>
        <w:t>补贴的退休老干部已逝世。</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5、社会保障和就业</w:t>
      </w:r>
      <w:r>
        <w:rPr>
          <w:rFonts w:hint="eastAsia" w:ascii="Times New Roman" w:hAnsi="Times New Roman" w:eastAsia="仿宋_GB2312"/>
          <w:sz w:val="32"/>
          <w:szCs w:val="32"/>
        </w:rPr>
        <w:t>（类）抚恤（款）死亡抚恤（项）。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62.29</w:t>
      </w:r>
      <w:r>
        <w:rPr>
          <w:rFonts w:hint="eastAsia" w:ascii="Times New Roman" w:hAnsi="Times New Roman" w:eastAsia="仿宋_GB2312"/>
          <w:sz w:val="32"/>
          <w:szCs w:val="32"/>
        </w:rPr>
        <w:t>万元，决算数大于年初预算数的主要原因是：</w:t>
      </w:r>
      <w:r>
        <w:rPr>
          <w:rFonts w:hint="eastAsia" w:ascii="Times New Roman" w:hAnsi="Times New Roman" w:eastAsia="仿宋_GB2312"/>
          <w:sz w:val="32"/>
          <w:szCs w:val="32"/>
          <w:lang w:val="en-US" w:eastAsia="zh-CN"/>
        </w:rPr>
        <w:t>资金来源于年中追加。</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6、农林水</w:t>
      </w:r>
      <w:r>
        <w:rPr>
          <w:rFonts w:hint="eastAsia" w:ascii="Times New Roman" w:hAnsi="Times New Roman" w:eastAsia="仿宋_GB2312"/>
          <w:sz w:val="32"/>
          <w:szCs w:val="32"/>
        </w:rPr>
        <w:t>（类）农业农村（款）行政运行（项）。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540.32</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533.15</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98.67</w:t>
      </w:r>
      <w:r>
        <w:rPr>
          <w:rFonts w:hint="eastAsia" w:ascii="Times New Roman" w:hAnsi="Times New Roman" w:eastAsia="仿宋_GB2312"/>
          <w:sz w:val="32"/>
          <w:szCs w:val="32"/>
        </w:rPr>
        <w:t>%，决算数</w:t>
      </w:r>
      <w:r>
        <w:rPr>
          <w:rFonts w:hint="eastAsia" w:ascii="Times New Roman" w:hAnsi="Times New Roman" w:eastAsia="仿宋_GB2312"/>
          <w:sz w:val="32"/>
          <w:szCs w:val="32"/>
          <w:lang w:val="en-US" w:eastAsia="zh-CN"/>
        </w:rPr>
        <w:t>小</w:t>
      </w:r>
      <w:r>
        <w:rPr>
          <w:rFonts w:hint="eastAsia" w:ascii="Times New Roman" w:hAnsi="Times New Roman" w:eastAsia="仿宋_GB2312"/>
          <w:sz w:val="32"/>
          <w:szCs w:val="32"/>
        </w:rPr>
        <w:t>于年初预算数的主要原因是：</w:t>
      </w:r>
      <w:r>
        <w:rPr>
          <w:rFonts w:hint="eastAsia" w:ascii="Times New Roman" w:hAnsi="Times New Roman" w:eastAsia="仿宋_GB2312"/>
          <w:sz w:val="32"/>
          <w:szCs w:val="32"/>
          <w:lang w:val="en-US" w:eastAsia="zh-CN"/>
        </w:rPr>
        <w:t>本年度未发放第十三个月工资。</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7、农林水</w:t>
      </w:r>
      <w:r>
        <w:rPr>
          <w:rFonts w:hint="eastAsia" w:ascii="Times New Roman" w:hAnsi="Times New Roman" w:eastAsia="仿宋_GB2312"/>
          <w:sz w:val="32"/>
          <w:szCs w:val="32"/>
        </w:rPr>
        <w:t>（类）农业农村（款）农垦运行（项）。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14.30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23.71</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%，决算数</w:t>
      </w:r>
      <w:r>
        <w:rPr>
          <w:rFonts w:hint="eastAsia" w:ascii="Times New Roman" w:hAnsi="Times New Roman" w:eastAsia="仿宋_GB2312"/>
          <w:sz w:val="32"/>
          <w:szCs w:val="32"/>
          <w:lang w:val="en-US" w:eastAsia="zh-CN"/>
        </w:rPr>
        <w:t>大</w:t>
      </w:r>
      <w:r>
        <w:rPr>
          <w:rFonts w:hint="eastAsia" w:ascii="Times New Roman" w:hAnsi="Times New Roman" w:eastAsia="仿宋_GB2312"/>
          <w:sz w:val="32"/>
          <w:szCs w:val="32"/>
        </w:rPr>
        <w:t>于年初预算数的主要原因是：</w:t>
      </w:r>
      <w:r>
        <w:rPr>
          <w:rFonts w:hint="eastAsia" w:ascii="Times New Roman" w:hAnsi="Times New Roman" w:eastAsia="仿宋_GB2312"/>
          <w:sz w:val="32"/>
          <w:szCs w:val="32"/>
          <w:lang w:val="en-US" w:eastAsia="zh-CN"/>
        </w:rPr>
        <w:t>资金来源于年中追加。</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8、农林水</w:t>
      </w:r>
      <w:r>
        <w:rPr>
          <w:rFonts w:hint="eastAsia" w:ascii="Times New Roman" w:hAnsi="Times New Roman" w:eastAsia="仿宋_GB2312"/>
          <w:sz w:val="32"/>
          <w:szCs w:val="32"/>
        </w:rPr>
        <w:t>（类）农业农村（款）农业生产发展（项）。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23.10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17.34</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75.06</w:t>
      </w:r>
      <w:r>
        <w:rPr>
          <w:rFonts w:hint="eastAsia" w:ascii="Times New Roman" w:hAnsi="Times New Roman" w:eastAsia="仿宋_GB2312"/>
          <w:sz w:val="32"/>
          <w:szCs w:val="32"/>
        </w:rPr>
        <w:t>%，决算数小于年初预算数的主要原因是：</w:t>
      </w:r>
      <w:r>
        <w:rPr>
          <w:rFonts w:hint="eastAsia" w:ascii="Times New Roman" w:hAnsi="Times New Roman" w:eastAsia="仿宋_GB2312"/>
          <w:sz w:val="32"/>
          <w:szCs w:val="32"/>
          <w:lang w:val="en-US" w:eastAsia="zh-CN"/>
        </w:rPr>
        <w:t>欠发达国有农场巩固提升项目有结余。</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年度财政拨款基本支出</w:t>
      </w:r>
      <w:r>
        <w:rPr>
          <w:rFonts w:hint="eastAsia" w:ascii="Times New Roman" w:hAnsi="Times New Roman" w:eastAsia="仿宋_GB2312"/>
          <w:sz w:val="32"/>
          <w:szCs w:val="32"/>
          <w:lang w:val="en-US" w:eastAsia="zh-CN"/>
        </w:rPr>
        <w:t>688.13</w:t>
      </w:r>
      <w:r>
        <w:rPr>
          <w:rFonts w:hint="eastAsia" w:ascii="Times New Roman" w:hAnsi="Times New Roman" w:eastAsia="仿宋_GB2312"/>
          <w:sz w:val="32"/>
          <w:szCs w:val="32"/>
        </w:rPr>
        <w:t>万元，其中：</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b w:val="0"/>
          <w:bCs w:val="0"/>
          <w:sz w:val="32"/>
          <w:szCs w:val="32"/>
        </w:rPr>
        <w:t>人员经费</w:t>
      </w:r>
      <w:r>
        <w:rPr>
          <w:rFonts w:hint="eastAsia" w:ascii="Times New Roman" w:hAnsi="Times New Roman" w:eastAsia="仿宋_GB2312"/>
          <w:b w:val="0"/>
          <w:bCs w:val="0"/>
          <w:sz w:val="32"/>
          <w:szCs w:val="32"/>
          <w:lang w:val="en-US" w:eastAsia="zh-CN"/>
        </w:rPr>
        <w:t>610.01</w:t>
      </w:r>
      <w:r>
        <w:rPr>
          <w:rFonts w:hint="eastAsia" w:ascii="Times New Roman" w:hAnsi="Times New Roman" w:eastAsia="仿宋_GB2312"/>
          <w:b w:val="0"/>
          <w:bCs w:val="0"/>
          <w:sz w:val="32"/>
          <w:szCs w:val="32"/>
        </w:rPr>
        <w:t>万</w:t>
      </w:r>
      <w:r>
        <w:rPr>
          <w:rFonts w:hint="eastAsia" w:ascii="Times New Roman" w:hAnsi="Times New Roman" w:eastAsia="仿宋_GB2312"/>
          <w:sz w:val="32"/>
          <w:szCs w:val="32"/>
        </w:rPr>
        <w:t>元，占基本支出的</w:t>
      </w:r>
      <w:r>
        <w:rPr>
          <w:rFonts w:hint="eastAsia" w:ascii="Times New Roman" w:hAnsi="Times New Roman" w:eastAsia="仿宋_GB2312"/>
          <w:sz w:val="32"/>
          <w:szCs w:val="32"/>
          <w:lang w:val="en-US" w:eastAsia="zh-CN"/>
        </w:rPr>
        <w:t>88.65</w:t>
      </w:r>
      <w:r>
        <w:rPr>
          <w:rFonts w:hint="eastAsia" w:ascii="Times New Roman" w:hAnsi="Times New Roman" w:eastAsia="仿宋_GB2312"/>
          <w:sz w:val="32"/>
          <w:szCs w:val="32"/>
        </w:rPr>
        <w:t>%,主要包括基本工资、津贴补贴、奖金、伙食补助费</w:t>
      </w:r>
      <w:r>
        <w:rPr>
          <w:rFonts w:hint="eastAsia" w:ascii="Times New Roman" w:hAnsi="Times New Roman" w:eastAsia="仿宋_GB2312"/>
          <w:sz w:val="32"/>
          <w:szCs w:val="32"/>
          <w:lang w:eastAsia="zh-CN"/>
        </w:rPr>
        <w:t>、绩效工资、机关事业单位基本养老保险缴费、职工基本医疗保险缴费、公务员医疗补助缴费、住房公积金、退休费、抚恤金、奖励金、</w:t>
      </w:r>
      <w:r>
        <w:rPr>
          <w:rFonts w:hint="eastAsia" w:ascii="Times New Roman" w:hAnsi="Times New Roman" w:eastAsia="仿宋_GB2312"/>
          <w:sz w:val="32"/>
          <w:szCs w:val="32"/>
          <w:lang w:val="en-US" w:eastAsia="zh-CN"/>
        </w:rPr>
        <w:t>其他对个人和家庭的补助等</w:t>
      </w:r>
      <w:r>
        <w:rPr>
          <w:rFonts w:hint="eastAsia" w:ascii="Times New Roman" w:hAnsi="Times New Roman" w:eastAsia="仿宋_GB2312"/>
          <w:sz w:val="32"/>
          <w:szCs w:val="32"/>
          <w:lang w:eastAsia="zh-CN"/>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Times New Roman" w:hAnsi="Times New Roman" w:eastAsia="仿宋_GB2312"/>
          <w:b/>
          <w:sz w:val="32"/>
          <w:szCs w:val="32"/>
          <w:lang w:val="en-US" w:eastAsia="zh-CN"/>
        </w:rPr>
      </w:pPr>
      <w:r>
        <w:rPr>
          <w:rFonts w:hint="eastAsia" w:ascii="Times New Roman" w:hAnsi="Times New Roman" w:eastAsia="仿宋_GB2312"/>
          <w:b/>
          <w:bCs/>
          <w:sz w:val="32"/>
          <w:szCs w:val="32"/>
        </w:rPr>
        <w:t>公用经费</w:t>
      </w:r>
      <w:r>
        <w:rPr>
          <w:rFonts w:hint="eastAsia" w:ascii="Times New Roman" w:hAnsi="Times New Roman" w:eastAsia="仿宋_GB2312"/>
          <w:sz w:val="32"/>
          <w:szCs w:val="32"/>
          <w:lang w:val="en-US" w:eastAsia="zh-CN"/>
        </w:rPr>
        <w:t>78.12</w:t>
      </w:r>
      <w:r>
        <w:rPr>
          <w:rFonts w:hint="eastAsia" w:ascii="Times New Roman" w:hAnsi="Times New Roman" w:eastAsia="仿宋_GB2312"/>
          <w:sz w:val="32"/>
          <w:szCs w:val="32"/>
        </w:rPr>
        <w:t>万元，占基本支出的</w:t>
      </w:r>
      <w:r>
        <w:rPr>
          <w:rFonts w:hint="eastAsia" w:ascii="Times New Roman" w:hAnsi="Times New Roman" w:eastAsia="仿宋_GB2312"/>
          <w:sz w:val="32"/>
          <w:szCs w:val="32"/>
          <w:lang w:val="en-US" w:eastAsia="zh-CN"/>
        </w:rPr>
        <w:t>11.35</w:t>
      </w:r>
      <w:r>
        <w:rPr>
          <w:rFonts w:hint="eastAsia" w:ascii="Times New Roman" w:hAnsi="Times New Roman" w:eastAsia="仿宋_GB2312"/>
          <w:sz w:val="32"/>
          <w:szCs w:val="32"/>
        </w:rPr>
        <w:t>%，主要包括办公费、印刷费、咨询费、</w:t>
      </w:r>
      <w:r>
        <w:rPr>
          <w:rFonts w:hint="eastAsia" w:ascii="Times New Roman" w:hAnsi="Times New Roman" w:eastAsia="仿宋_GB2312"/>
          <w:sz w:val="32"/>
          <w:szCs w:val="32"/>
          <w:lang w:val="en-US" w:eastAsia="zh-CN"/>
        </w:rPr>
        <w:t>水费、电费、邮电费、差旅费、维修（护）费、租赁费、公务接待费、劳务费、工会经费、福利费、其他交通费用、其他商品和服务支出。</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ascii="黑体" w:hAnsi="黑体" w:eastAsia="黑体" w:cs="黑体"/>
          <w:b w:val="0"/>
          <w:bCs/>
          <w:sz w:val="32"/>
          <w:szCs w:val="32"/>
        </w:rPr>
        <w:t>七、财政拨款三公经费支出决算情况说明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“三公”经费财政拨款支出预算为</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0.31</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31.00</w:t>
      </w:r>
      <w:r>
        <w:rPr>
          <w:rFonts w:hint="eastAsia" w:ascii="Times New Roman" w:hAnsi="Times New Roman" w:eastAsia="仿宋_GB2312"/>
          <w:sz w:val="32"/>
          <w:szCs w:val="32"/>
        </w:rPr>
        <w:t>%，决算数小于预算数的主要原因</w:t>
      </w:r>
      <w:r>
        <w:rPr>
          <w:rFonts w:hint="eastAsia" w:ascii="Times New Roman" w:hAnsi="Times New Roman" w:eastAsia="仿宋_GB2312"/>
          <w:sz w:val="32"/>
          <w:szCs w:val="32"/>
          <w:lang w:val="en-US" w:eastAsia="zh-CN"/>
        </w:rPr>
        <w:t>是将开支控制在预算范围内。与上年相比增加0.27万元，增长675%，</w:t>
      </w:r>
      <w:r>
        <w:rPr>
          <w:rFonts w:hint="eastAsia" w:ascii="Times New Roman" w:hAnsi="Times New Roman" w:eastAsia="仿宋_GB2312"/>
          <w:sz w:val="32"/>
          <w:szCs w:val="32"/>
        </w:rPr>
        <w:t>增长的主要原因是</w:t>
      </w:r>
      <w:r>
        <w:rPr>
          <w:rFonts w:hint="eastAsia" w:ascii="Times New Roman" w:hAnsi="Times New Roman" w:eastAsia="仿宋_GB2312"/>
          <w:sz w:val="32"/>
          <w:szCs w:val="32"/>
          <w:lang w:val="en-US" w:eastAsia="zh-CN"/>
        </w:rPr>
        <w:t>上年度因疫情原因，公务接待量减少，本年度公务接待正常开展。</w:t>
      </w:r>
      <w:r>
        <w:rPr>
          <w:rFonts w:hint="eastAsia" w:ascii="Times New Roman" w:hAnsi="Times New Roman" w:eastAsia="仿宋_GB2312"/>
          <w:sz w:val="32"/>
          <w:szCs w:val="32"/>
        </w:rPr>
        <w:t>其中：</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因公出国（境）费支出预算为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上年预算和和决算数为0万元。</w:t>
      </w:r>
    </w:p>
    <w:p>
      <w:pPr>
        <w:pStyle w:val="14"/>
        <w:keepNext w:val="0"/>
        <w:keepLines w:val="0"/>
        <w:pageBreakBefore w:val="0"/>
        <w:widowControl w:val="0"/>
        <w:kinsoku/>
        <w:wordWrap/>
        <w:overflowPunct/>
        <w:topLinePunct w:val="0"/>
        <w:bidi w:val="0"/>
        <w:snapToGrid/>
        <w:spacing w:line="600" w:lineRule="exac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 xml:space="preserve">    公务接持费支出预算为1万元，支出决算为0.31万元，完成预算的31%，</w:t>
      </w:r>
    </w:p>
    <w:p>
      <w:pPr>
        <w:pStyle w:val="14"/>
        <w:keepNext w:val="0"/>
        <w:keepLines w:val="0"/>
        <w:pageBreakBefore w:val="0"/>
        <w:widowControl w:val="0"/>
        <w:kinsoku/>
        <w:wordWrap/>
        <w:overflowPunct/>
        <w:topLinePunct w:val="0"/>
        <w:bidi w:val="0"/>
        <w:snapToGrid/>
        <w:spacing w:line="600" w:lineRule="exact"/>
        <w:textAlignment w:val="auto"/>
        <w:rPr>
          <w:rFonts w:hint="default" w:ascii="Times New Roman" w:hAnsi="Times New Roman" w:eastAsia="仿宋_GB2312"/>
          <w:sz w:val="32"/>
          <w:szCs w:val="32"/>
          <w:lang w:val="en-US"/>
        </w:rPr>
      </w:pPr>
      <w:r>
        <w:rPr>
          <w:rFonts w:hint="eastAsia" w:ascii="Times New Roman" w:hAnsi="Times New Roman" w:eastAsia="仿宋_GB2312"/>
          <w:sz w:val="32"/>
          <w:szCs w:val="32"/>
        </w:rPr>
        <w:t>决算数小于预算数的主要原因</w:t>
      </w:r>
      <w:r>
        <w:rPr>
          <w:rFonts w:hint="eastAsia" w:ascii="Times New Roman" w:hAnsi="Times New Roman" w:eastAsia="仿宋_GB2312"/>
          <w:sz w:val="32"/>
          <w:szCs w:val="32"/>
          <w:lang w:val="en-US" w:eastAsia="zh-CN"/>
        </w:rPr>
        <w:t>是将支出控制在预算范围内，上年相比增加0.27万元，增长675%，增长的主要原因是上年度因疫情原因公务接待量减少，本年度公务接持正常开展。</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公务用车购置费支出预算为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上年预算和和决算数为0万元。</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公务用车运行维护费支出预算为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上年预算和和决算数为0万元。</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年度“三公”经费财政拨款支出决算中，公务接待费支出决算</w:t>
      </w:r>
      <w:r>
        <w:rPr>
          <w:rFonts w:hint="eastAsia" w:ascii="Times New Roman" w:hAnsi="Times New Roman" w:eastAsia="仿宋_GB2312"/>
          <w:sz w:val="32"/>
          <w:szCs w:val="32"/>
          <w:lang w:val="en-US" w:eastAsia="zh-CN"/>
        </w:rPr>
        <w:t>0.31</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%,因公出国（境）费支出决算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%,公务用车购置费及运行维护费支出决算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%。其中：</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仿宋_GB2312" w:cs="楷体"/>
          <w:b/>
          <w:bCs/>
          <w:i/>
          <w:color w:val="auto"/>
          <w:sz w:val="32"/>
          <w:szCs w:val="32"/>
          <w:lang w:val="en-US" w:eastAsia="zh-CN"/>
        </w:rPr>
      </w:pP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因公出国（境）费支出决算为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2、公务接待费支出决算为</w:t>
      </w:r>
      <w:r>
        <w:rPr>
          <w:rFonts w:hint="eastAsia" w:ascii="Times New Roman" w:hAnsi="Times New Roman" w:eastAsia="仿宋_GB2312"/>
          <w:sz w:val="32"/>
          <w:szCs w:val="32"/>
          <w:lang w:val="en-US" w:eastAsia="zh-CN"/>
        </w:rPr>
        <w:t>0.31</w:t>
      </w:r>
      <w:r>
        <w:rPr>
          <w:rFonts w:hint="eastAsia" w:ascii="Times New Roman" w:hAnsi="Times New Roman" w:eastAsia="仿宋_GB2312"/>
          <w:sz w:val="32"/>
          <w:szCs w:val="32"/>
        </w:rPr>
        <w:t>万元，全年共接待来访团组</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个、来宾</w:t>
      </w:r>
      <w:r>
        <w:rPr>
          <w:rFonts w:hint="eastAsia" w:ascii="Times New Roman" w:hAnsi="Times New Roman" w:eastAsia="仿宋_GB2312"/>
          <w:sz w:val="32"/>
          <w:szCs w:val="32"/>
          <w:lang w:val="en-US" w:eastAsia="zh-CN"/>
        </w:rPr>
        <w:t>12</w:t>
      </w:r>
      <w:r>
        <w:rPr>
          <w:rFonts w:hint="eastAsia" w:ascii="Times New Roman" w:hAnsi="Times New Roman" w:eastAsia="仿宋_GB2312"/>
          <w:sz w:val="32"/>
          <w:szCs w:val="32"/>
        </w:rPr>
        <w:t>人次，主要是</w:t>
      </w:r>
      <w:r>
        <w:rPr>
          <w:rFonts w:hint="eastAsia" w:ascii="Times New Roman" w:hAnsi="Times New Roman" w:eastAsia="仿宋_GB2312"/>
          <w:sz w:val="32"/>
          <w:szCs w:val="32"/>
          <w:lang w:val="en-US" w:eastAsia="zh-CN"/>
        </w:rPr>
        <w:t>接待世界银行团队来湘考察中国节水灌溉与绿色低碳发展项目及市县汇报工作</w:t>
      </w:r>
      <w:r>
        <w:rPr>
          <w:rFonts w:hint="eastAsia" w:ascii="Times New Roman" w:hAnsi="Times New Roman" w:eastAsia="仿宋_GB2312"/>
          <w:sz w:val="32"/>
          <w:szCs w:val="32"/>
        </w:rPr>
        <w:t>发生的接待支出。</w:t>
      </w:r>
    </w:p>
    <w:p>
      <w:pPr>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bCs/>
          <w:i/>
          <w:color w:val="auto"/>
          <w:kern w:val="0"/>
          <w:sz w:val="32"/>
          <w:szCs w:val="32"/>
          <w:highlight w:val="red"/>
          <w:shd w:val="clear" w:color="FFFFFF" w:fill="D9D9D9"/>
          <w:lang w:val="en-US" w:eastAsia="zh-CN" w:bidi="ar-SA"/>
        </w:rPr>
      </w:pPr>
      <w:r>
        <w:rPr>
          <w:rFonts w:hint="eastAsia" w:ascii="Times New Roman" w:hAnsi="Times New Roman" w:eastAsia="仿宋_GB2312"/>
          <w:sz w:val="32"/>
          <w:szCs w:val="32"/>
          <w:highlight w:val="none"/>
          <w:shd w:val="clear" w:color="auto" w:fill="auto"/>
        </w:rPr>
        <w:t>3、公务用车购置费及运行维护费支出决算为</w:t>
      </w:r>
      <w:r>
        <w:rPr>
          <w:rFonts w:hint="eastAsia" w:ascii="Times New Roman" w:hAnsi="Times New Roman" w:eastAsia="仿宋_GB2312"/>
          <w:sz w:val="32"/>
          <w:szCs w:val="32"/>
          <w:highlight w:val="none"/>
          <w:shd w:val="clear" w:color="auto" w:fill="auto"/>
          <w:lang w:val="en-US" w:eastAsia="zh-CN"/>
        </w:rPr>
        <w:t>0</w:t>
      </w:r>
      <w:r>
        <w:rPr>
          <w:rFonts w:hint="eastAsia" w:ascii="Times New Roman" w:hAnsi="Times New Roman" w:eastAsia="仿宋_GB2312"/>
          <w:sz w:val="32"/>
          <w:szCs w:val="32"/>
          <w:highlight w:val="none"/>
          <w:shd w:val="clear" w:color="auto" w:fill="auto"/>
        </w:rPr>
        <w:t>万元，其中：公务用车购置费</w:t>
      </w:r>
      <w:r>
        <w:rPr>
          <w:rFonts w:hint="eastAsia" w:ascii="Times New Roman" w:hAnsi="Times New Roman" w:eastAsia="仿宋_GB2312"/>
          <w:sz w:val="32"/>
          <w:szCs w:val="32"/>
          <w:highlight w:val="none"/>
          <w:shd w:val="clear" w:color="auto" w:fill="auto"/>
          <w:lang w:val="en-US" w:eastAsia="zh-CN"/>
        </w:rPr>
        <w:t>0</w:t>
      </w:r>
      <w:r>
        <w:rPr>
          <w:rFonts w:hint="eastAsia" w:ascii="Times New Roman" w:hAnsi="Times New Roman" w:eastAsia="仿宋_GB2312"/>
          <w:sz w:val="32"/>
          <w:szCs w:val="32"/>
          <w:highlight w:val="none"/>
          <w:shd w:val="clear" w:color="auto" w:fill="auto"/>
        </w:rPr>
        <w:t>万元</w:t>
      </w:r>
      <w:r>
        <w:rPr>
          <w:rFonts w:hint="eastAsia" w:ascii="Times New Roman" w:hAnsi="Times New Roman" w:eastAsia="仿宋_GB2312"/>
          <w:sz w:val="32"/>
          <w:szCs w:val="32"/>
          <w:highlight w:val="none"/>
          <w:shd w:val="clear" w:color="auto" w:fill="auto"/>
          <w:lang w:eastAsia="zh-CN"/>
        </w:rPr>
        <w:t>，</w:t>
      </w:r>
      <w:r>
        <w:rPr>
          <w:rFonts w:hint="eastAsia" w:ascii="Times New Roman" w:hAnsi="Times New Roman" w:eastAsia="仿宋_GB2312"/>
          <w:sz w:val="32"/>
          <w:szCs w:val="32"/>
          <w:highlight w:val="none"/>
          <w:shd w:val="clear" w:color="auto" w:fill="auto"/>
          <w:lang w:val="en-US" w:eastAsia="zh-CN"/>
        </w:rPr>
        <w:t>单位本级更新公务用车0辆。</w:t>
      </w:r>
      <w:r>
        <w:rPr>
          <w:rFonts w:hint="eastAsia" w:ascii="Times New Roman" w:hAnsi="Times New Roman" w:eastAsia="仿宋_GB2312"/>
          <w:sz w:val="32"/>
          <w:szCs w:val="32"/>
          <w:highlight w:val="none"/>
          <w:shd w:val="clear" w:color="auto" w:fill="auto"/>
        </w:rPr>
        <w:t>公务用车运行维护费</w:t>
      </w:r>
      <w:r>
        <w:rPr>
          <w:rFonts w:hint="eastAsia" w:ascii="Times New Roman" w:hAnsi="Times New Roman" w:eastAsia="仿宋_GB2312"/>
          <w:sz w:val="32"/>
          <w:szCs w:val="32"/>
          <w:highlight w:val="none"/>
          <w:shd w:val="clear" w:color="auto" w:fill="auto"/>
          <w:lang w:val="en-US" w:eastAsia="zh-CN"/>
        </w:rPr>
        <w:t>0</w:t>
      </w:r>
      <w:r>
        <w:rPr>
          <w:rFonts w:hint="eastAsia" w:ascii="Times New Roman" w:hAnsi="Times New Roman" w:eastAsia="仿宋_GB2312"/>
          <w:sz w:val="32"/>
          <w:szCs w:val="32"/>
          <w:highlight w:val="none"/>
          <w:shd w:val="clear" w:color="auto" w:fill="auto"/>
        </w:rPr>
        <w:t>万元，截止202</w:t>
      </w:r>
      <w:r>
        <w:rPr>
          <w:rFonts w:hint="eastAsia" w:ascii="Times New Roman" w:hAnsi="Times New Roman" w:eastAsia="仿宋_GB2312"/>
          <w:sz w:val="32"/>
          <w:szCs w:val="32"/>
          <w:highlight w:val="none"/>
          <w:shd w:val="clear" w:color="auto" w:fill="auto"/>
          <w:lang w:val="en-US" w:eastAsia="zh-CN"/>
        </w:rPr>
        <w:t>3</w:t>
      </w:r>
      <w:r>
        <w:rPr>
          <w:rFonts w:hint="eastAsia" w:ascii="Times New Roman" w:hAnsi="Times New Roman" w:eastAsia="仿宋_GB2312"/>
          <w:sz w:val="32"/>
          <w:szCs w:val="32"/>
          <w:highlight w:val="none"/>
          <w:shd w:val="clear" w:color="auto" w:fill="auto"/>
        </w:rPr>
        <w:t>年12月31日，我单位开支财政拨款的公务用车保有量为</w:t>
      </w:r>
      <w:r>
        <w:rPr>
          <w:rFonts w:hint="eastAsia" w:ascii="Times New Roman" w:hAnsi="Times New Roman" w:eastAsia="仿宋_GB2312"/>
          <w:sz w:val="32"/>
          <w:szCs w:val="32"/>
          <w:highlight w:val="none"/>
          <w:shd w:val="clear" w:color="auto" w:fill="auto"/>
          <w:lang w:val="en-US" w:eastAsia="zh-CN"/>
        </w:rPr>
        <w:t>0</w:t>
      </w:r>
      <w:r>
        <w:rPr>
          <w:rFonts w:hint="eastAsia" w:ascii="Times New Roman" w:hAnsi="Times New Roman" w:eastAsia="仿宋_GB2312"/>
          <w:sz w:val="32"/>
          <w:szCs w:val="32"/>
          <w:highlight w:val="none"/>
          <w:shd w:val="clear" w:color="auto" w:fill="auto"/>
        </w:rPr>
        <w:t>辆。</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八、政府性基金预算收入支出决算情况</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cstheme="minorBidi"/>
          <w:color w:val="auto"/>
          <w:kern w:val="2"/>
          <w:sz w:val="32"/>
          <w:szCs w:val="32"/>
          <w:lang w:val="en-US" w:eastAsia="zh-CN" w:bidi="ar-SA"/>
        </w:rPr>
        <w:t>本单位2023年无政府性基金收支。</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color w:val="auto"/>
          <w:sz w:val="32"/>
          <w:szCs w:val="32"/>
        </w:rPr>
      </w:pPr>
      <w:r>
        <w:rPr>
          <w:rFonts w:hint="eastAsia" w:ascii="黑体" w:hAnsi="黑体" w:eastAsia="黑体" w:cs="黑体"/>
          <w:b/>
          <w:color w:val="auto"/>
          <w:sz w:val="32"/>
          <w:szCs w:val="32"/>
        </w:rPr>
        <w:t>九、关于机关运行经费支出说明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本部门202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年度机关运行经费支出</w:t>
      </w:r>
      <w:r>
        <w:rPr>
          <w:rFonts w:hint="eastAsia" w:ascii="Times New Roman" w:hAnsi="Times New Roman" w:eastAsia="仿宋_GB2312"/>
          <w:sz w:val="32"/>
          <w:szCs w:val="32"/>
          <w:lang w:val="en-US" w:eastAsia="zh-CN"/>
        </w:rPr>
        <w:t>78.12</w:t>
      </w:r>
      <w:r>
        <w:rPr>
          <w:rFonts w:hint="eastAsia" w:ascii="Times New Roman" w:hAnsi="Times New Roman" w:eastAsia="仿宋_GB2312"/>
          <w:sz w:val="32"/>
          <w:szCs w:val="32"/>
        </w:rPr>
        <w:t>万元，比年初预算数减少</w:t>
      </w:r>
      <w:r>
        <w:rPr>
          <w:rFonts w:hint="eastAsia" w:ascii="Times New Roman" w:hAnsi="Times New Roman" w:eastAsia="仿宋_GB2312"/>
          <w:sz w:val="32"/>
          <w:szCs w:val="32"/>
          <w:lang w:val="en-US" w:eastAsia="zh-CN"/>
        </w:rPr>
        <w:t>3.26</w:t>
      </w:r>
      <w:r>
        <w:rPr>
          <w:rFonts w:hint="eastAsia" w:ascii="Times New Roman" w:hAnsi="Times New Roman" w:eastAsia="仿宋_GB2312"/>
          <w:sz w:val="32"/>
          <w:szCs w:val="32"/>
        </w:rPr>
        <w:t xml:space="preserve"> 万元，降低</w:t>
      </w:r>
      <w:r>
        <w:rPr>
          <w:rFonts w:hint="eastAsia" w:ascii="Times New Roman" w:hAnsi="Times New Roman" w:eastAsia="仿宋_GB2312"/>
          <w:sz w:val="32"/>
          <w:szCs w:val="32"/>
          <w:lang w:val="en-US" w:eastAsia="zh-CN"/>
        </w:rPr>
        <w:t>4.00</w:t>
      </w:r>
      <w:r>
        <w:rPr>
          <w:rFonts w:hint="eastAsia" w:ascii="Times New Roman" w:hAnsi="Times New Roman" w:eastAsia="仿宋_GB2312"/>
          <w:sz w:val="32"/>
          <w:szCs w:val="32"/>
        </w:rPr>
        <w:t>%。主要原因是：</w:t>
      </w:r>
      <w:r>
        <w:rPr>
          <w:rFonts w:hint="eastAsia" w:ascii="Times New Roman" w:hAnsi="Times New Roman" w:eastAsia="仿宋_GB2312"/>
          <w:sz w:val="32"/>
          <w:szCs w:val="32"/>
          <w:lang w:val="en-US" w:eastAsia="zh-CN"/>
        </w:rPr>
        <w:t>我单位</w:t>
      </w:r>
      <w:r>
        <w:rPr>
          <w:rFonts w:hint="eastAsia" w:ascii="Times New Roman" w:hAnsi="Times New Roman" w:eastAsia="仿宋_GB2312"/>
          <w:sz w:val="32"/>
          <w:szCs w:val="32"/>
        </w:rPr>
        <w:t>贯彻中央“八项规定”和厉行节约的要求，</w:t>
      </w:r>
      <w:r>
        <w:rPr>
          <w:rFonts w:hint="eastAsia" w:ascii="Times New Roman" w:hAnsi="Times New Roman" w:eastAsia="仿宋_GB2312"/>
          <w:sz w:val="32"/>
          <w:szCs w:val="32"/>
          <w:lang w:eastAsia="zh-CN"/>
        </w:rPr>
        <w:t>压减机关运费经费开支</w:t>
      </w:r>
      <w:r>
        <w:rPr>
          <w:rFonts w:hint="eastAsia" w:ascii="Times New Roman" w:hAnsi="Times New Roman" w:eastAsia="仿宋_GB2312"/>
          <w:sz w:val="32"/>
          <w:szCs w:val="32"/>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十、一般性支出情况说明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年本部门开支会议费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万元；开支培训费</w:t>
      </w:r>
      <w:r>
        <w:rPr>
          <w:rFonts w:hint="eastAsia" w:ascii="Times New Roman" w:hAnsi="Times New Roman" w:eastAsia="仿宋_GB2312"/>
          <w:sz w:val="32"/>
          <w:szCs w:val="32"/>
          <w:lang w:val="en-US" w:eastAsia="zh-CN"/>
        </w:rPr>
        <w:t>2.17</w:t>
      </w:r>
      <w:r>
        <w:rPr>
          <w:rFonts w:hint="eastAsia" w:ascii="Times New Roman" w:hAnsi="Times New Roman" w:eastAsia="仿宋_GB2312"/>
          <w:sz w:val="32"/>
          <w:szCs w:val="32"/>
        </w:rPr>
        <w:t>万元，用于</w:t>
      </w:r>
      <w:r>
        <w:rPr>
          <w:rFonts w:hint="eastAsia" w:ascii="Times New Roman" w:hAnsi="Times New Roman" w:eastAsia="仿宋_GB2312"/>
          <w:sz w:val="32"/>
          <w:szCs w:val="32"/>
          <w:lang w:val="en-US" w:eastAsia="zh-CN"/>
        </w:rPr>
        <w:t>参加</w:t>
      </w:r>
      <w:r>
        <w:rPr>
          <w:rFonts w:hint="eastAsia" w:ascii="Times New Roman" w:hAnsi="Times New Roman" w:eastAsia="仿宋_GB2312"/>
          <w:sz w:val="32"/>
          <w:szCs w:val="32"/>
        </w:rPr>
        <w:t>培训，</w:t>
      </w:r>
      <w:r>
        <w:rPr>
          <w:rFonts w:hint="eastAsia" w:ascii="Times New Roman" w:hAnsi="Times New Roman" w:eastAsia="仿宋_GB2312"/>
          <w:sz w:val="32"/>
          <w:szCs w:val="32"/>
          <w:lang w:val="en-US" w:eastAsia="zh-CN"/>
        </w:rPr>
        <w:t>其中：</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参加农垦系统财务管理能力提升培训，人数4人，0.72万元；</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参加农场企业化改革经营管理培训，人数3人，1.20万元；</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参加农垦现代农业高质量发展培训，人数1人，0.25万元。</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十一、关于政府采购支出说明</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Times New Roman" w:hAnsi="Times New Roman" w:eastAsia="仿宋_GB2312"/>
          <w:color w:val="auto"/>
          <w:sz w:val="32"/>
          <w:szCs w:val="32"/>
          <w:highlight w:val="red"/>
        </w:rPr>
      </w:pPr>
      <w:r>
        <w:rPr>
          <w:rFonts w:hint="eastAsia" w:ascii="Times New Roman" w:hAnsi="Times New Roman" w:eastAsia="仿宋_GB2312"/>
          <w:sz w:val="32"/>
          <w:szCs w:val="32"/>
        </w:rPr>
        <w:t>本部门202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年度政府采购支出总额</w:t>
      </w:r>
      <w:r>
        <w:rPr>
          <w:rFonts w:hint="eastAsia" w:ascii="Times New Roman" w:hAnsi="Times New Roman" w:eastAsia="仿宋_GB2312"/>
          <w:sz w:val="32"/>
          <w:szCs w:val="32"/>
          <w:lang w:val="en-US" w:eastAsia="zh-CN"/>
        </w:rPr>
        <w:t>0.68</w:t>
      </w:r>
      <w:r>
        <w:rPr>
          <w:rFonts w:hint="eastAsia" w:ascii="Times New Roman" w:hAnsi="Times New Roman" w:eastAsia="仿宋_GB2312"/>
          <w:sz w:val="32"/>
          <w:szCs w:val="32"/>
        </w:rPr>
        <w:t>万元，其中：政府采购货物支出</w:t>
      </w:r>
      <w:r>
        <w:rPr>
          <w:rFonts w:hint="eastAsia" w:ascii="Times New Roman" w:hAnsi="Times New Roman" w:eastAsia="仿宋_GB2312"/>
          <w:sz w:val="32"/>
          <w:szCs w:val="32"/>
          <w:lang w:val="en-US" w:eastAsia="zh-CN"/>
        </w:rPr>
        <w:t>0.68</w:t>
      </w:r>
      <w:r>
        <w:rPr>
          <w:rFonts w:hint="eastAsia" w:ascii="Times New Roman" w:hAnsi="Times New Roman" w:eastAsia="仿宋_GB2312"/>
          <w:sz w:val="32"/>
          <w:szCs w:val="32"/>
        </w:rPr>
        <w:t>万元、政府采购工程支出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万元、政府采购服务支出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万元。授予中小企业合同金额</w:t>
      </w:r>
      <w:r>
        <w:rPr>
          <w:rFonts w:hint="eastAsia" w:ascii="Times New Roman" w:hAnsi="Times New Roman" w:eastAsia="仿宋_GB2312"/>
          <w:sz w:val="32"/>
          <w:szCs w:val="32"/>
          <w:lang w:val="en-US" w:eastAsia="zh-CN"/>
        </w:rPr>
        <w:t>0.68</w:t>
      </w:r>
      <w:r>
        <w:rPr>
          <w:rFonts w:hint="eastAsia" w:ascii="Times New Roman" w:hAnsi="Times New Roman" w:eastAsia="仿宋_GB2312"/>
          <w:sz w:val="32"/>
          <w:szCs w:val="32"/>
        </w:rPr>
        <w:t>万元，占政府采购支出总额的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%，其中：授予小微企业合同金额</w:t>
      </w:r>
      <w:r>
        <w:rPr>
          <w:rFonts w:hint="eastAsia" w:ascii="Times New Roman" w:hAnsi="Times New Roman" w:eastAsia="仿宋_GB2312"/>
          <w:sz w:val="32"/>
          <w:szCs w:val="32"/>
          <w:lang w:val="en-US" w:eastAsia="zh-CN"/>
        </w:rPr>
        <w:t>0.68</w:t>
      </w:r>
      <w:r>
        <w:rPr>
          <w:rFonts w:hint="eastAsia" w:ascii="Times New Roman" w:hAnsi="Times New Roman" w:eastAsia="仿宋_GB2312"/>
          <w:sz w:val="32"/>
          <w:szCs w:val="32"/>
        </w:rPr>
        <w:t>万元，</w:t>
      </w:r>
      <w:r>
        <w:rPr>
          <w:rFonts w:hint="eastAsia" w:ascii="Times New Roman" w:hAnsi="Times New Roman" w:eastAsia="仿宋_GB2312"/>
          <w:color w:val="auto"/>
          <w:sz w:val="32"/>
          <w:szCs w:val="32"/>
        </w:rPr>
        <w:t>占</w:t>
      </w:r>
      <w:r>
        <w:rPr>
          <w:rFonts w:hint="eastAsia" w:ascii="Times New Roman" w:hAnsi="Times New Roman" w:eastAsia="仿宋_GB2312"/>
          <w:color w:val="auto"/>
          <w:sz w:val="32"/>
          <w:szCs w:val="32"/>
          <w:lang w:eastAsia="zh-CN"/>
        </w:rPr>
        <w:t>授予中小企业合同金额</w:t>
      </w:r>
      <w:r>
        <w:rPr>
          <w:rFonts w:hint="eastAsia" w:ascii="Times New Roman" w:hAnsi="Times New Roman" w:eastAsia="仿宋_GB2312"/>
          <w:color w:val="auto"/>
          <w:sz w:val="32"/>
          <w:szCs w:val="32"/>
        </w:rPr>
        <w:t>的</w:t>
      </w:r>
      <w:r>
        <w:rPr>
          <w:rFonts w:hint="eastAsia" w:ascii="Times New Roman" w:hAnsi="Times New Roman" w:eastAsia="仿宋_GB2312"/>
          <w:color w:val="auto"/>
          <w:sz w:val="32"/>
          <w:szCs w:val="32"/>
          <w:lang w:val="en-US" w:eastAsia="zh-CN"/>
        </w:rPr>
        <w:t>100</w:t>
      </w:r>
      <w:r>
        <w:rPr>
          <w:rFonts w:hint="eastAsia" w:ascii="Times New Roman" w:hAnsi="Times New Roman" w:eastAsia="仿宋_GB2312"/>
          <w:color w:val="auto"/>
          <w:sz w:val="32"/>
          <w:szCs w:val="32"/>
        </w:rPr>
        <w:t>%。货物采购授予中小企业合同金额占货物支出金额的</w:t>
      </w:r>
      <w:r>
        <w:rPr>
          <w:rFonts w:hint="eastAsia" w:ascii="Times New Roman" w:hAnsi="Times New Roman" w:eastAsia="仿宋_GB2312"/>
          <w:color w:val="auto"/>
          <w:sz w:val="32"/>
          <w:szCs w:val="32"/>
          <w:lang w:val="en-US" w:eastAsia="zh-CN"/>
        </w:rPr>
        <w:t>100</w:t>
      </w:r>
      <w:r>
        <w:rPr>
          <w:rFonts w:hint="eastAsia" w:ascii="Times New Roman" w:hAnsi="Times New Roman" w:eastAsia="仿宋_GB2312"/>
          <w:color w:val="auto"/>
          <w:sz w:val="32"/>
          <w:szCs w:val="32"/>
        </w:rPr>
        <w:t>%</w:t>
      </w:r>
      <w:r>
        <w:rPr>
          <w:rFonts w:hint="eastAsia" w:ascii="Times New Roman" w:hAnsi="Times New Roman" w:eastAsia="仿宋_GB2312"/>
          <w:color w:val="auto"/>
          <w:sz w:val="32"/>
          <w:szCs w:val="32"/>
          <w:highlight w:val="none"/>
          <w:shd w:val="clear" w:color="auto" w:fill="auto"/>
        </w:rPr>
        <w:t>。</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十二、关于国有资产占用情况说明</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截至202</w:t>
      </w: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年12月31日，</w:t>
      </w:r>
      <w:r>
        <w:rPr>
          <w:rFonts w:hint="eastAsia" w:ascii="Times New Roman" w:hAnsi="Times New Roman" w:eastAsia="仿宋_GB2312"/>
          <w:color w:val="auto"/>
          <w:sz w:val="32"/>
          <w:szCs w:val="32"/>
          <w:lang w:eastAsia="zh-CN"/>
        </w:rPr>
        <w:t>部门（单位）</w:t>
      </w:r>
      <w:r>
        <w:rPr>
          <w:rFonts w:hint="eastAsia" w:ascii="Times New Roman" w:hAnsi="Times New Roman" w:eastAsia="仿宋_GB2312"/>
          <w:color w:val="auto"/>
          <w:sz w:val="32"/>
          <w:szCs w:val="32"/>
        </w:rPr>
        <w:t>共有车辆</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辆，其中</w:t>
      </w:r>
      <w:r>
        <w:rPr>
          <w:rFonts w:hint="eastAsia" w:ascii="Times New Roman" w:hAnsi="Times New Roman" w:eastAsia="仿宋_GB2312"/>
          <w:color w:val="auto"/>
          <w:sz w:val="32"/>
          <w:szCs w:val="32"/>
          <w:lang w:eastAsia="zh-CN"/>
        </w:rPr>
        <w:t>，副部（省）级及以上领导用车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主要</w:t>
      </w:r>
      <w:r>
        <w:rPr>
          <w:rFonts w:hint="eastAsia" w:ascii="Times New Roman" w:hAnsi="Times New Roman" w:eastAsia="仿宋_GB2312"/>
          <w:color w:val="auto"/>
          <w:sz w:val="32"/>
          <w:szCs w:val="32"/>
          <w:lang w:eastAsia="zh-CN"/>
        </w:rPr>
        <w:t>负责人</w:t>
      </w:r>
      <w:r>
        <w:rPr>
          <w:rFonts w:hint="eastAsia" w:ascii="Times New Roman" w:hAnsi="Times New Roman" w:eastAsia="仿宋_GB2312"/>
          <w:color w:val="auto"/>
          <w:sz w:val="32"/>
          <w:szCs w:val="32"/>
        </w:rPr>
        <w:t>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机要通信用车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辆、应急保障用车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辆、执法执勤用车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辆、特种专业技术用车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w:t>
      </w:r>
      <w:r>
        <w:rPr>
          <w:rFonts w:hint="eastAsia" w:ascii="Times New Roman" w:hAnsi="Times New Roman" w:eastAsia="仿宋_GB2312"/>
          <w:color w:val="auto"/>
          <w:sz w:val="32"/>
          <w:szCs w:val="32"/>
          <w:lang w:eastAsia="zh-CN"/>
        </w:rPr>
        <w:t>离退休干部服务用车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辆、其他用车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辆；单位价值100万元以上设备</w:t>
      </w:r>
      <w:r>
        <w:rPr>
          <w:rFonts w:hint="eastAsia" w:ascii="Times New Roman" w:hAnsi="Times New Roman" w:eastAsia="仿宋_GB2312"/>
          <w:color w:val="auto"/>
          <w:sz w:val="32"/>
          <w:szCs w:val="32"/>
          <w:lang w:eastAsia="zh-CN"/>
        </w:rPr>
        <w:t>（不含车辆）</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台（套）。</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十三、关于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eastAsia="zh-CN"/>
        </w:rPr>
        <w:t>预算绩效管理工作不但可以实现对单位各项资源科学分配，提高资源应用效率，还能提高事业单位预算绩效管理水平，便于保证事业单位财政信息真实性和公开向。</w:t>
      </w:r>
      <w:r>
        <w:rPr>
          <w:rFonts w:hint="eastAsia" w:ascii="仿宋" w:hAnsi="仿宋" w:eastAsia="仿宋" w:cs="仿宋"/>
          <w:b w:val="0"/>
          <w:bCs w:val="0"/>
          <w:sz w:val="32"/>
          <w:szCs w:val="32"/>
          <w:lang w:val="en-US" w:eastAsia="zh-CN"/>
        </w:rPr>
        <w:t>我站领导高度重视，按要求制定了本单位预算绩效管理目标，设置了绩效指标，对产出指标、效益指标、满意度指标下面的二级指标反复斟酌，要求全站工作人员积极支持配合绩效管理工作，并对绩效管理工作开展过程中发现的问题，提出改进措施。</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（二）单位</w:t>
      </w:r>
      <w:r>
        <w:rPr>
          <w:rFonts w:hint="eastAsia" w:ascii="楷体" w:hAnsi="楷体" w:eastAsia="楷体" w:cs="楷体"/>
          <w:b/>
          <w:bCs/>
          <w:sz w:val="32"/>
          <w:szCs w:val="32"/>
        </w:rPr>
        <w:t>整体支出绩效情况</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运行成本</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全年预算数821.47万元，决算数789.01万元，执行率96.05%，我单位全年整体支出控制在预算范围内。</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人员经费预算数824.71万元，决算数805.58万元，公用经费数115.47万元，决算数112.78万元，均控制在预算范围内。</w:t>
      </w:r>
    </w:p>
    <w:p>
      <w:pPr>
        <w:pStyle w:val="14"/>
        <w:keepNext w:val="0"/>
        <w:keepLines w:val="0"/>
        <w:pageBreakBefore w:val="0"/>
        <w:widowControl w:val="0"/>
        <w:kinsoku/>
        <w:wordWrap/>
        <w:overflowPunct/>
        <w:topLinePunct w:val="0"/>
        <w:bidi w:val="0"/>
        <w:snapToGrid/>
        <w:spacing w:line="240" w:lineRule="atLeast"/>
        <w:ind w:firstLine="640" w:firstLineChars="20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“三公”经费财政拨款支出预算为</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0.04</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4.00</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控制在预算范围内。</w:t>
      </w:r>
    </w:p>
    <w:p>
      <w:pPr>
        <w:pStyle w:val="14"/>
        <w:keepNext w:val="0"/>
        <w:keepLines w:val="0"/>
        <w:pageBreakBefore w:val="0"/>
        <w:widowControl w:val="0"/>
        <w:kinsoku/>
        <w:wordWrap/>
        <w:overflowPunct/>
        <w:topLinePunct w:val="0"/>
        <w:bidi w:val="0"/>
        <w:snapToGrid/>
        <w:spacing w:line="240" w:lineRule="atLeas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、管理效率</w:t>
      </w:r>
    </w:p>
    <w:p>
      <w:pPr>
        <w:pStyle w:val="14"/>
        <w:spacing w:line="600" w:lineRule="exact"/>
        <w:ind w:firstLine="640" w:firstLineChars="200"/>
        <w:rPr>
          <w:rFonts w:hint="eastAsia" w:ascii="仿宋" w:hAnsi="仿宋" w:eastAsia="仿宋" w:cstheme="minorBidi"/>
          <w:kern w:val="2"/>
          <w:sz w:val="32"/>
          <w:szCs w:val="32"/>
          <w:lang w:val="en-US" w:eastAsia="zh-CN" w:bidi="ar-SA"/>
        </w:rPr>
      </w:pPr>
      <w:r>
        <w:rPr>
          <w:rFonts w:hint="eastAsia" w:ascii="仿宋" w:hAnsi="仿宋" w:eastAsia="仿宋" w:cstheme="minorBidi"/>
          <w:kern w:val="2"/>
          <w:sz w:val="32"/>
          <w:szCs w:val="32"/>
          <w:lang w:val="en-US" w:eastAsia="zh-CN" w:bidi="ar-SA"/>
        </w:rPr>
        <w:t>通过开展农垦粮油等主要作物大面积单产提升行动和“农垦社会化服务+地方”行动，</w:t>
      </w:r>
      <w:r>
        <w:rPr>
          <w:rFonts w:hint="eastAsia" w:ascii="仿宋" w:hAnsi="仿宋" w:eastAsia="仿宋"/>
          <w:bCs/>
          <w:kern w:val="0"/>
          <w:sz w:val="32"/>
          <w:szCs w:val="32"/>
          <w:lang w:val="en-US" w:eastAsia="zh-CN"/>
        </w:rPr>
        <w:t>全面落实粮食播种面积，</w:t>
      </w:r>
      <w:r>
        <w:rPr>
          <w:rFonts w:hint="eastAsia" w:ascii="仿宋" w:hAnsi="仿宋" w:eastAsia="仿宋"/>
          <w:bCs/>
          <w:kern w:val="0"/>
          <w:sz w:val="32"/>
          <w:szCs w:val="32"/>
        </w:rPr>
        <w:t>扩大冬油菜种</w:t>
      </w:r>
      <w:r>
        <w:rPr>
          <w:rFonts w:hint="eastAsia" w:ascii="仿宋" w:hAnsi="仿宋" w:eastAsia="仿宋"/>
          <w:bCs/>
          <w:kern w:val="0"/>
          <w:sz w:val="32"/>
          <w:szCs w:val="32"/>
          <w:lang w:eastAsia="zh-CN"/>
        </w:rPr>
        <w:t>、</w:t>
      </w:r>
      <w:r>
        <w:rPr>
          <w:rFonts w:hint="eastAsia" w:ascii="仿宋" w:hAnsi="仿宋" w:eastAsia="仿宋"/>
          <w:bCs/>
          <w:kern w:val="0"/>
          <w:sz w:val="32"/>
          <w:szCs w:val="32"/>
        </w:rPr>
        <w:t>稳定春油菜种植面积，抓</w:t>
      </w:r>
      <w:r>
        <w:rPr>
          <w:rFonts w:ascii="仿宋" w:hAnsi="仿宋" w:eastAsia="仿宋"/>
          <w:bCs/>
          <w:kern w:val="0"/>
          <w:sz w:val="32"/>
          <w:szCs w:val="32"/>
        </w:rPr>
        <w:t>好花生、芝麻等油料作物生产</w:t>
      </w:r>
      <w:r>
        <w:rPr>
          <w:rFonts w:hint="eastAsia" w:ascii="仿宋" w:hAnsi="仿宋" w:eastAsia="仿宋"/>
          <w:bCs/>
          <w:kern w:val="0"/>
          <w:sz w:val="32"/>
          <w:szCs w:val="32"/>
          <w:lang w:eastAsia="zh-CN"/>
        </w:rPr>
        <w:t>。</w:t>
      </w:r>
      <w:r>
        <w:rPr>
          <w:rFonts w:hint="eastAsia" w:ascii="仿宋" w:hAnsi="仿宋" w:eastAsia="仿宋"/>
          <w:bCs/>
          <w:kern w:val="0"/>
          <w:sz w:val="32"/>
          <w:szCs w:val="32"/>
          <w:lang w:val="en-US" w:eastAsia="zh-CN"/>
        </w:rPr>
        <w:t>开展农垦提粮油等主要作物单产“大比武”活动，</w:t>
      </w:r>
      <w:r>
        <w:rPr>
          <w:rFonts w:hint="eastAsia" w:ascii="仿宋" w:hAnsi="仿宋" w:eastAsia="仿宋"/>
          <w:bCs/>
          <w:kern w:val="0"/>
          <w:sz w:val="32"/>
          <w:szCs w:val="32"/>
        </w:rPr>
        <w:t>推进农机农艺信息技术相融合、良田良种良法良机良制相配套，总结推广一批高产技术和高产模式，推动形成一批稳定高产粮油农场和垦区，示范引领全</w:t>
      </w:r>
      <w:r>
        <w:rPr>
          <w:rFonts w:ascii="仿宋" w:hAnsi="仿宋" w:eastAsia="仿宋"/>
          <w:bCs/>
          <w:kern w:val="0"/>
          <w:sz w:val="32"/>
          <w:szCs w:val="32"/>
        </w:rPr>
        <w:t>省</w:t>
      </w:r>
      <w:r>
        <w:rPr>
          <w:rFonts w:hint="eastAsia" w:ascii="仿宋" w:hAnsi="仿宋" w:eastAsia="仿宋"/>
          <w:bCs/>
          <w:kern w:val="0"/>
          <w:sz w:val="32"/>
          <w:szCs w:val="32"/>
        </w:rPr>
        <w:t>粮油等主要作物大面积提单产。</w:t>
      </w:r>
      <w:r>
        <w:rPr>
          <w:rFonts w:hint="eastAsia" w:ascii="仿宋" w:hAnsi="仿宋" w:eastAsia="仿宋" w:cstheme="minorBidi"/>
          <w:kern w:val="2"/>
          <w:sz w:val="32"/>
          <w:szCs w:val="32"/>
          <w:lang w:val="en-US" w:eastAsia="zh-CN" w:bidi="ar-SA"/>
        </w:rPr>
        <w:t>全省农垦完成水稻种植面积141.78万亩，总产59.31万吨。种植大豆3.19万亩，油菜种植面积47.1万亩，垦区粮油生产连续3年保持面积、总产“两个增长”。</w:t>
      </w:r>
    </w:p>
    <w:p>
      <w:pPr>
        <w:pStyle w:val="14"/>
        <w:keepNext w:val="0"/>
        <w:keepLines w:val="0"/>
        <w:pageBreakBefore w:val="0"/>
        <w:widowControl w:val="0"/>
        <w:numPr>
          <w:ilvl w:val="0"/>
          <w:numId w:val="3"/>
        </w:numPr>
        <w:kinsoku/>
        <w:wordWrap/>
        <w:overflowPunct/>
        <w:topLinePunct w:val="0"/>
        <w:bidi w:val="0"/>
        <w:snapToGrid/>
        <w:spacing w:line="240" w:lineRule="atLeas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履职效能</w:t>
      </w:r>
    </w:p>
    <w:p>
      <w:pPr>
        <w:pStyle w:val="14"/>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lang w:val="en-US" w:eastAsia="zh-CN"/>
        </w:rPr>
        <w:t xml:space="preserve">    </w:t>
      </w:r>
      <w:r>
        <w:rPr>
          <w:rFonts w:hint="eastAsia" w:ascii="Times New Roman" w:hAnsi="Times New Roman" w:eastAsia="仿宋_GB2312"/>
          <w:sz w:val="32"/>
          <w:szCs w:val="32"/>
        </w:rPr>
        <w:t>（1）</w:t>
      </w:r>
      <w:r>
        <w:rPr>
          <w:rFonts w:hint="eastAsia" w:ascii="楷体" w:hAnsi="楷体" w:eastAsia="楷体" w:cs="楷体"/>
          <w:kern w:val="2"/>
          <w:sz w:val="32"/>
          <w:szCs w:val="32"/>
          <w:lang w:val="en-US" w:eastAsia="zh-CN" w:bidi="ar-SA"/>
        </w:rPr>
        <w:t>深化农垦改革，</w:t>
      </w:r>
      <w:r>
        <w:rPr>
          <w:rFonts w:hint="eastAsia" w:ascii="楷体" w:hAnsi="楷体" w:eastAsia="楷体" w:cs="Times New Roman"/>
          <w:bCs/>
          <w:color w:val="000000"/>
          <w:kern w:val="0"/>
          <w:sz w:val="32"/>
          <w:szCs w:val="32"/>
          <w:lang w:val="en-US" w:eastAsia="zh-CN"/>
        </w:rPr>
        <w:t>激发农垦发展活力</w:t>
      </w:r>
      <w:r>
        <w:rPr>
          <w:rFonts w:ascii="楷体" w:hAnsi="楷体" w:eastAsia="楷体" w:cs="Times New Roman"/>
          <w:bCs/>
          <w:color w:val="000000"/>
          <w:kern w:val="0"/>
          <w:sz w:val="32"/>
          <w:szCs w:val="32"/>
        </w:rPr>
        <w:t>。</w:t>
      </w:r>
      <w:r>
        <w:rPr>
          <w:rFonts w:hint="eastAsia" w:ascii="仿宋" w:hAnsi="仿宋" w:eastAsia="仿宋" w:cstheme="minorBidi"/>
          <w:b w:val="0"/>
          <w:bCs w:val="0"/>
          <w:kern w:val="2"/>
          <w:sz w:val="32"/>
          <w:szCs w:val="32"/>
          <w:lang w:val="en-US" w:eastAsia="zh-CN" w:bidi="ar-SA"/>
        </w:rPr>
        <w:t>完善农垦农业经营管理体制，</w:t>
      </w:r>
      <w:r>
        <w:rPr>
          <w:rFonts w:hint="eastAsia" w:ascii="仿宋" w:hAnsi="仿宋" w:eastAsia="仿宋" w:cstheme="minorBidi"/>
          <w:kern w:val="2"/>
          <w:sz w:val="32"/>
          <w:szCs w:val="32"/>
          <w:lang w:val="en-US" w:eastAsia="zh-CN" w:bidi="ar-SA"/>
        </w:rPr>
        <w:t>全面规范农垦国有土地承包租赁经营管理制度，增强国有农场农业经营管理和服务能力，进一步完善统分结合的双层经营体制，加快发展多种形式的农业规模经营，提高各类农业经营主体内生动力、发展活力，丰富国有农业经济实现形式，健全支撑农垦提升粮食和重要农产品生产供应能力、辐射带动地方现代农业建设的体制机制。</w:t>
      </w:r>
      <w:r>
        <w:rPr>
          <w:rFonts w:hint="eastAsia" w:ascii="仿宋" w:hAnsi="仿宋" w:eastAsia="仿宋" w:cstheme="minorBidi"/>
          <w:b w:val="0"/>
          <w:bCs w:val="0"/>
          <w:kern w:val="2"/>
          <w:sz w:val="32"/>
          <w:szCs w:val="32"/>
          <w:lang w:val="en-US" w:eastAsia="zh-CN" w:bidi="ar-SA"/>
        </w:rPr>
        <w:t>推进农场土地资源资产化、资产资本化、资本股份化改革，</w:t>
      </w:r>
      <w:r>
        <w:rPr>
          <w:rFonts w:hint="eastAsia" w:ascii="仿宋" w:hAnsi="仿宋" w:eastAsia="仿宋" w:cstheme="minorBidi"/>
          <w:kern w:val="2"/>
          <w:sz w:val="32"/>
          <w:szCs w:val="32"/>
          <w:lang w:val="en-US" w:eastAsia="zh-CN" w:bidi="ar-SA"/>
        </w:rPr>
        <w:t>管好用活农垦土地等国有资产，加快发展股份制经济、合作经济。推进农垦土地资产配置方式创新，探索农垦国有土地使用权出让、租赁、作价出资（入股）方式方法，指导有条件的农场进行农垦国有农用地使用权抵押、担保和农垦现有建设用地有偿使用试点。</w:t>
      </w:r>
      <w:r>
        <w:rPr>
          <w:rFonts w:hint="eastAsia" w:ascii="仿宋" w:hAnsi="仿宋" w:eastAsia="仿宋" w:cstheme="minorBidi"/>
          <w:b w:val="0"/>
          <w:bCs w:val="0"/>
          <w:kern w:val="2"/>
          <w:sz w:val="32"/>
          <w:szCs w:val="32"/>
          <w:lang w:val="en-US" w:eastAsia="zh-CN" w:bidi="ar-SA"/>
        </w:rPr>
        <w:t>推进垦区集团化、农场企业化改革。</w:t>
      </w:r>
      <w:r>
        <w:rPr>
          <w:rFonts w:hint="default" w:ascii="仿宋" w:hAnsi="仿宋" w:eastAsia="仿宋" w:cstheme="minorBidi"/>
          <w:kern w:val="2"/>
          <w:sz w:val="32"/>
          <w:szCs w:val="32"/>
          <w:lang w:val="en-US" w:eastAsia="zh-CN" w:bidi="ar-SA"/>
        </w:rPr>
        <w:t>鼓励和支持</w:t>
      </w:r>
      <w:r>
        <w:rPr>
          <w:rFonts w:hint="eastAsia" w:ascii="仿宋" w:hAnsi="仿宋" w:eastAsia="仿宋" w:cstheme="minorBidi"/>
          <w:kern w:val="2"/>
          <w:sz w:val="32"/>
          <w:szCs w:val="32"/>
          <w:lang w:val="en-US" w:eastAsia="zh-CN" w:bidi="ar-SA"/>
        </w:rPr>
        <w:t>农垦农场</w:t>
      </w:r>
      <w:r>
        <w:rPr>
          <w:rFonts w:hint="default" w:ascii="仿宋" w:hAnsi="仿宋" w:eastAsia="仿宋" w:cstheme="minorBidi"/>
          <w:kern w:val="2"/>
          <w:sz w:val="32"/>
          <w:szCs w:val="32"/>
          <w:lang w:val="en-US" w:eastAsia="zh-CN" w:bidi="ar-SA"/>
        </w:rPr>
        <w:t>以资本为纽带，以产业发展为重点，以资源整合为抓手，开展多种形式的合资合作，逐步构建风险共担、利益共享的一体化发展格局，推进垦区集团化。</w:t>
      </w:r>
      <w:r>
        <w:rPr>
          <w:rFonts w:hint="eastAsia" w:ascii="Times New Roman" w:hAnsi="Times New Roman" w:eastAsia="仿宋_GB2312"/>
          <w:sz w:val="32"/>
          <w:szCs w:val="32"/>
        </w:rPr>
        <w:t>为贯彻落实中央乡村振兴发展战略和中央、省委省政府农垦改革发展文件精神，全面了解我省农垦发展现状和财政保障机制情况，分析农垦改革发展的实际困难与问题，厘清农垦改革发展思路，理顺体制机制，提升农垦高质量发展能力，我站与财政厅、湖南农业大学专家组成了课题组赴全省农场开展了农垦改革发展与财政管理情况调研。通过实地走访，充分了解了农垦管理体制和经营机制、产业发展情况、财政管理体制、保障情况、投入情况等。</w:t>
      </w:r>
    </w:p>
    <w:p>
      <w:pPr>
        <w:pStyle w:val="14"/>
        <w:spacing w:line="600" w:lineRule="exact"/>
        <w:ind w:firstLine="640" w:firstLineChars="200"/>
        <w:rPr>
          <w:rFonts w:ascii="仿宋" w:hAnsi="仿宋" w:eastAsia="仿宋" w:cs="仿宋"/>
          <w:sz w:val="32"/>
          <w:szCs w:val="32"/>
        </w:rPr>
      </w:pPr>
      <w:r>
        <w:rPr>
          <w:rFonts w:hint="eastAsia" w:ascii="Times New Roman" w:hAnsi="Times New Roman" w:eastAsia="仿宋_GB2312"/>
          <w:sz w:val="32"/>
          <w:szCs w:val="32"/>
        </w:rPr>
        <w:t>（2）</w:t>
      </w:r>
      <w:r>
        <w:rPr>
          <w:rFonts w:hint="eastAsia" w:ascii="楷体" w:hAnsi="楷体" w:eastAsia="楷体" w:cs="楷体"/>
          <w:kern w:val="2"/>
          <w:sz w:val="32"/>
          <w:szCs w:val="32"/>
          <w:lang w:val="en-US" w:eastAsia="zh-CN" w:bidi="ar-SA"/>
        </w:rPr>
        <w:t>落实新发展理念，推进现代农业发展。</w:t>
      </w:r>
      <w:r>
        <w:rPr>
          <w:rFonts w:hint="eastAsia" w:ascii="仿宋" w:hAnsi="仿宋" w:eastAsia="仿宋" w:cs="仿宋"/>
          <w:i w:val="0"/>
          <w:iCs w:val="0"/>
          <w:caps w:val="0"/>
          <w:color w:val="000000"/>
          <w:spacing w:val="0"/>
          <w:sz w:val="32"/>
          <w:szCs w:val="32"/>
          <w:shd w:val="clear" w:fill="FFFFFF"/>
          <w:lang w:val="en-US" w:eastAsia="zh-CN"/>
        </w:rPr>
        <w:t>围绕节能、降本、提质、增效，加快推进现代农业发展。</w:t>
      </w:r>
      <w:r>
        <w:rPr>
          <w:rFonts w:hint="eastAsia" w:ascii="Times New Roman" w:hAnsi="仿宋" w:eastAsia="仿宋" w:cs="Times New Roman"/>
          <w:b w:val="0"/>
          <w:bCs w:val="0"/>
          <w:sz w:val="32"/>
          <w:szCs w:val="32"/>
          <w:lang w:val="en-US" w:eastAsia="zh-CN"/>
        </w:rPr>
        <w:t>推进垦区</w:t>
      </w:r>
      <w:r>
        <w:rPr>
          <w:rFonts w:hint="eastAsia" w:ascii="Times New Roman" w:hAnsi="仿宋" w:eastAsia="仿宋" w:cs="Times New Roman"/>
          <w:b w:val="0"/>
          <w:bCs w:val="0"/>
          <w:sz w:val="32"/>
          <w:szCs w:val="32"/>
        </w:rPr>
        <w:t>数字</w:t>
      </w:r>
      <w:r>
        <w:rPr>
          <w:rFonts w:hint="eastAsia" w:ascii="Times New Roman" w:hAnsi="仿宋" w:eastAsia="仿宋" w:cs="Times New Roman"/>
          <w:b w:val="0"/>
          <w:bCs w:val="0"/>
          <w:sz w:val="32"/>
          <w:szCs w:val="32"/>
          <w:lang w:val="en-US" w:eastAsia="zh-CN"/>
        </w:rPr>
        <w:t>农业发展</w:t>
      </w:r>
      <w:r>
        <w:rPr>
          <w:rFonts w:hint="eastAsia" w:ascii="Times New Roman" w:hAnsi="仿宋" w:eastAsia="仿宋" w:cs="Times New Roman"/>
          <w:b w:val="0"/>
          <w:bCs w:val="0"/>
          <w:sz w:val="32"/>
          <w:szCs w:val="32"/>
          <w:lang w:eastAsia="zh-CN"/>
        </w:rPr>
        <w:t>。</w:t>
      </w:r>
      <w:r>
        <w:rPr>
          <w:rFonts w:hint="eastAsia" w:ascii="Times New Roman" w:hAnsi="仿宋" w:eastAsia="仿宋" w:cs="Times New Roman"/>
          <w:sz w:val="32"/>
          <w:szCs w:val="32"/>
        </w:rPr>
        <w:t>以</w:t>
      </w:r>
      <w:r>
        <w:rPr>
          <w:rFonts w:hint="eastAsia" w:ascii="Times New Roman" w:hAnsi="仿宋" w:eastAsia="仿宋" w:cs="Times New Roman"/>
          <w:sz w:val="32"/>
          <w:szCs w:val="32"/>
          <w:lang w:val="en-US" w:eastAsia="zh-CN"/>
        </w:rPr>
        <w:t>君山、西湖、西洞庭和</w:t>
      </w:r>
      <w:r>
        <w:rPr>
          <w:rFonts w:hint="eastAsia" w:ascii="Times New Roman" w:hAnsi="仿宋" w:eastAsia="仿宋" w:cs="Times New Roman"/>
          <w:sz w:val="32"/>
          <w:szCs w:val="32"/>
        </w:rPr>
        <w:t>屈原管理区为</w:t>
      </w:r>
      <w:r>
        <w:rPr>
          <w:rFonts w:hint="eastAsia" w:ascii="Times New Roman" w:hAnsi="仿宋" w:eastAsia="仿宋" w:cs="Times New Roman"/>
          <w:sz w:val="32"/>
          <w:szCs w:val="32"/>
          <w:lang w:val="en-US" w:eastAsia="zh-CN"/>
        </w:rPr>
        <w:t>重</w:t>
      </w:r>
      <w:r>
        <w:rPr>
          <w:rFonts w:hint="eastAsia" w:ascii="Times New Roman" w:hAnsi="仿宋" w:eastAsia="仿宋" w:cs="Times New Roman"/>
          <w:sz w:val="32"/>
          <w:szCs w:val="32"/>
        </w:rPr>
        <w:t>点，推动互联网与现代农业产业深度融合</w:t>
      </w:r>
      <w:r>
        <w:rPr>
          <w:rFonts w:hint="eastAsia" w:ascii="Times New Roman" w:hAnsi="仿宋" w:eastAsia="仿宋" w:cs="Times New Roman"/>
          <w:sz w:val="32"/>
          <w:szCs w:val="32"/>
          <w:lang w:eastAsia="zh-CN"/>
        </w:rPr>
        <w:t>，</w:t>
      </w:r>
      <w:r>
        <w:rPr>
          <w:rFonts w:hint="eastAsia" w:ascii="仿宋" w:hAnsi="仿宋" w:eastAsia="仿宋" w:cs="仿宋"/>
          <w:i w:val="0"/>
          <w:iCs w:val="0"/>
          <w:caps w:val="0"/>
          <w:color w:val="000000"/>
          <w:spacing w:val="0"/>
          <w:sz w:val="32"/>
          <w:szCs w:val="32"/>
          <w:shd w:val="clear" w:fill="FFFFFF"/>
          <w:lang w:val="en-US" w:eastAsia="zh-CN"/>
        </w:rPr>
        <w:t>建设一批数字农业示范基地</w:t>
      </w:r>
      <w:r>
        <w:rPr>
          <w:rFonts w:hint="eastAsia" w:ascii="Times New Roman" w:hAnsi="仿宋" w:eastAsia="仿宋" w:cs="Times New Roman"/>
          <w:sz w:val="32"/>
          <w:szCs w:val="32"/>
          <w:lang w:eastAsia="zh-CN"/>
        </w:rPr>
        <w:t>。</w:t>
      </w:r>
      <w:r>
        <w:rPr>
          <w:rFonts w:hint="eastAsia" w:ascii="Times New Roman" w:hAnsi="仿宋" w:eastAsia="仿宋" w:cs="Times New Roman"/>
          <w:b w:val="0"/>
          <w:bCs w:val="0"/>
          <w:sz w:val="32"/>
          <w:szCs w:val="32"/>
          <w:lang w:val="en-US" w:eastAsia="zh-CN"/>
        </w:rPr>
        <w:t>推进高效特色农业发展。</w:t>
      </w:r>
      <w:r>
        <w:rPr>
          <w:rFonts w:hint="eastAsia" w:ascii="Times New Roman" w:hAnsi="仿宋" w:eastAsia="仿宋" w:cs="Times New Roman"/>
          <w:sz w:val="32"/>
          <w:szCs w:val="32"/>
          <w:lang w:val="en-US" w:eastAsia="zh-CN"/>
        </w:rPr>
        <w:t>围绕垦区优势产业，大力推广绿色高质高效农业技术应用，加强垦区特色农产品品牌建设，优化产业化经营方式。加快农垦农产品质量追溯体系建设，推进垦区绿色、有机、地理标志农产品认证，争创一批中国驰名商标和湖南省著名商标。</w:t>
      </w:r>
      <w:r>
        <w:rPr>
          <w:rFonts w:hint="eastAsia" w:ascii="Times New Roman" w:hAnsi="仿宋" w:eastAsia="仿宋" w:cs="Times New Roman"/>
          <w:b w:val="0"/>
          <w:bCs w:val="0"/>
          <w:sz w:val="32"/>
          <w:szCs w:val="32"/>
          <w:lang w:val="en-US" w:eastAsia="zh-CN"/>
        </w:rPr>
        <w:t>推进农业</w:t>
      </w:r>
      <w:r>
        <w:rPr>
          <w:rFonts w:hint="eastAsia" w:ascii="仿宋" w:hAnsi="仿宋" w:eastAsia="仿宋" w:cs="仿宋"/>
          <w:b w:val="0"/>
          <w:bCs w:val="0"/>
          <w:i w:val="0"/>
          <w:iCs w:val="0"/>
          <w:caps w:val="0"/>
          <w:color w:val="000000"/>
          <w:spacing w:val="0"/>
          <w:sz w:val="32"/>
          <w:szCs w:val="32"/>
          <w:shd w:val="clear" w:fill="FFFFFF"/>
          <w:lang w:val="en-US" w:eastAsia="zh-CN"/>
        </w:rPr>
        <w:t>全产业链发展。</w:t>
      </w:r>
      <w:r>
        <w:rPr>
          <w:rFonts w:ascii="仿宋" w:hAnsi="仿宋" w:eastAsia="仿宋" w:cs="仿宋"/>
          <w:i w:val="0"/>
          <w:iCs w:val="0"/>
          <w:caps w:val="0"/>
          <w:color w:val="000000"/>
          <w:spacing w:val="0"/>
          <w:sz w:val="32"/>
          <w:szCs w:val="32"/>
          <w:shd w:val="clear" w:fill="FFFFFF"/>
        </w:rPr>
        <w:t>以垦区优势产业为依托，大力培育和发展农业产业化龙头企业，加快建设一批现代农业产业集群，激发产业链、价值链的重构和功能升级，推进一二三产业深度融合、上中下游一体</w:t>
      </w:r>
      <w:r>
        <w:rPr>
          <w:rFonts w:hint="eastAsia" w:ascii="仿宋" w:hAnsi="仿宋" w:eastAsia="仿宋" w:cs="仿宋"/>
          <w:i w:val="0"/>
          <w:iCs w:val="0"/>
          <w:caps w:val="0"/>
          <w:color w:val="000000"/>
          <w:spacing w:val="0"/>
          <w:sz w:val="32"/>
          <w:szCs w:val="32"/>
          <w:shd w:val="clear" w:fill="FFFFFF"/>
          <w:lang w:val="en-US" w:eastAsia="zh-CN"/>
        </w:rPr>
        <w:t>发展</w:t>
      </w:r>
      <w:r>
        <w:rPr>
          <w:rFonts w:ascii="仿宋" w:hAnsi="仿宋" w:eastAsia="仿宋" w:cs="仿宋"/>
          <w:i w:val="0"/>
          <w:iCs w:val="0"/>
          <w:caps w:val="0"/>
          <w:color w:val="000000"/>
          <w:spacing w:val="0"/>
          <w:sz w:val="32"/>
          <w:szCs w:val="32"/>
          <w:shd w:val="clear" w:fill="FFFFFF"/>
        </w:rPr>
        <w:t>。</w:t>
      </w:r>
      <w:r>
        <w:rPr>
          <w:rFonts w:hint="eastAsia" w:ascii="仿宋" w:hAnsi="仿宋" w:eastAsia="仿宋" w:cs="仿宋"/>
          <w:i w:val="0"/>
          <w:iCs w:val="0"/>
          <w:caps w:val="0"/>
          <w:color w:val="000000"/>
          <w:spacing w:val="0"/>
          <w:sz w:val="32"/>
          <w:szCs w:val="32"/>
          <w:shd w:val="clear" w:fill="FFFFFF"/>
          <w:lang w:val="en-US" w:eastAsia="zh-CN"/>
        </w:rPr>
        <w:t>积极</w:t>
      </w:r>
      <w:r>
        <w:rPr>
          <w:rFonts w:ascii="仿宋" w:hAnsi="仿宋" w:eastAsia="仿宋" w:cs="仿宋"/>
          <w:i w:val="0"/>
          <w:iCs w:val="0"/>
          <w:caps w:val="0"/>
          <w:color w:val="000000"/>
          <w:spacing w:val="0"/>
          <w:sz w:val="32"/>
          <w:szCs w:val="32"/>
          <w:shd w:val="clear" w:fill="FFFFFF"/>
        </w:rPr>
        <w:t>拓展农业多种功能，推进</w:t>
      </w:r>
      <w:r>
        <w:rPr>
          <w:rFonts w:hint="eastAsia" w:ascii="仿宋" w:hAnsi="仿宋" w:eastAsia="仿宋" w:cs="仿宋"/>
          <w:i w:val="0"/>
          <w:iCs w:val="0"/>
          <w:caps w:val="0"/>
          <w:color w:val="000000"/>
          <w:spacing w:val="0"/>
          <w:sz w:val="32"/>
          <w:szCs w:val="32"/>
          <w:shd w:val="clear" w:fill="FFFFFF"/>
          <w:lang w:val="en-US" w:eastAsia="zh-CN"/>
        </w:rPr>
        <w:t>垦区</w:t>
      </w:r>
      <w:r>
        <w:rPr>
          <w:rFonts w:ascii="仿宋" w:hAnsi="仿宋" w:eastAsia="仿宋" w:cs="仿宋"/>
          <w:i w:val="0"/>
          <w:iCs w:val="0"/>
          <w:caps w:val="0"/>
          <w:color w:val="000000"/>
          <w:spacing w:val="0"/>
          <w:sz w:val="32"/>
          <w:szCs w:val="32"/>
          <w:shd w:val="clear" w:fill="FFFFFF"/>
        </w:rPr>
        <w:t>农业与旅游、教育、文化、康养等产业深度融合</w:t>
      </w:r>
      <w:r>
        <w:rPr>
          <w:rFonts w:hint="eastAsia" w:ascii="仿宋" w:hAnsi="仿宋" w:eastAsia="仿宋" w:cs="仿宋"/>
          <w:i w:val="0"/>
          <w:iCs w:val="0"/>
          <w:caps w:val="0"/>
          <w:color w:val="000000"/>
          <w:spacing w:val="0"/>
          <w:sz w:val="32"/>
          <w:szCs w:val="32"/>
          <w:shd w:val="clear" w:fill="FFFFFF"/>
          <w:lang w:val="en-US" w:eastAsia="zh-CN"/>
        </w:rPr>
        <w:t>发展</w:t>
      </w:r>
      <w:r>
        <w:rPr>
          <w:rFonts w:ascii="仿宋" w:hAnsi="仿宋" w:eastAsia="仿宋" w:cs="仿宋"/>
          <w:i w:val="0"/>
          <w:iCs w:val="0"/>
          <w:caps w:val="0"/>
          <w:color w:val="000000"/>
          <w:spacing w:val="0"/>
          <w:sz w:val="32"/>
          <w:szCs w:val="32"/>
          <w:shd w:val="clear" w:fill="FFFFFF"/>
        </w:rPr>
        <w:t>。</w:t>
      </w:r>
    </w:p>
    <w:p>
      <w:pPr>
        <w:pStyle w:val="14"/>
        <w:keepNext w:val="0"/>
        <w:keepLines w:val="0"/>
        <w:pageBreakBefore w:val="0"/>
        <w:widowControl w:val="0"/>
        <w:numPr>
          <w:ilvl w:val="0"/>
          <w:numId w:val="0"/>
        </w:numPr>
        <w:kinsoku/>
        <w:wordWrap/>
        <w:overflowPunct/>
        <w:topLinePunct w:val="0"/>
        <w:bidi w:val="0"/>
        <w:snapToGrid/>
        <w:spacing w:line="240" w:lineRule="atLeast"/>
        <w:ind w:firstLine="640" w:firstLineChars="200"/>
        <w:jc w:val="left"/>
        <w:textAlignment w:val="auto"/>
        <w:rPr>
          <w:rFonts w:ascii="仿宋" w:hAnsi="仿宋" w:eastAsia="仿宋" w:cs="仿宋"/>
          <w:sz w:val="32"/>
          <w:szCs w:val="32"/>
        </w:rPr>
      </w:pPr>
      <w:r>
        <w:rPr>
          <w:rFonts w:hint="eastAsia" w:ascii="Times New Roman" w:hAnsi="Times New Roman" w:eastAsia="仿宋_GB2312"/>
          <w:sz w:val="32"/>
          <w:szCs w:val="32"/>
          <w:lang w:val="en-US" w:eastAsia="zh-CN"/>
        </w:rPr>
        <w:t>4、</w:t>
      </w:r>
      <w:r>
        <w:rPr>
          <w:rFonts w:hint="eastAsia" w:ascii="Times New Roman" w:hAnsi="Times New Roman" w:eastAsia="仿宋_GB2312"/>
          <w:sz w:val="32"/>
          <w:szCs w:val="32"/>
        </w:rPr>
        <w:t>社会效应</w:t>
      </w:r>
    </w:p>
    <w:p>
      <w:pPr>
        <w:pStyle w:val="14"/>
        <w:keepNext w:val="0"/>
        <w:keepLines w:val="0"/>
        <w:pageBreakBefore w:val="0"/>
        <w:widowControl w:val="0"/>
        <w:kinsoku/>
        <w:wordWrap/>
        <w:overflowPunct/>
        <w:topLinePunct w:val="0"/>
        <w:autoSpaceDE w:val="0"/>
        <w:autoSpaceDN w:val="0"/>
        <w:bidi w:val="0"/>
        <w:adjustRightInd w:val="0"/>
        <w:snapToGrid/>
        <w:spacing w:line="600" w:lineRule="exact"/>
        <w:ind w:left="0" w:leftChars="0" w:firstLine="640" w:firstLineChars="200"/>
        <w:textAlignment w:val="auto"/>
        <w:rPr>
          <w:rFonts w:ascii="仿宋" w:hAnsi="仿宋" w:eastAsia="仿宋" w:cs="仿宋"/>
          <w:sz w:val="32"/>
          <w:szCs w:val="32"/>
        </w:rPr>
      </w:pPr>
      <w:r>
        <w:rPr>
          <w:rFonts w:hint="eastAsia" w:ascii="仿宋" w:hAnsi="仿宋" w:eastAsia="仿宋" w:cstheme="minorBidi"/>
          <w:kern w:val="2"/>
          <w:sz w:val="32"/>
          <w:szCs w:val="32"/>
          <w:lang w:val="en-US" w:eastAsia="zh-CN" w:bidi="ar-SA"/>
        </w:rPr>
        <w:t>经过前期的积极筹备和申报，今年4月，成功与世行进行了谈判磋商；5月底，世行执行董事会正式批准通过我省世行贷款稻田节水灌溉与绿色低碳发展项目，我省将获世行贷款2.55亿美元，项目将在6个县市区实施。</w:t>
      </w:r>
    </w:p>
    <w:p>
      <w:pPr>
        <w:pStyle w:val="14"/>
        <w:keepNext w:val="0"/>
        <w:keepLines w:val="0"/>
        <w:pageBreakBefore w:val="0"/>
        <w:widowControl w:val="0"/>
        <w:numPr>
          <w:ilvl w:val="0"/>
          <w:numId w:val="0"/>
        </w:numPr>
        <w:kinsoku/>
        <w:wordWrap/>
        <w:overflowPunct/>
        <w:topLinePunct w:val="0"/>
        <w:bidi w:val="0"/>
        <w:snapToGrid/>
        <w:spacing w:line="240" w:lineRule="atLeas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5、</w:t>
      </w:r>
      <w:r>
        <w:rPr>
          <w:rFonts w:hint="eastAsia" w:ascii="Times New Roman" w:hAnsi="Times New Roman" w:eastAsia="仿宋_GB2312"/>
          <w:sz w:val="32"/>
          <w:szCs w:val="32"/>
        </w:rPr>
        <w:t>可持续发展能力</w:t>
      </w:r>
    </w:p>
    <w:p>
      <w:pPr>
        <w:pStyle w:val="14"/>
        <w:numPr>
          <w:ilvl w:val="0"/>
          <w:numId w:val="0"/>
        </w:numPr>
        <w:spacing w:line="600" w:lineRule="exact"/>
        <w:ind w:firstLine="640" w:firstLineChars="200"/>
        <w:rPr>
          <w:rFonts w:hint="eastAsia" w:ascii="Times New Roman" w:hAnsi="Times New Roman" w:eastAsia="仿宋_GB2312"/>
          <w:sz w:val="32"/>
          <w:szCs w:val="32"/>
        </w:rPr>
      </w:pPr>
      <w:r>
        <w:rPr>
          <w:rFonts w:hint="eastAsia" w:ascii="仿宋" w:hAnsi="仿宋" w:eastAsia="仿宋" w:cs="仿宋"/>
          <w:b w:val="0"/>
          <w:bCs w:val="0"/>
          <w:kern w:val="2"/>
          <w:sz w:val="32"/>
          <w:szCs w:val="32"/>
          <w:lang w:val="en-US" w:eastAsia="zh-CN" w:bidi="ar-SA"/>
        </w:rPr>
        <w:t>以项目建设为支撑，持续巩固脱贫攻坚成果。</w:t>
      </w:r>
      <w:r>
        <w:rPr>
          <w:rFonts w:hint="eastAsia" w:ascii="仿宋" w:hAnsi="仿宋" w:eastAsia="仿宋"/>
          <w:sz w:val="32"/>
          <w:szCs w:val="32"/>
          <w:lang w:val="en-US" w:eastAsia="zh-CN"/>
        </w:rPr>
        <w:t>2</w:t>
      </w:r>
      <w:r>
        <w:rPr>
          <w:rFonts w:hint="eastAsia" w:ascii="仿宋" w:hAnsi="仿宋" w:eastAsia="仿宋" w:cstheme="minorBidi"/>
          <w:kern w:val="2"/>
          <w:sz w:val="32"/>
          <w:szCs w:val="32"/>
          <w:lang w:val="en-US" w:eastAsia="zh-CN" w:bidi="ar-SA"/>
        </w:rPr>
        <w:t>023年争取中央欠发达国有农场巩固提升任务补助资金3795万元，在11个欠发达国有农场实施35个项目。我省在国家欠发达农场巩固提升任务衔接资金绩效评价考核中被评为最高等次A等，全国欠发达农场巩固提升项目业务培训会放在我省召开。</w:t>
      </w:r>
      <w:r>
        <w:rPr>
          <w:rFonts w:hint="eastAsia" w:ascii="Times New Roman" w:hAnsi="Times New Roman" w:eastAsia="仿宋_GB2312"/>
          <w:sz w:val="32"/>
          <w:szCs w:val="32"/>
        </w:rPr>
        <w:t>服务对象满意度</w:t>
      </w:r>
    </w:p>
    <w:p>
      <w:pPr>
        <w:pStyle w:val="14"/>
        <w:numPr>
          <w:ilvl w:val="0"/>
          <w:numId w:val="0"/>
        </w:numPr>
        <w:spacing w:line="600" w:lineRule="exact"/>
        <w:ind w:firstLine="640" w:firstLineChars="2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6、服务对象满意度</w:t>
      </w:r>
    </w:p>
    <w:p>
      <w:pPr>
        <w:pStyle w:val="3"/>
        <w:keepNext w:val="0"/>
        <w:keepLines w:val="0"/>
        <w:pageBreakBefore w:val="0"/>
        <w:numPr>
          <w:ilvl w:val="0"/>
          <w:numId w:val="0"/>
        </w:numPr>
        <w:kinsoku/>
        <w:wordWrap/>
        <w:overflowPunct/>
        <w:topLinePunct w:val="0"/>
        <w:bidi w:val="0"/>
        <w:snapToGrid/>
        <w:spacing w:line="240" w:lineRule="atLeast"/>
        <w:ind w:leftChars="20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通过各项工作的开展，服务对象和社会公众满意度在90%以上。</w:t>
      </w:r>
      <w:r>
        <w:rPr>
          <w:rFonts w:hint="eastAsia" w:ascii="Times New Roman" w:hAnsi="Times New Roman" w:eastAsia="仿宋_GB2312"/>
          <w:sz w:val="32"/>
          <w:szCs w:val="32"/>
          <w:lang w:val="en-US" w:eastAsia="zh-CN"/>
        </w:rPr>
        <w:t xml:space="preserve"> </w:t>
      </w:r>
    </w:p>
    <w:p>
      <w:pPr>
        <w:pStyle w:val="14"/>
        <w:keepNext w:val="0"/>
        <w:keepLines w:val="0"/>
        <w:pageBreakBefore w:val="0"/>
        <w:widowControl w:val="0"/>
        <w:kinsoku/>
        <w:wordWrap/>
        <w:overflowPunct/>
        <w:topLinePunct w:val="0"/>
        <w:bidi w:val="0"/>
        <w:snapToGrid/>
        <w:spacing w:line="240" w:lineRule="atLeas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w:t>
      </w:r>
      <w:r>
        <w:rPr>
          <w:rFonts w:hint="eastAsia" w:ascii="楷体" w:hAnsi="楷体" w:eastAsia="楷体" w:cs="楷体"/>
          <w:b/>
          <w:bCs/>
          <w:sz w:val="32"/>
          <w:szCs w:val="32"/>
          <w:lang w:val="en-US" w:eastAsia="zh-CN"/>
        </w:rPr>
        <w:t>三）</w:t>
      </w:r>
      <w:r>
        <w:rPr>
          <w:rFonts w:hint="eastAsia" w:ascii="楷体" w:hAnsi="楷体" w:eastAsia="楷体" w:cs="楷体"/>
          <w:b/>
          <w:bCs/>
          <w:sz w:val="32"/>
          <w:szCs w:val="32"/>
        </w:rPr>
        <w:t>存在的问题及原因分析</w:t>
      </w:r>
    </w:p>
    <w:p>
      <w:pPr>
        <w:pStyle w:val="14"/>
        <w:keepNext w:val="0"/>
        <w:keepLines w:val="0"/>
        <w:pageBreakBefore w:val="0"/>
        <w:widowControl w:val="0"/>
        <w:kinsoku/>
        <w:wordWrap/>
        <w:overflowPunct/>
        <w:topLinePunct w:val="0"/>
        <w:bidi w:val="0"/>
        <w:snapToGrid/>
        <w:spacing w:line="240" w:lineRule="atLeast"/>
        <w:ind w:firstLine="800" w:firstLineChars="250"/>
        <w:textAlignment w:val="auto"/>
        <w:rPr>
          <w:rFonts w:hint="default" w:ascii="Times New Roman" w:hAnsi="Times New Roman" w:eastAsia="仿宋_GB2312"/>
          <w:sz w:val="32"/>
          <w:szCs w:val="32"/>
          <w:lang w:val="en-US" w:eastAsia="zh-CN"/>
        </w:rPr>
      </w:pPr>
      <w:r>
        <w:rPr>
          <w:rFonts w:hint="eastAsia" w:ascii="仿宋" w:hAnsi="仿宋" w:eastAsia="仿宋" w:cs="Times New Roman"/>
          <w:b w:val="0"/>
          <w:bCs/>
          <w:color w:val="000000" w:themeColor="text1"/>
          <w:sz w:val="32"/>
          <w:szCs w:val="32"/>
          <w14:textFill>
            <w14:solidFill>
              <w14:schemeClr w14:val="tx1"/>
            </w14:solidFill>
          </w14:textFill>
        </w:rPr>
        <w:t>预算编制时支出结构欠优化</w:t>
      </w:r>
      <w:r>
        <w:rPr>
          <w:rFonts w:hint="eastAsia" w:ascii="仿宋" w:hAnsi="仿宋" w:eastAsia="仿宋" w:cs="Times New Roman"/>
          <w:b w:val="0"/>
          <w:bCs/>
          <w:color w:val="000000" w:themeColor="text1"/>
          <w:sz w:val="32"/>
          <w:szCs w:val="32"/>
          <w:lang w:eastAsia="zh-CN"/>
          <w14:textFill>
            <w14:solidFill>
              <w14:schemeClr w14:val="tx1"/>
            </w14:solidFill>
          </w14:textFill>
        </w:rPr>
        <w:t>，</w:t>
      </w:r>
      <w:r>
        <w:rPr>
          <w:rFonts w:hint="eastAsia" w:ascii="仿宋" w:hAnsi="仿宋" w:eastAsia="仿宋" w:cs="Times New Roman"/>
          <w:color w:val="000000" w:themeColor="text1"/>
          <w:sz w:val="32"/>
          <w:szCs w:val="32"/>
          <w14:textFill>
            <w14:solidFill>
              <w14:schemeClr w14:val="tx1"/>
            </w14:solidFill>
          </w14:textFill>
        </w:rPr>
        <w:t>在一般公共预算财政拔款支出明细表中，其他一般商品和服务支出比重超重</w:t>
      </w:r>
      <w:r>
        <w:rPr>
          <w:rFonts w:hint="eastAsia" w:ascii="仿宋" w:hAnsi="仿宋" w:eastAsia="仿宋" w:cs="Times New Roman"/>
          <w:color w:val="000000" w:themeColor="text1"/>
          <w:sz w:val="32"/>
          <w:szCs w:val="32"/>
          <w:lang w:val="en-US" w:eastAsia="zh-CN"/>
          <w14:textFill>
            <w14:solidFill>
              <w14:schemeClr w14:val="tx1"/>
            </w14:solidFill>
          </w14:textFill>
        </w:rPr>
        <w:t>。</w:t>
      </w:r>
    </w:p>
    <w:p>
      <w:pPr>
        <w:pStyle w:val="14"/>
        <w:keepNext w:val="0"/>
        <w:keepLines w:val="0"/>
        <w:pageBreakBefore w:val="0"/>
        <w:kinsoku/>
        <w:wordWrap/>
        <w:overflowPunct/>
        <w:topLinePunct w:val="0"/>
        <w:bidi w:val="0"/>
        <w:adjustRightInd/>
        <w:snapToGrid/>
        <w:spacing w:line="240" w:lineRule="atLeast"/>
        <w:ind w:firstLine="640" w:firstLineChars="20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下一步改进措施：</w:t>
      </w:r>
      <w:r>
        <w:rPr>
          <w:rFonts w:hint="eastAsia" w:ascii="仿宋" w:hAnsi="仿宋" w:eastAsia="仿宋" w:cs="Times New Roman"/>
          <w:b w:val="0"/>
          <w:bCs/>
          <w:sz w:val="32"/>
          <w:szCs w:val="32"/>
        </w:rPr>
        <w:t>科学编制预算，严格预算执行</w:t>
      </w:r>
      <w:r>
        <w:rPr>
          <w:rFonts w:hint="eastAsia" w:ascii="仿宋" w:hAnsi="仿宋" w:eastAsia="仿宋" w:cs="Times New Roman"/>
          <w:b w:val="0"/>
          <w:bCs/>
          <w:sz w:val="32"/>
          <w:szCs w:val="32"/>
          <w:lang w:eastAsia="zh-CN"/>
        </w:rPr>
        <w:t>，</w:t>
      </w:r>
      <w:r>
        <w:rPr>
          <w:rFonts w:hint="eastAsia" w:ascii="仿宋" w:hAnsi="仿宋" w:eastAsia="仿宋" w:cs="Times New Roman"/>
          <w:sz w:val="32"/>
          <w:szCs w:val="32"/>
        </w:rPr>
        <w:t>不断加强财务人员业务素质培养，提高财务人员专业能力，科学编制预算，优化预算支出结构。同时，严格预算执行，保证财政资金安全，确保充分发挥财政资金的使用效益。</w:t>
      </w:r>
    </w:p>
    <w:p>
      <w:pPr>
        <w:pStyle w:val="14"/>
        <w:jc w:val="center"/>
        <w:rPr>
          <w:sz w:val="72"/>
          <w:szCs w:val="72"/>
        </w:rPr>
      </w:pPr>
    </w:p>
    <w:p>
      <w:pPr>
        <w:pStyle w:val="14"/>
        <w:jc w:val="center"/>
        <w:rPr>
          <w:sz w:val="72"/>
          <w:szCs w:val="72"/>
        </w:rPr>
      </w:pPr>
    </w:p>
    <w:p>
      <w:pPr>
        <w:pStyle w:val="14"/>
        <w:jc w:val="both"/>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hint="eastAsia" w:ascii="方正小标宋_GBK" w:hAnsi="方正小标宋_GBK" w:eastAsia="方正小标宋_GBK" w:cs="方正小标宋_GBK"/>
          <w:color w:val="000000"/>
          <w:kern w:val="0"/>
          <w:sz w:val="70"/>
          <w:szCs w:val="70"/>
        </w:rPr>
      </w:pPr>
    </w:p>
    <w:p>
      <w:pPr>
        <w:jc w:val="center"/>
        <w:rPr>
          <w:rFonts w:hint="eastAsia" w:ascii="方正小标宋_GBK" w:hAnsi="方正小标宋_GBK" w:eastAsia="方正小标宋_GBK" w:cs="方正小标宋_GBK"/>
          <w:color w:val="000000"/>
          <w:kern w:val="0"/>
          <w:sz w:val="70"/>
          <w:szCs w:val="70"/>
        </w:rPr>
      </w:pPr>
      <w:r>
        <w:rPr>
          <w:rFonts w:hint="eastAsia" w:ascii="方正小标宋_GBK" w:hAnsi="方正小标宋_GBK" w:eastAsia="方正小标宋_GBK" w:cs="方正小标宋_GBK"/>
          <w:color w:val="000000"/>
          <w:kern w:val="0"/>
          <w:sz w:val="70"/>
          <w:szCs w:val="70"/>
        </w:rPr>
        <w:t>名词解释</w:t>
      </w:r>
    </w:p>
    <w:p>
      <w:pPr>
        <w:widowControl/>
        <w:jc w:val="left"/>
        <w:rPr>
          <w:rFonts w:cs="黑体" w:asciiTheme="minorEastAsia" w:hAnsiTheme="minorEastAsia"/>
          <w:color w:val="000000"/>
          <w:kern w:val="0"/>
          <w:sz w:val="32"/>
          <w:szCs w:val="32"/>
        </w:rPr>
      </w:pPr>
      <w:r>
        <w:rPr>
          <w:rFonts w:hint="eastAsia" w:ascii="方正小标宋_GBK" w:hAnsi="方正小标宋_GBK" w:eastAsia="方正小标宋_GBK" w:cs="方正小标宋_GBK"/>
          <w:color w:val="000000"/>
          <w:kern w:val="0"/>
          <w:sz w:val="70"/>
          <w:szCs w:val="70"/>
        </w:rPr>
        <w:br w:type="page"/>
      </w:r>
    </w:p>
    <w:p>
      <w:pPr>
        <w:pStyle w:val="14"/>
        <w:ind w:firstLine="600" w:firstLineChars="200"/>
        <w:rPr>
          <w:rFonts w:ascii="Times New Roman" w:hAnsi="仿宋" w:eastAsia="仿宋" w:cs="Times New Roman"/>
          <w:color w:val="000000" w:themeColor="text1"/>
          <w:sz w:val="30"/>
          <w:szCs w:val="30"/>
          <w14:textFill>
            <w14:solidFill>
              <w14:schemeClr w14:val="tx1"/>
            </w14:solidFill>
          </w14:textFill>
        </w:rPr>
      </w:pPr>
      <w:r>
        <w:rPr>
          <w:rFonts w:hint="eastAsia" w:ascii="Times New Roman" w:hAnsi="仿宋" w:eastAsia="仿宋" w:cs="Times New Roman"/>
          <w:color w:val="000000" w:themeColor="text1"/>
          <w:sz w:val="30"/>
          <w:szCs w:val="30"/>
          <w14:textFill>
            <w14:solidFill>
              <w14:schemeClr w14:val="tx1"/>
            </w14:solidFill>
          </w14:textFill>
        </w:rPr>
        <w:t>（一）基</w:t>
      </w:r>
      <w:r>
        <w:rPr>
          <w:rFonts w:ascii="Times New Roman" w:hAnsi="仿宋" w:eastAsia="仿宋" w:cs="Times New Roman"/>
          <w:color w:val="000000" w:themeColor="text1"/>
          <w:sz w:val="30"/>
          <w:szCs w:val="30"/>
          <w14:textFill>
            <w14:solidFill>
              <w14:schemeClr w14:val="tx1"/>
            </w14:solidFill>
          </w14:textFill>
        </w:rPr>
        <w:t>本支出：指为保障机构正常运转、完成日常工作任务而 发生的各项支出，包括人员支出和公用支出。</w:t>
      </w:r>
    </w:p>
    <w:p>
      <w:pPr>
        <w:pStyle w:val="14"/>
        <w:ind w:firstLine="450" w:firstLineChars="150"/>
        <w:rPr>
          <w:rFonts w:ascii="Times New Roman" w:hAnsi="仿宋" w:eastAsia="仿宋" w:cs="Times New Roman"/>
          <w:color w:val="000000" w:themeColor="text1"/>
          <w:sz w:val="30"/>
          <w:szCs w:val="30"/>
          <w14:textFill>
            <w14:solidFill>
              <w14:schemeClr w14:val="tx1"/>
            </w14:solidFill>
          </w14:textFill>
        </w:rPr>
      </w:pPr>
      <w:r>
        <w:rPr>
          <w:rFonts w:hint="eastAsia" w:ascii="Times New Roman" w:hAnsi="仿宋" w:eastAsia="仿宋" w:cs="Times New Roman"/>
          <w:color w:val="000000" w:themeColor="text1"/>
          <w:sz w:val="30"/>
          <w:szCs w:val="30"/>
          <w14:textFill>
            <w14:solidFill>
              <w14:schemeClr w14:val="tx1"/>
            </w14:solidFill>
          </w14:textFill>
        </w:rPr>
        <w:t>（二）</w:t>
      </w:r>
      <w:r>
        <w:rPr>
          <w:rFonts w:ascii="Times New Roman" w:hAnsi="仿宋" w:eastAsia="仿宋" w:cs="Times New Roman"/>
          <w:color w:val="000000" w:themeColor="text1"/>
          <w:sz w:val="30"/>
          <w:szCs w:val="30"/>
          <w14:textFill>
            <w14:solidFill>
              <w14:schemeClr w14:val="tx1"/>
            </w14:solidFill>
          </w14:textFill>
        </w:rPr>
        <w:t xml:space="preserve"> 项目支出：指在基本支出以外为完成相关行政任务和事业 发展目标所发生的各项支出。 </w:t>
      </w:r>
    </w:p>
    <w:p>
      <w:pPr>
        <w:pStyle w:val="14"/>
        <w:ind w:firstLine="600" w:firstLineChars="200"/>
        <w:rPr>
          <w:rFonts w:ascii="仿宋" w:hAnsi="仿宋" w:eastAsia="仿宋"/>
          <w:bCs/>
          <w:sz w:val="32"/>
          <w:szCs w:val="32"/>
        </w:rPr>
      </w:pPr>
      <w:r>
        <w:rPr>
          <w:rFonts w:hint="eastAsia" w:ascii="Times New Roman" w:hAnsi="仿宋" w:eastAsia="仿宋" w:cs="Times New Roman"/>
          <w:color w:val="000000" w:themeColor="text1"/>
          <w:sz w:val="30"/>
          <w:szCs w:val="30"/>
          <w14:textFill>
            <w14:solidFill>
              <w14:schemeClr w14:val="tx1"/>
            </w14:solidFill>
          </w14:textFill>
        </w:rPr>
        <w:t>（三）</w:t>
      </w:r>
      <w:r>
        <w:rPr>
          <w:rFonts w:ascii="Times New Roman" w:hAnsi="仿宋" w:eastAsia="仿宋" w:cs="Times New Roman"/>
          <w:color w:val="000000" w:themeColor="text1"/>
          <w:sz w:val="30"/>
          <w:szCs w:val="30"/>
          <w14:textFill>
            <w14:solidFill>
              <w14:schemeClr w14:val="tx1"/>
            </w14:solidFill>
          </w14:textFill>
        </w:rPr>
        <w:t>“</w:t>
      </w:r>
      <w:r>
        <w:rPr>
          <w:rFonts w:hint="eastAsia" w:ascii="仿宋" w:hAnsi="仿宋" w:eastAsia="仿宋"/>
          <w:bCs/>
          <w:sz w:val="32"/>
          <w:szCs w:val="32"/>
        </w:rPr>
        <w:t>“三公”经费:纳入省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widowControl/>
        <w:ind w:firstLine="600" w:firstLineChars="200"/>
        <w:jc w:val="left"/>
        <w:rPr>
          <w:rFonts w:ascii="黑体" w:eastAsia="黑体" w:cs="黑体"/>
          <w:color w:val="000000" w:themeColor="text1"/>
          <w:kern w:val="0"/>
          <w:sz w:val="70"/>
          <w:szCs w:val="70"/>
          <w14:textFill>
            <w14:solidFill>
              <w14:schemeClr w14:val="tx1"/>
            </w14:solidFill>
          </w14:textFill>
        </w:rPr>
      </w:pPr>
      <w:r>
        <w:rPr>
          <w:rFonts w:hint="eastAsia" w:ascii="Times New Roman" w:hAnsi="仿宋" w:eastAsia="仿宋" w:cs="Times New Roman"/>
          <w:color w:val="000000" w:themeColor="text1"/>
          <w:sz w:val="30"/>
          <w:szCs w:val="30"/>
          <w14:textFill>
            <w14:solidFill>
              <w14:schemeClr w14:val="tx1"/>
            </w14:solidFill>
          </w14:textFill>
        </w:rPr>
        <w:t>（四）</w:t>
      </w:r>
      <w:r>
        <w:rPr>
          <w:rFonts w:ascii="Times New Roman" w:hAnsi="仿宋" w:eastAsia="仿宋" w:cs="Times New Roman"/>
          <w:color w:val="000000" w:themeColor="text1"/>
          <w:sz w:val="30"/>
          <w:szCs w:val="30"/>
          <w14:textFill>
            <w14:solidFill>
              <w14:schemeClr w14:val="tx1"/>
            </w14:solidFill>
          </w14:textFill>
        </w:rPr>
        <w:t>机关运行经费：是指各部门的公用经费，包括办公及印刷 费、邮电费、差旅费、会议费、福利费、日常维修费、专用材 料及一般设备购置费、办公用房水电费、办公用房取暖费、办公用房物业管理费、公务用车运行维护费以及其他费用。</w:t>
      </w:r>
    </w:p>
    <w:p>
      <w:pPr>
        <w:pStyle w:val="14"/>
        <w:jc w:val="center"/>
        <w:rPr>
          <w:sz w:val="72"/>
          <w:szCs w:val="72"/>
        </w:rPr>
      </w:pPr>
    </w:p>
    <w:p>
      <w:pPr>
        <w:pStyle w:val="14"/>
        <w:jc w:val="center"/>
        <w:rPr>
          <w:sz w:val="72"/>
          <w:szCs w:val="72"/>
        </w:rPr>
      </w:pPr>
    </w:p>
    <w:p>
      <w:pPr>
        <w:pStyle w:val="14"/>
        <w:jc w:val="center"/>
        <w:rPr>
          <w:sz w:val="72"/>
          <w:szCs w:val="72"/>
        </w:rPr>
      </w:pPr>
    </w:p>
    <w:p>
      <w:pPr>
        <w:pStyle w:val="14"/>
        <w:jc w:val="center"/>
        <w:rPr>
          <w:sz w:val="72"/>
          <w:szCs w:val="72"/>
        </w:rPr>
      </w:pPr>
    </w:p>
    <w:p>
      <w:pPr>
        <w:pStyle w:val="14"/>
        <w:jc w:val="center"/>
        <w:rPr>
          <w:sz w:val="72"/>
          <w:szCs w:val="72"/>
        </w:rPr>
      </w:pPr>
    </w:p>
    <w:p>
      <w:pPr>
        <w:pStyle w:val="14"/>
        <w:jc w:val="center"/>
        <w:rPr>
          <w:sz w:val="72"/>
          <w:szCs w:val="72"/>
        </w:rPr>
      </w:pPr>
    </w:p>
    <w:p>
      <w:pPr>
        <w:rPr>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pPr>
        <w:pStyle w:val="14"/>
        <w:jc w:val="center"/>
        <w:rPr>
          <w:rFonts w:hint="eastAsia" w:ascii="方正小标宋_GBK" w:hAnsi="方正小标宋_GBK" w:eastAsia="方正小标宋_GBK" w:cs="方正小标宋_GBK"/>
          <w:sz w:val="70"/>
          <w:szCs w:val="70"/>
        </w:rPr>
      </w:pPr>
    </w:p>
    <w:p>
      <w:pPr>
        <w:pStyle w:val="14"/>
        <w:jc w:val="center"/>
        <w:rPr>
          <w:rFonts w:hint="eastAsia" w:eastAsia="黑体"/>
          <w:sz w:val="72"/>
          <w:szCs w:val="72"/>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pPr>
        <w:rPr>
          <w:sz w:val="72"/>
          <w:szCs w:val="72"/>
        </w:rPr>
      </w:pPr>
      <w:r>
        <w:rPr>
          <w:sz w:val="72"/>
          <w:szCs w:val="72"/>
        </w:rPr>
        <w:br w:type="page"/>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楷体" w:hAnsi="楷体" w:eastAsia="楷体" w:cs="楷体"/>
          <w:b/>
          <w:bCs/>
          <w:sz w:val="32"/>
          <w:szCs w:val="32"/>
          <w:lang w:eastAsia="zh-CN"/>
        </w:rPr>
        <w:t>一、</w:t>
      </w:r>
      <w:r>
        <w:rPr>
          <w:rFonts w:hint="eastAsia" w:ascii="Times New Roman" w:hAnsi="Times New Roman" w:eastAsia="仿宋_GB2312"/>
          <w:sz w:val="32"/>
          <w:szCs w:val="32"/>
          <w:lang w:val="en-US" w:eastAsia="zh-CN"/>
        </w:rPr>
        <w:t>2023年度单位整体支出绩效自评报告。</w:t>
      </w:r>
    </w:p>
    <w:p>
      <w:pPr>
        <w:pStyle w:val="14"/>
        <w:adjustRightInd/>
        <w:spacing w:line="520" w:lineRule="exact"/>
        <w:rPr>
          <w:rFonts w:ascii="仿宋" w:hAnsi="仿宋" w:eastAsia="仿宋" w:cs="Times New Roman"/>
          <w:sz w:val="32"/>
          <w:szCs w:val="32"/>
        </w:rPr>
      </w:pPr>
      <w:bookmarkStart w:id="3" w:name="_GoBack"/>
      <w:bookmarkEnd w:id="3"/>
    </w:p>
    <w:p>
      <w:pPr>
        <w:jc w:val="center"/>
        <w:rPr>
          <w:rFonts w:cs="黑体" w:asciiTheme="minorEastAsia" w:hAnsiTheme="minorEastAsia"/>
          <w:b/>
          <w:color w:val="000000"/>
          <w:kern w:val="0"/>
          <w:sz w:val="32"/>
          <w:szCs w:val="32"/>
        </w:rPr>
      </w:pPr>
      <w:r>
        <w:rPr>
          <w:rFonts w:hint="eastAsia" w:cs="黑体" w:asciiTheme="minorEastAsia" w:hAnsiTheme="minorEastAsia"/>
          <w:b/>
          <w:color w:val="000000"/>
          <w:kern w:val="0"/>
          <w:sz w:val="32"/>
          <w:szCs w:val="32"/>
        </w:rPr>
        <w:t>2023年度</w:t>
      </w:r>
      <w:r>
        <w:rPr>
          <w:rFonts w:hint="eastAsia" w:cs="黑体" w:asciiTheme="minorEastAsia" w:hAnsiTheme="minorEastAsia"/>
          <w:b/>
          <w:color w:val="000000"/>
          <w:kern w:val="0"/>
          <w:sz w:val="32"/>
          <w:szCs w:val="32"/>
          <w:lang w:val="en-US" w:eastAsia="zh-CN"/>
        </w:rPr>
        <w:t>单位</w:t>
      </w:r>
      <w:r>
        <w:rPr>
          <w:rFonts w:hint="eastAsia" w:cs="黑体" w:asciiTheme="minorEastAsia" w:hAnsiTheme="minorEastAsia"/>
          <w:b/>
          <w:color w:val="000000"/>
          <w:kern w:val="0"/>
          <w:sz w:val="32"/>
          <w:szCs w:val="32"/>
        </w:rPr>
        <w:t>整体支出绩效评价报告</w:t>
      </w:r>
    </w:p>
    <w:p>
      <w:pPr>
        <w:keepNext w:val="0"/>
        <w:keepLines w:val="0"/>
        <w:pageBreakBefore w:val="0"/>
        <w:kinsoku/>
        <w:wordWrap/>
        <w:overflowPunct/>
        <w:topLinePunct w:val="0"/>
        <w:bidi w:val="0"/>
        <w:adjustRightInd/>
        <w:snapToGrid/>
        <w:spacing w:line="240" w:lineRule="atLeast"/>
        <w:ind w:firstLine="640" w:firstLineChars="200"/>
        <w:jc w:val="left"/>
        <w:textAlignment w:val="auto"/>
        <w:rPr>
          <w:rFonts w:ascii="仿宋" w:hAnsi="仿宋" w:eastAsia="仿宋" w:cs="宋体"/>
          <w:b/>
          <w:color w:val="000000"/>
          <w:kern w:val="0"/>
          <w:sz w:val="32"/>
          <w:szCs w:val="32"/>
        </w:rPr>
      </w:pPr>
      <w:r>
        <w:rPr>
          <w:rFonts w:hint="eastAsia" w:ascii="仿宋" w:hAnsi="仿宋" w:eastAsia="仿宋"/>
          <w:sz w:val="32"/>
          <w:szCs w:val="32"/>
        </w:rPr>
        <w:t>为加强财政支出管理，提高财政资金使用效益，根据《中共中央国务院关于全面实施预算绩效管理的意见》（中发〔2018〕34号）、《党政机关厉行节约反对浪费条例》、财政部《财政支出绩效评价管理暂行办法》（财预〔2020〕10号）、《中共湖南省委办公厅 湖南省人民政府办公厅关于全面实施预算绩效管理的实施意见》（湘办发〔2019〕10号）和湖南省财政厅关于开展202</w:t>
      </w:r>
      <w:r>
        <w:rPr>
          <w:rFonts w:hint="eastAsia" w:ascii="仿宋" w:hAnsi="仿宋" w:eastAsia="仿宋"/>
          <w:sz w:val="32"/>
          <w:szCs w:val="32"/>
          <w:lang w:val="en-US" w:eastAsia="zh-CN"/>
        </w:rPr>
        <w:t>3</w:t>
      </w:r>
      <w:r>
        <w:rPr>
          <w:rFonts w:hint="eastAsia" w:ascii="仿宋" w:hAnsi="仿宋" w:eastAsia="仿宋"/>
          <w:sz w:val="32"/>
          <w:szCs w:val="32"/>
        </w:rPr>
        <w:t>年度省本级部门决算批复和公开工作的函等文件精神，省农垦管理服务站于2024年8月1日至8月30日开展了2023年度部门整体支出绩效自评工作，现将有关情况报告如下：</w:t>
      </w:r>
    </w:p>
    <w:p>
      <w:pPr>
        <w:keepNext w:val="0"/>
        <w:keepLines w:val="0"/>
        <w:pageBreakBefore w:val="0"/>
        <w:kinsoku/>
        <w:wordWrap/>
        <w:overflowPunct/>
        <w:topLinePunct w:val="0"/>
        <w:bidi w:val="0"/>
        <w:adjustRightInd/>
        <w:snapToGrid/>
        <w:spacing w:line="240" w:lineRule="atLeast"/>
        <w:ind w:firstLine="640" w:firstLineChars="200"/>
        <w:jc w:val="left"/>
        <w:textAlignment w:val="auto"/>
        <w:rPr>
          <w:rFonts w:eastAsia="仿宋_GB2312"/>
          <w:b/>
          <w:bCs/>
          <w:sz w:val="32"/>
          <w:szCs w:val="32"/>
        </w:rPr>
      </w:pPr>
      <w:r>
        <w:rPr>
          <w:rFonts w:eastAsia="黑体"/>
          <w:b/>
          <w:bCs/>
          <w:sz w:val="32"/>
          <w:szCs w:val="32"/>
        </w:rPr>
        <w:t>一、</w:t>
      </w:r>
      <w:r>
        <w:rPr>
          <w:rFonts w:eastAsia="仿宋_GB2312"/>
          <w:b/>
          <w:bCs/>
          <w:sz w:val="32"/>
          <w:szCs w:val="32"/>
        </w:rPr>
        <w:t>单位基本情况</w:t>
      </w:r>
      <w:r>
        <w:rPr>
          <w:rFonts w:hint="eastAsia" w:eastAsia="仿宋_GB2312"/>
          <w:b/>
          <w:bCs/>
          <w:sz w:val="32"/>
          <w:szCs w:val="32"/>
        </w:rPr>
        <w:t>。</w:t>
      </w:r>
    </w:p>
    <w:p>
      <w:pPr>
        <w:pStyle w:val="15"/>
        <w:keepNext w:val="0"/>
        <w:keepLines w:val="0"/>
        <w:pageBreakBefore w:val="0"/>
        <w:kinsoku/>
        <w:wordWrap/>
        <w:overflowPunct/>
        <w:topLinePunct w:val="0"/>
        <w:bidi w:val="0"/>
        <w:adjustRightInd/>
        <w:snapToGrid/>
        <w:spacing w:line="240" w:lineRule="atLeast"/>
        <w:ind w:firstLine="640"/>
        <w:jc w:val="left"/>
        <w:textAlignment w:val="auto"/>
        <w:rPr>
          <w:rFonts w:ascii="仿宋" w:hAnsi="仿宋" w:eastAsia="仿宋"/>
          <w:sz w:val="32"/>
          <w:szCs w:val="32"/>
        </w:rPr>
      </w:pPr>
      <w:r>
        <w:rPr>
          <w:rFonts w:hint="eastAsia" w:ascii="仿宋" w:hAnsi="仿宋" w:eastAsia="仿宋"/>
          <w:sz w:val="32"/>
          <w:szCs w:val="32"/>
        </w:rPr>
        <w:t>湖南省农垦管理服务站为湖南省农业农村厅管理的公益一类事业单位，宗旨和业务范围是为农田建设与农垦处拟制全省农垦经济和社会发展中长期规划及年度计划并组织监督实施以及指导、协调全省垦区的财务、统计、科研、文化、教育、卫生事业、社会公益事业，工农业生产及第三产业的发展做好相关基础性、服务性工作。站内设办公室、计划财务办公室、农垦经济办公室、垦区社会事务办公室四个副处级办室，配备有专职副处级纪检员1名。</w:t>
      </w:r>
      <w:r>
        <w:rPr>
          <w:rFonts w:hint="eastAsia" w:ascii="仿宋" w:hAnsi="仿宋" w:eastAsia="仿宋"/>
          <w:color w:val="auto"/>
          <w:sz w:val="32"/>
          <w:szCs w:val="32"/>
        </w:rPr>
        <w:t>我站现有在职人员17人，其中处级干部</w:t>
      </w:r>
      <w:r>
        <w:rPr>
          <w:rFonts w:hint="eastAsia" w:ascii="仿宋" w:hAnsi="仿宋" w:eastAsia="仿宋"/>
          <w:color w:val="auto"/>
          <w:sz w:val="32"/>
          <w:szCs w:val="32"/>
          <w:lang w:val="en-US" w:eastAsia="zh-CN"/>
        </w:rPr>
        <w:t>9</w:t>
      </w:r>
      <w:r>
        <w:rPr>
          <w:rFonts w:hint="eastAsia" w:ascii="仿宋" w:hAnsi="仿宋" w:eastAsia="仿宋"/>
          <w:color w:val="auto"/>
          <w:sz w:val="32"/>
          <w:szCs w:val="32"/>
        </w:rPr>
        <w:t>人，科级干部</w:t>
      </w:r>
      <w:r>
        <w:rPr>
          <w:rFonts w:hint="eastAsia" w:ascii="仿宋" w:hAnsi="仿宋" w:eastAsia="仿宋"/>
          <w:color w:val="auto"/>
          <w:sz w:val="32"/>
          <w:szCs w:val="32"/>
          <w:lang w:val="en-US" w:eastAsia="zh-CN"/>
        </w:rPr>
        <w:t>7</w:t>
      </w:r>
      <w:r>
        <w:rPr>
          <w:rFonts w:hint="eastAsia" w:ascii="仿宋" w:hAnsi="仿宋" w:eastAsia="仿宋"/>
          <w:color w:val="auto"/>
          <w:sz w:val="32"/>
          <w:szCs w:val="32"/>
        </w:rPr>
        <w:t>人，工勤人员1人。退休人员22人。</w:t>
      </w:r>
    </w:p>
    <w:p>
      <w:pPr>
        <w:keepNext w:val="0"/>
        <w:keepLines w:val="0"/>
        <w:pageBreakBefore w:val="0"/>
        <w:kinsoku/>
        <w:wordWrap/>
        <w:overflowPunct/>
        <w:topLinePunct w:val="0"/>
        <w:bidi w:val="0"/>
        <w:adjustRightInd/>
        <w:snapToGrid/>
        <w:spacing w:line="240" w:lineRule="atLeast"/>
        <w:ind w:firstLine="640" w:firstLineChars="200"/>
        <w:jc w:val="left"/>
        <w:textAlignment w:val="auto"/>
        <w:rPr>
          <w:rFonts w:eastAsia="仿宋_GB2312"/>
          <w:b/>
          <w:bCs/>
          <w:sz w:val="32"/>
          <w:szCs w:val="32"/>
        </w:rPr>
      </w:pPr>
      <w:r>
        <w:rPr>
          <w:rFonts w:hint="eastAsia" w:eastAsia="仿宋_GB2312"/>
          <w:b/>
          <w:bCs/>
          <w:sz w:val="32"/>
          <w:szCs w:val="32"/>
        </w:rPr>
        <w:t>二、单位整体收支</w:t>
      </w:r>
      <w:r>
        <w:rPr>
          <w:rFonts w:eastAsia="仿宋_GB2312"/>
          <w:b/>
          <w:bCs/>
          <w:sz w:val="32"/>
          <w:szCs w:val="32"/>
        </w:rPr>
        <w:t>情况</w:t>
      </w:r>
    </w:p>
    <w:p>
      <w:pPr>
        <w:pStyle w:val="14"/>
        <w:keepNext w:val="0"/>
        <w:keepLines w:val="0"/>
        <w:pageBreakBefore w:val="0"/>
        <w:kinsoku/>
        <w:wordWrap/>
        <w:overflowPunct/>
        <w:topLinePunct w:val="0"/>
        <w:bidi w:val="0"/>
        <w:adjustRightInd/>
        <w:snapToGrid/>
        <w:spacing w:line="240" w:lineRule="atLeast"/>
        <w:ind w:firstLine="640" w:firstLineChars="200"/>
        <w:textAlignment w:val="auto"/>
        <w:rPr>
          <w:rFonts w:ascii="仿宋" w:hAnsi="仿宋" w:eastAsia="仿宋"/>
          <w:sz w:val="32"/>
          <w:szCs w:val="32"/>
        </w:rPr>
      </w:pPr>
      <w:r>
        <w:rPr>
          <w:rFonts w:hint="eastAsia" w:ascii="仿宋" w:hAnsi="仿宋" w:eastAsia="仿宋"/>
          <w:sz w:val="32"/>
          <w:szCs w:val="32"/>
        </w:rPr>
        <w:t>2023年省农垦管理服务站收入年初预算数为653.23万元，年初结转和结余48.32万元，其他收入0.03万元，年中预算调整119.89万元，全年总收入为821.47万元。其中：一般公共预算财政拨款收入773.12万元，其他收入0.03万元，年初结转和结余48.32万元。</w:t>
      </w:r>
    </w:p>
    <w:p>
      <w:pPr>
        <w:pStyle w:val="14"/>
        <w:keepNext w:val="0"/>
        <w:keepLines w:val="0"/>
        <w:pageBreakBefore w:val="0"/>
        <w:kinsoku/>
        <w:wordWrap/>
        <w:overflowPunct/>
        <w:topLinePunct w:val="0"/>
        <w:bidi w:val="0"/>
        <w:adjustRightInd/>
        <w:snapToGrid/>
        <w:spacing w:line="240" w:lineRule="atLeast"/>
        <w:ind w:firstLine="640" w:firstLineChars="200"/>
        <w:textAlignment w:val="auto"/>
        <w:rPr>
          <w:rFonts w:ascii="仿宋" w:hAnsi="仿宋" w:eastAsia="仿宋"/>
          <w:sz w:val="32"/>
          <w:szCs w:val="32"/>
        </w:rPr>
      </w:pPr>
      <w:r>
        <w:rPr>
          <w:rFonts w:hint="eastAsia" w:ascii="仿宋" w:hAnsi="仿宋" w:eastAsia="仿宋"/>
          <w:sz w:val="32"/>
          <w:szCs w:val="32"/>
        </w:rPr>
        <w:t>2023年度省农垦管理服务站全年支出789.01万元，其中：基本支出688.37万元，项目支出100.64万元。</w:t>
      </w:r>
    </w:p>
    <w:p>
      <w:pPr>
        <w:pStyle w:val="14"/>
        <w:keepNext w:val="0"/>
        <w:keepLines w:val="0"/>
        <w:pageBreakBefore w:val="0"/>
        <w:kinsoku/>
        <w:wordWrap/>
        <w:overflowPunct/>
        <w:topLinePunct w:val="0"/>
        <w:bidi w:val="0"/>
        <w:adjustRightInd/>
        <w:snapToGrid/>
        <w:spacing w:line="240" w:lineRule="atLeast"/>
        <w:ind w:firstLine="640" w:firstLineChars="200"/>
        <w:textAlignment w:val="auto"/>
        <w:rPr>
          <w:rFonts w:ascii="仿宋" w:hAnsi="仿宋" w:eastAsia="仿宋"/>
          <w:sz w:val="32"/>
          <w:szCs w:val="32"/>
        </w:rPr>
      </w:pPr>
      <w:r>
        <w:rPr>
          <w:rFonts w:hint="eastAsia" w:ascii="仿宋" w:hAnsi="仿宋" w:eastAsia="仿宋"/>
          <w:b/>
          <w:bCs/>
          <w:sz w:val="32"/>
          <w:szCs w:val="32"/>
        </w:rPr>
        <w:t>三、一般公共预算支出情况</w:t>
      </w:r>
    </w:p>
    <w:p>
      <w:pPr>
        <w:pStyle w:val="14"/>
        <w:keepNext w:val="0"/>
        <w:keepLines w:val="0"/>
        <w:pageBreakBefore w:val="0"/>
        <w:kinsoku/>
        <w:wordWrap/>
        <w:overflowPunct/>
        <w:topLinePunct w:val="0"/>
        <w:bidi w:val="0"/>
        <w:adjustRightInd/>
        <w:snapToGrid/>
        <w:spacing w:line="240" w:lineRule="atLeast"/>
        <w:ind w:firstLine="640" w:firstLineChars="200"/>
        <w:textAlignment w:val="auto"/>
        <w:rPr>
          <w:rFonts w:ascii="仿宋" w:hAnsi="仿宋" w:eastAsia="仿宋"/>
          <w:sz w:val="32"/>
          <w:szCs w:val="32"/>
        </w:rPr>
      </w:pPr>
      <w:r>
        <w:rPr>
          <w:rFonts w:hint="eastAsia" w:ascii="仿宋" w:hAnsi="仿宋" w:eastAsia="仿宋"/>
          <w:sz w:val="32"/>
          <w:szCs w:val="32"/>
        </w:rPr>
        <w:t>2023年省农垦管理服务站一般公共预算收入821.23万元，其中部门预算收入773.12万元，上年结转结余48.11万元，全年一般公共预算支出共计788.77万元，年末结余结转32.46万元。</w:t>
      </w:r>
    </w:p>
    <w:p>
      <w:pPr>
        <w:pStyle w:val="14"/>
        <w:keepNext w:val="0"/>
        <w:keepLines w:val="0"/>
        <w:pageBreakBefore w:val="0"/>
        <w:kinsoku/>
        <w:wordWrap/>
        <w:overflowPunct/>
        <w:topLinePunct w:val="0"/>
        <w:bidi w:val="0"/>
        <w:adjustRightInd/>
        <w:snapToGrid/>
        <w:spacing w:line="240" w:lineRule="atLeast"/>
        <w:ind w:firstLine="640" w:firstLineChars="200"/>
        <w:textAlignment w:val="auto"/>
        <w:rPr>
          <w:rFonts w:ascii="仿宋" w:hAnsi="仿宋" w:eastAsia="仿宋"/>
          <w:b/>
          <w:color w:val="000000" w:themeColor="text1"/>
          <w:sz w:val="32"/>
          <w:szCs w:val="32"/>
          <w14:textFill>
            <w14:solidFill>
              <w14:schemeClr w14:val="tx1"/>
            </w14:solidFill>
          </w14:textFill>
        </w:rPr>
      </w:pPr>
      <w:r>
        <w:rPr>
          <w:rFonts w:hint="eastAsia" w:ascii="仿宋" w:hAnsi="仿宋" w:eastAsia="仿宋"/>
          <w:b/>
          <w:bCs/>
          <w:color w:val="000000" w:themeColor="text1"/>
          <w:sz w:val="32"/>
          <w:szCs w:val="32"/>
          <w14:textFill>
            <w14:solidFill>
              <w14:schemeClr w14:val="tx1"/>
            </w14:solidFill>
          </w14:textFill>
        </w:rPr>
        <w:t>（一）部门预算批复情况</w:t>
      </w:r>
    </w:p>
    <w:p>
      <w:pPr>
        <w:pStyle w:val="14"/>
        <w:keepNext w:val="0"/>
        <w:keepLines w:val="0"/>
        <w:pageBreakBefore w:val="0"/>
        <w:kinsoku/>
        <w:wordWrap/>
        <w:overflowPunct/>
        <w:topLinePunct w:val="0"/>
        <w:bidi w:val="0"/>
        <w:adjustRightInd/>
        <w:snapToGrid/>
        <w:spacing w:line="240" w:lineRule="atLeas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b/>
          <w:bCs/>
          <w:color w:val="000000" w:themeColor="text1"/>
          <w:sz w:val="32"/>
          <w:szCs w:val="32"/>
          <w14:textFill>
            <w14:solidFill>
              <w14:schemeClr w14:val="tx1"/>
            </w14:solidFill>
          </w14:textFill>
        </w:rPr>
        <w:t>1.基本支出情况。</w:t>
      </w:r>
      <w:r>
        <w:rPr>
          <w:rFonts w:hint="eastAsia" w:ascii="仿宋" w:hAnsi="仿宋" w:eastAsia="仿宋"/>
          <w:color w:val="000000" w:themeColor="text1"/>
          <w:sz w:val="32"/>
          <w:szCs w:val="32"/>
          <w14:textFill>
            <w14:solidFill>
              <w14:schemeClr w14:val="tx1"/>
            </w14:solidFill>
          </w14:textFill>
        </w:rPr>
        <w:t>2023年省农垦管理服务站一般公共预算支出中基本支出预算为616.82万元，上年结转结余0万元，年中追加</w:t>
      </w:r>
      <w:r>
        <w:rPr>
          <w:rFonts w:hint="eastAsia" w:ascii="仿宋" w:hAnsi="仿宋" w:eastAsia="仿宋"/>
          <w:color w:val="000000" w:themeColor="text1"/>
          <w:sz w:val="32"/>
          <w:szCs w:val="32"/>
          <w:lang w:val="en-US" w:eastAsia="zh-CN"/>
          <w14:textFill>
            <w14:solidFill>
              <w14:schemeClr w14:val="tx1"/>
            </w14:solidFill>
          </w14:textFill>
        </w:rPr>
        <w:t>89.89</w:t>
      </w:r>
      <w:r>
        <w:rPr>
          <w:rFonts w:hint="eastAsia" w:ascii="仿宋" w:hAnsi="仿宋" w:eastAsia="仿宋"/>
          <w:color w:val="000000" w:themeColor="text1"/>
          <w:sz w:val="32"/>
          <w:szCs w:val="32"/>
          <w14:textFill>
            <w14:solidFill>
              <w14:schemeClr w14:val="tx1"/>
            </w14:solidFill>
          </w14:textFill>
        </w:rPr>
        <w:t>万元，全年一般公共预算基本支出为</w:t>
      </w:r>
      <w:r>
        <w:rPr>
          <w:rFonts w:hint="eastAsia" w:ascii="仿宋" w:hAnsi="仿宋" w:eastAsia="仿宋"/>
          <w:color w:val="000000" w:themeColor="text1"/>
          <w:sz w:val="32"/>
          <w:szCs w:val="32"/>
          <w:lang w:val="en-US" w:eastAsia="zh-CN"/>
          <w14:textFill>
            <w14:solidFill>
              <w14:schemeClr w14:val="tx1"/>
            </w14:solidFill>
          </w14:textFill>
        </w:rPr>
        <w:t>688.13</w:t>
      </w:r>
      <w:r>
        <w:rPr>
          <w:rFonts w:hint="eastAsia" w:ascii="仿宋" w:hAnsi="仿宋" w:eastAsia="仿宋"/>
          <w:color w:val="000000" w:themeColor="text1"/>
          <w:sz w:val="32"/>
          <w:szCs w:val="32"/>
          <w14:textFill>
            <w14:solidFill>
              <w14:schemeClr w14:val="tx1"/>
            </w14:solidFill>
          </w14:textFill>
        </w:rPr>
        <w:t>万元，其中工资福利支出</w:t>
      </w:r>
      <w:r>
        <w:rPr>
          <w:rFonts w:hint="eastAsia" w:ascii="仿宋" w:hAnsi="仿宋" w:eastAsia="仿宋"/>
          <w:color w:val="000000" w:themeColor="text1"/>
          <w:sz w:val="32"/>
          <w:szCs w:val="32"/>
          <w:lang w:val="en-US" w:eastAsia="zh-CN"/>
          <w14:textFill>
            <w14:solidFill>
              <w14:schemeClr w14:val="tx1"/>
            </w14:solidFill>
          </w14:textFill>
        </w:rPr>
        <w:t>436.50</w:t>
      </w:r>
      <w:r>
        <w:rPr>
          <w:rFonts w:hint="eastAsia" w:ascii="仿宋" w:hAnsi="仿宋" w:eastAsia="仿宋"/>
          <w:color w:val="000000" w:themeColor="text1"/>
          <w:sz w:val="32"/>
          <w:szCs w:val="32"/>
          <w14:textFill>
            <w14:solidFill>
              <w14:schemeClr w14:val="tx1"/>
            </w14:solidFill>
          </w14:textFill>
        </w:rPr>
        <w:t>万元，商品和服务支出</w:t>
      </w:r>
      <w:r>
        <w:rPr>
          <w:rFonts w:hint="eastAsia" w:ascii="仿宋" w:hAnsi="仿宋" w:eastAsia="仿宋"/>
          <w:color w:val="000000" w:themeColor="text1"/>
          <w:sz w:val="32"/>
          <w:szCs w:val="32"/>
          <w:lang w:val="en-US" w:eastAsia="zh-CN"/>
          <w14:textFill>
            <w14:solidFill>
              <w14:schemeClr w14:val="tx1"/>
            </w14:solidFill>
          </w14:textFill>
        </w:rPr>
        <w:t>78.12</w:t>
      </w:r>
      <w:r>
        <w:rPr>
          <w:rFonts w:hint="eastAsia" w:ascii="仿宋" w:hAnsi="仿宋" w:eastAsia="仿宋"/>
          <w:color w:val="000000" w:themeColor="text1"/>
          <w:sz w:val="32"/>
          <w:szCs w:val="32"/>
          <w14:textFill>
            <w14:solidFill>
              <w14:schemeClr w14:val="tx1"/>
            </w14:solidFill>
          </w14:textFill>
        </w:rPr>
        <w:t>万元，对个人和家庭的补助</w:t>
      </w:r>
      <w:r>
        <w:rPr>
          <w:rFonts w:hint="eastAsia" w:ascii="仿宋" w:hAnsi="仿宋" w:eastAsia="仿宋"/>
          <w:color w:val="000000" w:themeColor="text1"/>
          <w:sz w:val="32"/>
          <w:szCs w:val="32"/>
          <w:lang w:val="en-US" w:eastAsia="zh-CN"/>
          <w14:textFill>
            <w14:solidFill>
              <w14:schemeClr w14:val="tx1"/>
            </w14:solidFill>
          </w14:textFill>
        </w:rPr>
        <w:t>173.51</w:t>
      </w:r>
      <w:r>
        <w:rPr>
          <w:rFonts w:hint="eastAsia" w:ascii="仿宋" w:hAnsi="仿宋" w:eastAsia="仿宋"/>
          <w:color w:val="000000" w:themeColor="text1"/>
          <w:sz w:val="32"/>
          <w:szCs w:val="32"/>
          <w14:textFill>
            <w14:solidFill>
              <w14:schemeClr w14:val="tx1"/>
            </w14:solidFill>
          </w14:textFill>
        </w:rPr>
        <w:t>万元，年末结转结余</w:t>
      </w:r>
      <w:r>
        <w:rPr>
          <w:rFonts w:hint="eastAsia" w:ascii="仿宋" w:hAnsi="仿宋" w:eastAsia="仿宋"/>
          <w:color w:val="000000" w:themeColor="text1"/>
          <w:sz w:val="32"/>
          <w:szCs w:val="32"/>
          <w:lang w:val="en-US" w:eastAsia="zh-CN"/>
          <w14:textFill>
            <w14:solidFill>
              <w14:schemeClr w14:val="tx1"/>
            </w14:solidFill>
          </w14:textFill>
        </w:rPr>
        <w:t>18.58</w:t>
      </w:r>
      <w:r>
        <w:rPr>
          <w:rFonts w:hint="eastAsia" w:ascii="仿宋" w:hAnsi="仿宋" w:eastAsia="仿宋"/>
          <w:color w:val="000000" w:themeColor="text1"/>
          <w:sz w:val="32"/>
          <w:szCs w:val="32"/>
          <w14:textFill>
            <w14:solidFill>
              <w14:schemeClr w14:val="tx1"/>
            </w14:solidFill>
          </w14:textFill>
        </w:rPr>
        <w:t>万元。</w:t>
      </w:r>
    </w:p>
    <w:p>
      <w:pPr>
        <w:pStyle w:val="14"/>
        <w:keepNext w:val="0"/>
        <w:keepLines w:val="0"/>
        <w:pageBreakBefore w:val="0"/>
        <w:kinsoku/>
        <w:wordWrap/>
        <w:overflowPunct/>
        <w:topLinePunct w:val="0"/>
        <w:bidi w:val="0"/>
        <w:adjustRightInd/>
        <w:snapToGrid/>
        <w:spacing w:line="240" w:lineRule="atLeast"/>
        <w:ind w:firstLine="640" w:firstLineChars="200"/>
        <w:textAlignment w:val="auto"/>
        <w:rPr>
          <w:rFonts w:ascii="仿宋" w:hAnsi="仿宋" w:eastAsia="仿宋"/>
          <w:color w:val="FF0000"/>
          <w:sz w:val="32"/>
          <w:szCs w:val="32"/>
        </w:rPr>
      </w:pPr>
      <w:r>
        <w:rPr>
          <w:rFonts w:hint="eastAsia" w:ascii="仿宋" w:hAnsi="仿宋" w:eastAsia="仿宋"/>
          <w:b/>
          <w:bCs/>
          <w:color w:val="000000" w:themeColor="text1"/>
          <w:sz w:val="32"/>
          <w:szCs w:val="32"/>
          <w14:textFill>
            <w14:solidFill>
              <w14:schemeClr w14:val="tx1"/>
            </w14:solidFill>
          </w14:textFill>
        </w:rPr>
        <w:t>2.项目支出情况</w:t>
      </w:r>
      <w:r>
        <w:rPr>
          <w:rFonts w:hint="eastAsia" w:ascii="仿宋" w:hAnsi="仿宋" w:eastAsia="仿宋"/>
          <w:color w:val="000000" w:themeColor="text1"/>
          <w:sz w:val="32"/>
          <w:szCs w:val="32"/>
          <w14:textFill>
            <w14:solidFill>
              <w14:schemeClr w14:val="tx1"/>
            </w14:solidFill>
          </w14:textFill>
        </w:rPr>
        <w:t>。2023年省农垦管理服务站一般公共预算支出中项目支出预算为</w:t>
      </w:r>
      <w:r>
        <w:rPr>
          <w:rFonts w:hint="eastAsia" w:ascii="仿宋" w:hAnsi="仿宋" w:eastAsia="仿宋"/>
          <w:color w:val="000000" w:themeColor="text1"/>
          <w:sz w:val="32"/>
          <w:szCs w:val="32"/>
          <w:lang w:val="en-US" w:eastAsia="zh-CN"/>
          <w14:textFill>
            <w14:solidFill>
              <w14:schemeClr w14:val="tx1"/>
            </w14:solidFill>
          </w14:textFill>
        </w:rPr>
        <w:t>67.84</w:t>
      </w:r>
      <w:r>
        <w:rPr>
          <w:rFonts w:hint="eastAsia" w:ascii="仿宋" w:hAnsi="仿宋" w:eastAsia="仿宋"/>
          <w:color w:val="000000" w:themeColor="text1"/>
          <w:sz w:val="32"/>
          <w:szCs w:val="32"/>
          <w14:textFill>
            <w14:solidFill>
              <w14:schemeClr w14:val="tx1"/>
            </w14:solidFill>
          </w14:textFill>
        </w:rPr>
        <w:t>万元，上年结转结余</w:t>
      </w:r>
      <w:r>
        <w:rPr>
          <w:rFonts w:hint="eastAsia" w:ascii="仿宋" w:hAnsi="仿宋" w:eastAsia="仿宋"/>
          <w:color w:val="000000" w:themeColor="text1"/>
          <w:sz w:val="32"/>
          <w:szCs w:val="32"/>
          <w:lang w:val="en-US" w:eastAsia="zh-CN"/>
          <w14:textFill>
            <w14:solidFill>
              <w14:schemeClr w14:val="tx1"/>
            </w14:solidFill>
          </w14:textFill>
        </w:rPr>
        <w:t>16.68</w:t>
      </w:r>
      <w:r>
        <w:rPr>
          <w:rFonts w:hint="eastAsia" w:ascii="仿宋" w:hAnsi="仿宋" w:eastAsia="仿宋"/>
          <w:color w:val="000000" w:themeColor="text1"/>
          <w:sz w:val="32"/>
          <w:szCs w:val="32"/>
          <w14:textFill>
            <w14:solidFill>
              <w14:schemeClr w14:val="tx1"/>
            </w14:solidFill>
          </w14:textFill>
        </w:rPr>
        <w:t>万元，年中追加</w:t>
      </w:r>
      <w:r>
        <w:rPr>
          <w:rFonts w:hint="eastAsia" w:ascii="仿宋" w:hAnsi="仿宋" w:eastAsia="仿宋"/>
          <w:color w:val="000000" w:themeColor="text1"/>
          <w:sz w:val="32"/>
          <w:szCs w:val="32"/>
          <w:lang w:val="en-US" w:eastAsia="zh-CN"/>
          <w14:textFill>
            <w14:solidFill>
              <w14:schemeClr w14:val="tx1"/>
            </w14:solidFill>
          </w14:textFill>
        </w:rPr>
        <w:t>30.00</w:t>
      </w:r>
      <w:r>
        <w:rPr>
          <w:rFonts w:hint="eastAsia" w:ascii="仿宋" w:hAnsi="仿宋" w:eastAsia="仿宋"/>
          <w:color w:val="000000" w:themeColor="text1"/>
          <w:sz w:val="32"/>
          <w:szCs w:val="32"/>
          <w14:textFill>
            <w14:solidFill>
              <w14:schemeClr w14:val="tx1"/>
            </w14:solidFill>
          </w14:textFill>
        </w:rPr>
        <w:t>万元，全年一般公共预算项目支出</w:t>
      </w:r>
      <w:r>
        <w:rPr>
          <w:rFonts w:hint="eastAsia" w:ascii="仿宋" w:hAnsi="仿宋" w:eastAsia="仿宋"/>
          <w:color w:val="000000" w:themeColor="text1"/>
          <w:sz w:val="32"/>
          <w:szCs w:val="32"/>
          <w:lang w:val="en-US" w:eastAsia="zh-CN"/>
          <w14:textFill>
            <w14:solidFill>
              <w14:schemeClr w14:val="tx1"/>
            </w14:solidFill>
          </w14:textFill>
        </w:rPr>
        <w:t>100.64</w:t>
      </w:r>
      <w:r>
        <w:rPr>
          <w:rFonts w:hint="eastAsia" w:ascii="仿宋" w:hAnsi="仿宋" w:eastAsia="仿宋"/>
          <w:color w:val="000000" w:themeColor="text1"/>
          <w:sz w:val="32"/>
          <w:szCs w:val="32"/>
          <w14:textFill>
            <w14:solidFill>
              <w14:schemeClr w14:val="tx1"/>
            </w14:solidFill>
          </w14:textFill>
        </w:rPr>
        <w:t>万元，其中商品和服务支出</w:t>
      </w:r>
      <w:r>
        <w:rPr>
          <w:rFonts w:hint="eastAsia" w:ascii="仿宋" w:hAnsi="仿宋" w:eastAsia="仿宋"/>
          <w:color w:val="000000" w:themeColor="text1"/>
          <w:sz w:val="32"/>
          <w:szCs w:val="32"/>
          <w:lang w:val="en-US" w:eastAsia="zh-CN"/>
          <w14:textFill>
            <w14:solidFill>
              <w14:schemeClr w14:val="tx1"/>
            </w14:solidFill>
          </w14:textFill>
        </w:rPr>
        <w:t>99.96</w:t>
      </w:r>
      <w:r>
        <w:rPr>
          <w:rFonts w:hint="eastAsia" w:ascii="仿宋" w:hAnsi="仿宋" w:eastAsia="仿宋"/>
          <w:color w:val="000000" w:themeColor="text1"/>
          <w:sz w:val="32"/>
          <w:szCs w:val="32"/>
          <w14:textFill>
            <w14:solidFill>
              <w14:schemeClr w14:val="tx1"/>
            </w14:solidFill>
          </w14:textFill>
        </w:rPr>
        <w:t>万元，办公设备的购置</w:t>
      </w:r>
      <w:r>
        <w:rPr>
          <w:rFonts w:hint="eastAsia" w:ascii="仿宋" w:hAnsi="仿宋" w:eastAsia="仿宋"/>
          <w:color w:val="000000" w:themeColor="text1"/>
          <w:sz w:val="32"/>
          <w:szCs w:val="32"/>
          <w:lang w:val="en-US" w:eastAsia="zh-CN"/>
          <w14:textFill>
            <w14:solidFill>
              <w14:schemeClr w14:val="tx1"/>
            </w14:solidFill>
          </w14:textFill>
        </w:rPr>
        <w:t>0.68</w:t>
      </w:r>
      <w:r>
        <w:rPr>
          <w:rFonts w:hint="eastAsia" w:ascii="仿宋" w:hAnsi="仿宋" w:eastAsia="仿宋"/>
          <w:color w:val="000000" w:themeColor="text1"/>
          <w:sz w:val="32"/>
          <w:szCs w:val="32"/>
          <w14:textFill>
            <w14:solidFill>
              <w14:schemeClr w14:val="tx1"/>
            </w14:solidFill>
          </w14:textFill>
        </w:rPr>
        <w:t>万元，年末结转结余</w:t>
      </w:r>
      <w:r>
        <w:rPr>
          <w:rFonts w:hint="eastAsia" w:ascii="仿宋" w:hAnsi="仿宋" w:eastAsia="仿宋"/>
          <w:color w:val="000000" w:themeColor="text1"/>
          <w:sz w:val="32"/>
          <w:szCs w:val="32"/>
          <w:lang w:val="en-US" w:eastAsia="zh-CN"/>
          <w14:textFill>
            <w14:solidFill>
              <w14:schemeClr w14:val="tx1"/>
            </w14:solidFill>
          </w14:textFill>
        </w:rPr>
        <w:t>13.88</w:t>
      </w:r>
      <w:r>
        <w:rPr>
          <w:rFonts w:hint="eastAsia" w:ascii="仿宋" w:hAnsi="仿宋" w:eastAsia="仿宋"/>
          <w:color w:val="000000" w:themeColor="text1"/>
          <w:sz w:val="32"/>
          <w:szCs w:val="32"/>
          <w14:textFill>
            <w14:solidFill>
              <w14:schemeClr w14:val="tx1"/>
            </w14:solidFill>
          </w14:textFill>
        </w:rPr>
        <w:t>万元</w:t>
      </w:r>
      <w:r>
        <w:rPr>
          <w:rFonts w:hint="eastAsia" w:ascii="仿宋" w:hAnsi="仿宋" w:eastAsia="仿宋"/>
          <w:color w:val="FF0000"/>
          <w:sz w:val="32"/>
          <w:szCs w:val="32"/>
        </w:rPr>
        <w:t>。</w:t>
      </w:r>
    </w:p>
    <w:p>
      <w:pPr>
        <w:pStyle w:val="14"/>
        <w:keepNext w:val="0"/>
        <w:keepLines w:val="0"/>
        <w:pageBreakBefore w:val="0"/>
        <w:kinsoku/>
        <w:wordWrap/>
        <w:overflowPunct/>
        <w:topLinePunct w:val="0"/>
        <w:bidi w:val="0"/>
        <w:adjustRightInd/>
        <w:snapToGrid/>
        <w:spacing w:line="240" w:lineRule="atLeast"/>
        <w:ind w:firstLine="640" w:firstLineChars="200"/>
        <w:textAlignment w:val="auto"/>
        <w:rPr>
          <w:rFonts w:hint="eastAsia" w:ascii="仿宋" w:hAnsi="仿宋" w:eastAsia="仿宋"/>
          <w:b/>
          <w:bCs/>
          <w:color w:val="auto"/>
          <w:sz w:val="32"/>
          <w:szCs w:val="32"/>
        </w:rPr>
      </w:pPr>
      <w:r>
        <w:rPr>
          <w:rFonts w:hint="eastAsia" w:ascii="仿宋" w:hAnsi="仿宋" w:eastAsia="仿宋"/>
          <w:b/>
          <w:bCs/>
          <w:color w:val="auto"/>
          <w:sz w:val="32"/>
          <w:szCs w:val="32"/>
        </w:rPr>
        <w:t>（二）省级专项支出情况</w:t>
      </w:r>
    </w:p>
    <w:p>
      <w:pPr>
        <w:pStyle w:val="14"/>
        <w:keepNext w:val="0"/>
        <w:keepLines w:val="0"/>
        <w:pageBreakBefore w:val="0"/>
        <w:kinsoku/>
        <w:wordWrap/>
        <w:overflowPunct/>
        <w:topLinePunct w:val="0"/>
        <w:bidi w:val="0"/>
        <w:adjustRightInd/>
        <w:snapToGrid/>
        <w:spacing w:line="240" w:lineRule="atLeast"/>
        <w:ind w:firstLine="640" w:firstLineChars="200"/>
        <w:textAlignment w:val="auto"/>
        <w:rPr>
          <w:rFonts w:hint="default" w:ascii="仿宋" w:hAnsi="仿宋" w:eastAsia="仿宋"/>
          <w:bCs/>
          <w:color w:val="auto"/>
          <w:sz w:val="32"/>
          <w:szCs w:val="32"/>
          <w:lang w:val="en-US" w:eastAsia="zh-CN"/>
        </w:rPr>
      </w:pPr>
      <w:r>
        <w:rPr>
          <w:rFonts w:hint="eastAsia" w:ascii="仿宋" w:hAnsi="仿宋" w:eastAsia="仿宋"/>
          <w:bCs/>
          <w:color w:val="auto"/>
          <w:sz w:val="32"/>
          <w:szCs w:val="32"/>
          <w:lang w:val="en-US" w:eastAsia="zh-CN"/>
        </w:rPr>
        <w:t>2023年</w:t>
      </w:r>
      <w:r>
        <w:rPr>
          <w:rFonts w:hint="eastAsia" w:ascii="仿宋" w:hAnsi="仿宋" w:eastAsia="仿宋"/>
          <w:bCs/>
          <w:color w:val="auto"/>
          <w:sz w:val="32"/>
          <w:szCs w:val="32"/>
        </w:rPr>
        <w:t>省农垦管理服务站</w:t>
      </w:r>
      <w:r>
        <w:rPr>
          <w:rFonts w:hint="eastAsia" w:ascii="仿宋" w:hAnsi="仿宋" w:eastAsia="仿宋"/>
          <w:bCs/>
          <w:color w:val="auto"/>
          <w:sz w:val="32"/>
          <w:szCs w:val="32"/>
          <w:lang w:val="en-US" w:eastAsia="zh-CN"/>
        </w:rPr>
        <w:t>一般公共预算支出中省级专项支出预算为23万元，上年结转结余0.10万元，年中追加0万元，全年一般公共预算省级专项支出17.34万元，其中商品和服务支出17.34万元，年末结转结余5.76万元。</w:t>
      </w:r>
    </w:p>
    <w:p>
      <w:pPr>
        <w:pStyle w:val="14"/>
        <w:keepNext w:val="0"/>
        <w:keepLines w:val="0"/>
        <w:pageBreakBefore w:val="0"/>
        <w:kinsoku/>
        <w:wordWrap/>
        <w:overflowPunct/>
        <w:topLinePunct w:val="0"/>
        <w:bidi w:val="0"/>
        <w:adjustRightInd/>
        <w:snapToGrid/>
        <w:spacing w:line="240" w:lineRule="atLeast"/>
        <w:ind w:firstLine="640" w:firstLineChars="200"/>
        <w:textAlignment w:val="auto"/>
        <w:rPr>
          <w:rFonts w:ascii="仿宋" w:hAnsi="仿宋" w:eastAsia="仿宋"/>
          <w:b/>
          <w:bCs/>
          <w:sz w:val="32"/>
          <w:szCs w:val="32"/>
        </w:rPr>
      </w:pPr>
      <w:r>
        <w:rPr>
          <w:rFonts w:hint="eastAsia" w:ascii="仿宋" w:hAnsi="仿宋" w:eastAsia="仿宋"/>
          <w:b/>
          <w:bCs/>
          <w:sz w:val="32"/>
          <w:szCs w:val="32"/>
        </w:rPr>
        <w:t>四、政府性基金预算支出情况</w:t>
      </w:r>
    </w:p>
    <w:p>
      <w:pPr>
        <w:pStyle w:val="14"/>
        <w:keepNext w:val="0"/>
        <w:keepLines w:val="0"/>
        <w:pageBreakBefore w:val="0"/>
        <w:kinsoku/>
        <w:wordWrap/>
        <w:overflowPunct/>
        <w:topLinePunct w:val="0"/>
        <w:bidi w:val="0"/>
        <w:adjustRightInd/>
        <w:snapToGrid/>
        <w:spacing w:line="240" w:lineRule="atLeast"/>
        <w:ind w:firstLine="640" w:firstLineChars="200"/>
        <w:textAlignment w:val="auto"/>
        <w:rPr>
          <w:rFonts w:ascii="仿宋" w:hAnsi="仿宋" w:eastAsia="仿宋"/>
          <w:bCs/>
          <w:sz w:val="32"/>
          <w:szCs w:val="32"/>
        </w:rPr>
      </w:pPr>
      <w:r>
        <w:rPr>
          <w:rFonts w:hint="eastAsia" w:ascii="仿宋" w:hAnsi="仿宋" w:eastAsia="仿宋"/>
          <w:bCs/>
          <w:sz w:val="32"/>
          <w:szCs w:val="32"/>
        </w:rPr>
        <w:t>省农垦管理服务站2023年度无政府性基金预算开支。</w:t>
      </w:r>
    </w:p>
    <w:p>
      <w:pPr>
        <w:pStyle w:val="14"/>
        <w:keepNext w:val="0"/>
        <w:keepLines w:val="0"/>
        <w:pageBreakBefore w:val="0"/>
        <w:kinsoku/>
        <w:wordWrap/>
        <w:overflowPunct/>
        <w:topLinePunct w:val="0"/>
        <w:bidi w:val="0"/>
        <w:adjustRightInd/>
        <w:snapToGrid/>
        <w:spacing w:line="240" w:lineRule="atLeast"/>
        <w:ind w:firstLine="640" w:firstLineChars="200"/>
        <w:textAlignment w:val="auto"/>
        <w:rPr>
          <w:rFonts w:ascii="仿宋" w:hAnsi="仿宋" w:eastAsia="仿宋"/>
          <w:b/>
          <w:bCs/>
          <w:sz w:val="32"/>
          <w:szCs w:val="32"/>
        </w:rPr>
      </w:pPr>
      <w:r>
        <w:rPr>
          <w:rFonts w:hint="eastAsia" w:ascii="仿宋" w:hAnsi="仿宋" w:eastAsia="仿宋"/>
          <w:b/>
          <w:bCs/>
          <w:sz w:val="32"/>
          <w:szCs w:val="32"/>
        </w:rPr>
        <w:t>五、国有资本经营预算支出情况</w:t>
      </w:r>
    </w:p>
    <w:p>
      <w:pPr>
        <w:pStyle w:val="14"/>
        <w:keepNext w:val="0"/>
        <w:keepLines w:val="0"/>
        <w:pageBreakBefore w:val="0"/>
        <w:kinsoku/>
        <w:wordWrap/>
        <w:overflowPunct/>
        <w:topLinePunct w:val="0"/>
        <w:bidi w:val="0"/>
        <w:adjustRightInd/>
        <w:snapToGrid/>
        <w:spacing w:line="240" w:lineRule="atLeast"/>
        <w:ind w:firstLine="640" w:firstLineChars="200"/>
        <w:textAlignment w:val="auto"/>
        <w:rPr>
          <w:rFonts w:ascii="仿宋" w:hAnsi="仿宋" w:eastAsia="仿宋"/>
          <w:bCs/>
          <w:sz w:val="32"/>
          <w:szCs w:val="32"/>
        </w:rPr>
      </w:pPr>
      <w:r>
        <w:rPr>
          <w:rFonts w:hint="eastAsia" w:ascii="仿宋" w:hAnsi="仿宋" w:eastAsia="仿宋"/>
          <w:bCs/>
          <w:sz w:val="32"/>
          <w:szCs w:val="32"/>
        </w:rPr>
        <w:t>省农垦管理服务站2023年度无国有资本经营预算开支。</w:t>
      </w:r>
    </w:p>
    <w:p>
      <w:pPr>
        <w:pStyle w:val="14"/>
        <w:keepNext w:val="0"/>
        <w:keepLines w:val="0"/>
        <w:pageBreakBefore w:val="0"/>
        <w:kinsoku/>
        <w:wordWrap/>
        <w:overflowPunct/>
        <w:topLinePunct w:val="0"/>
        <w:bidi w:val="0"/>
        <w:adjustRightInd/>
        <w:snapToGrid/>
        <w:spacing w:line="240" w:lineRule="atLeast"/>
        <w:ind w:firstLine="640" w:firstLineChars="200"/>
        <w:textAlignment w:val="auto"/>
        <w:rPr>
          <w:rFonts w:ascii="仿宋" w:hAnsi="仿宋" w:eastAsia="仿宋"/>
          <w:b/>
          <w:bCs/>
          <w:sz w:val="32"/>
          <w:szCs w:val="32"/>
        </w:rPr>
      </w:pPr>
      <w:r>
        <w:rPr>
          <w:rFonts w:hint="eastAsia" w:ascii="仿宋" w:hAnsi="仿宋" w:eastAsia="仿宋"/>
          <w:b/>
          <w:bCs/>
          <w:sz w:val="32"/>
          <w:szCs w:val="32"/>
        </w:rPr>
        <w:t>六、社会保险基金预算支出情况</w:t>
      </w:r>
    </w:p>
    <w:p>
      <w:pPr>
        <w:pStyle w:val="14"/>
        <w:keepNext w:val="0"/>
        <w:keepLines w:val="0"/>
        <w:pageBreakBefore w:val="0"/>
        <w:kinsoku/>
        <w:wordWrap/>
        <w:overflowPunct/>
        <w:topLinePunct w:val="0"/>
        <w:bidi w:val="0"/>
        <w:adjustRightInd/>
        <w:snapToGrid/>
        <w:spacing w:line="240" w:lineRule="atLeast"/>
        <w:ind w:firstLine="640" w:firstLineChars="200"/>
        <w:textAlignment w:val="auto"/>
        <w:rPr>
          <w:rFonts w:ascii="仿宋" w:hAnsi="仿宋" w:eastAsia="仿宋"/>
          <w:bCs/>
          <w:sz w:val="32"/>
          <w:szCs w:val="32"/>
        </w:rPr>
      </w:pPr>
      <w:r>
        <w:rPr>
          <w:rFonts w:hint="eastAsia" w:ascii="仿宋" w:hAnsi="仿宋" w:eastAsia="仿宋"/>
          <w:bCs/>
          <w:sz w:val="32"/>
          <w:szCs w:val="32"/>
        </w:rPr>
        <w:t>省农垦管理服务站2023年度无社会保险基金预算开支。</w:t>
      </w:r>
    </w:p>
    <w:p>
      <w:pPr>
        <w:pStyle w:val="14"/>
        <w:keepNext w:val="0"/>
        <w:keepLines w:val="0"/>
        <w:pageBreakBefore w:val="0"/>
        <w:kinsoku/>
        <w:wordWrap/>
        <w:overflowPunct/>
        <w:topLinePunct w:val="0"/>
        <w:bidi w:val="0"/>
        <w:adjustRightInd/>
        <w:snapToGrid/>
        <w:spacing w:line="240" w:lineRule="atLeast"/>
        <w:ind w:firstLine="640" w:firstLineChars="200"/>
        <w:textAlignment w:val="auto"/>
        <w:rPr>
          <w:rFonts w:ascii="仿宋" w:hAnsi="仿宋" w:eastAsia="仿宋"/>
          <w:b/>
          <w:bCs/>
          <w:sz w:val="32"/>
          <w:szCs w:val="32"/>
        </w:rPr>
      </w:pPr>
      <w:r>
        <w:rPr>
          <w:rFonts w:hint="eastAsia" w:ascii="仿宋" w:hAnsi="仿宋" w:eastAsia="仿宋"/>
          <w:b/>
          <w:bCs/>
          <w:sz w:val="32"/>
          <w:szCs w:val="32"/>
        </w:rPr>
        <w:t>七、单位整体支出绩效情况</w:t>
      </w:r>
    </w:p>
    <w:p>
      <w:pPr>
        <w:pStyle w:val="14"/>
        <w:keepNext w:val="0"/>
        <w:keepLines w:val="0"/>
        <w:pageBreakBefore w:val="0"/>
        <w:kinsoku/>
        <w:wordWrap/>
        <w:overflowPunct/>
        <w:topLinePunct w:val="0"/>
        <w:bidi w:val="0"/>
        <w:adjustRightInd/>
        <w:snapToGrid/>
        <w:spacing w:line="240" w:lineRule="atLeast"/>
        <w:ind w:firstLine="640" w:firstLineChars="200"/>
        <w:textAlignment w:val="auto"/>
        <w:rPr>
          <w:rFonts w:ascii="仿宋" w:hAnsi="仿宋" w:eastAsia="仿宋"/>
          <w:b/>
          <w:bCs/>
          <w:sz w:val="32"/>
          <w:szCs w:val="32"/>
        </w:rPr>
      </w:pPr>
      <w:r>
        <w:rPr>
          <w:rFonts w:hint="eastAsia" w:ascii="仿宋" w:hAnsi="仿宋" w:eastAsia="仿宋"/>
          <w:b/>
          <w:bCs/>
          <w:sz w:val="32"/>
          <w:szCs w:val="32"/>
        </w:rPr>
        <w:t>（一）绩效评价结果</w:t>
      </w:r>
    </w:p>
    <w:p>
      <w:pPr>
        <w:pStyle w:val="14"/>
        <w:keepNext w:val="0"/>
        <w:keepLines w:val="0"/>
        <w:pageBreakBefore w:val="0"/>
        <w:kinsoku/>
        <w:wordWrap/>
        <w:overflowPunct/>
        <w:topLinePunct w:val="0"/>
        <w:bidi w:val="0"/>
        <w:adjustRightInd/>
        <w:snapToGrid/>
        <w:spacing w:line="240" w:lineRule="atLeast"/>
        <w:ind w:firstLine="640" w:firstLineChars="200"/>
        <w:textAlignment w:val="auto"/>
        <w:rPr>
          <w:rFonts w:ascii="仿宋" w:hAnsi="仿宋" w:eastAsia="仿宋"/>
          <w:b/>
          <w:bCs/>
          <w:sz w:val="32"/>
          <w:szCs w:val="32"/>
        </w:rPr>
      </w:pPr>
      <w:r>
        <w:rPr>
          <w:rFonts w:hint="eastAsia" w:ascii="仿宋" w:hAnsi="仿宋" w:eastAsia="仿宋"/>
          <w:sz w:val="32"/>
          <w:szCs w:val="32"/>
        </w:rPr>
        <w:t>2023年度，省农垦管理服务站根据年初工作计划，认真履职尽责，较好地完成了年初确定的各项工作任务，为推进全省农垦发展做出了积极贡献。根据《部门整体支出绩效自评表》自评分9</w:t>
      </w:r>
      <w:r>
        <w:rPr>
          <w:rFonts w:hint="eastAsia" w:ascii="仿宋" w:hAnsi="仿宋" w:eastAsia="仿宋"/>
          <w:sz w:val="32"/>
          <w:szCs w:val="32"/>
          <w:lang w:val="en-US" w:eastAsia="zh-CN"/>
        </w:rPr>
        <w:t>8</w:t>
      </w:r>
      <w:r>
        <w:rPr>
          <w:rFonts w:hint="eastAsia" w:ascii="仿宋" w:hAnsi="仿宋" w:eastAsia="仿宋"/>
          <w:sz w:val="32"/>
          <w:szCs w:val="32"/>
        </w:rPr>
        <w:t xml:space="preserve">分（详见附件2），部门整体支出绩效为“优”。                                                                        </w:t>
      </w:r>
    </w:p>
    <w:p>
      <w:pPr>
        <w:pStyle w:val="14"/>
        <w:keepNext w:val="0"/>
        <w:keepLines w:val="0"/>
        <w:pageBreakBefore w:val="0"/>
        <w:kinsoku/>
        <w:wordWrap/>
        <w:overflowPunct/>
        <w:topLinePunct w:val="0"/>
        <w:bidi w:val="0"/>
        <w:adjustRightInd/>
        <w:snapToGrid/>
        <w:spacing w:line="240" w:lineRule="atLeast"/>
        <w:ind w:firstLine="640" w:firstLineChars="200"/>
        <w:textAlignment w:val="auto"/>
        <w:rPr>
          <w:rFonts w:ascii="仿宋" w:hAnsi="仿宋" w:eastAsia="仿宋" w:cs="Times New Roman"/>
          <w:b/>
          <w:bCs/>
          <w:sz w:val="32"/>
          <w:szCs w:val="32"/>
        </w:rPr>
      </w:pPr>
      <w:r>
        <w:rPr>
          <w:rFonts w:hint="eastAsia" w:ascii="仿宋" w:hAnsi="仿宋" w:eastAsia="仿宋" w:cs="Times New Roman"/>
          <w:b/>
          <w:bCs/>
          <w:sz w:val="32"/>
          <w:szCs w:val="32"/>
        </w:rPr>
        <w:t>（二）绩效评价分析</w:t>
      </w:r>
    </w:p>
    <w:p>
      <w:pPr>
        <w:keepNext w:val="0"/>
        <w:keepLines w:val="0"/>
        <w:pageBreakBefore w:val="0"/>
        <w:kinsoku/>
        <w:wordWrap/>
        <w:overflowPunct/>
        <w:topLinePunct w:val="0"/>
        <w:bidi w:val="0"/>
        <w:adjustRightInd/>
        <w:snapToGrid/>
        <w:spacing w:line="240" w:lineRule="atLeast"/>
        <w:ind w:firstLine="640" w:firstLineChars="200"/>
        <w:textAlignment w:val="auto"/>
        <w:rPr>
          <w:rFonts w:ascii="仿宋" w:hAnsi="仿宋" w:eastAsia="仿宋" w:cs="仿宋"/>
          <w:sz w:val="32"/>
          <w:szCs w:val="32"/>
        </w:rPr>
      </w:pPr>
      <w:r>
        <w:rPr>
          <w:rFonts w:hint="eastAsia" w:ascii="仿宋" w:hAnsi="仿宋" w:eastAsia="仿宋"/>
          <w:sz w:val="32"/>
          <w:szCs w:val="32"/>
        </w:rPr>
        <w:t>2023年，在厅党组的正确领导和各处室单位的大力支持下，</w:t>
      </w:r>
      <w:r>
        <w:rPr>
          <w:rFonts w:hint="eastAsia" w:ascii="仿宋_GB2312" w:hAnsi="仿宋_GB2312" w:eastAsia="仿宋_GB2312" w:cs="仿宋_GB2312"/>
          <w:snapToGrid/>
          <w:kern w:val="2"/>
          <w:sz w:val="32"/>
          <w:szCs w:val="24"/>
          <w:highlight w:val="none"/>
          <w:shd w:val="clear" w:color="auto" w:fill="FFFFFF"/>
          <w:lang w:val="en-US" w:eastAsia="zh-CN" w:bidi="ar"/>
        </w:rPr>
        <w:t>我站以习近平新时代中国特色社会主义思想为指导，全面贯彻落实党的二十大精神和中央经济工作会议、中央农村工作会议精神，深入贯彻落实习近平总书记关于“三农”工作的重要论述，在农业农村部农垦局的</w:t>
      </w:r>
      <w:r>
        <w:rPr>
          <w:rFonts w:hint="eastAsia" w:ascii="仿宋_GB2312" w:hAnsi="仿宋_GB2312" w:cs="仿宋_GB2312"/>
          <w:snapToGrid/>
          <w:kern w:val="2"/>
          <w:sz w:val="32"/>
          <w:szCs w:val="24"/>
          <w:highlight w:val="none"/>
          <w:shd w:val="clear" w:color="auto" w:fill="FFFFFF"/>
          <w:lang w:val="en-US" w:eastAsia="zh-CN" w:bidi="ar"/>
        </w:rPr>
        <w:t>关心支持</w:t>
      </w:r>
      <w:r>
        <w:rPr>
          <w:rFonts w:hint="eastAsia" w:ascii="仿宋_GB2312" w:hAnsi="仿宋_GB2312" w:eastAsia="仿宋_GB2312" w:cs="仿宋_GB2312"/>
          <w:snapToGrid/>
          <w:kern w:val="2"/>
          <w:sz w:val="32"/>
          <w:szCs w:val="24"/>
          <w:highlight w:val="none"/>
          <w:shd w:val="clear" w:color="auto" w:fill="FFFFFF"/>
          <w:lang w:val="en-US" w:eastAsia="zh-CN" w:bidi="ar"/>
        </w:rPr>
        <w:t>下，团结带领垦区干部职工群众</w:t>
      </w:r>
      <w:r>
        <w:rPr>
          <w:rFonts w:hint="eastAsia" w:ascii="仿宋" w:hAnsi="仿宋" w:eastAsia="仿宋"/>
          <w:sz w:val="32"/>
          <w:szCs w:val="32"/>
        </w:rPr>
        <w:t>，持续深化农垦改革发展，各项工作取得扎实成效。</w:t>
      </w:r>
    </w:p>
    <w:p>
      <w:pPr>
        <w:keepNext w:val="0"/>
        <w:keepLines w:val="0"/>
        <w:pageBreakBefore w:val="0"/>
        <w:kinsoku/>
        <w:wordWrap/>
        <w:overflowPunct/>
        <w:topLinePunct w:val="0"/>
        <w:bidi w:val="0"/>
        <w:adjustRightInd/>
        <w:snapToGrid/>
        <w:spacing w:line="240" w:lineRule="atLeast"/>
        <w:ind w:left="672"/>
        <w:textAlignment w:val="auto"/>
        <w:rPr>
          <w:rFonts w:ascii="仿宋" w:hAnsi="仿宋" w:eastAsia="仿宋" w:cs="黑体"/>
          <w:sz w:val="32"/>
          <w:szCs w:val="32"/>
        </w:rPr>
      </w:pPr>
      <w:r>
        <w:rPr>
          <w:rFonts w:hint="eastAsia" w:ascii="仿宋" w:hAnsi="仿宋" w:eastAsia="仿宋" w:cs="黑体"/>
          <w:spacing w:val="8"/>
          <w:sz w:val="32"/>
          <w:szCs w:val="32"/>
          <w:shd w:val="clear" w:color="auto" w:fill="FFFFFF"/>
        </w:rPr>
        <w:t>1.加强党的建设，筑强战斗堡垒</w:t>
      </w:r>
    </w:p>
    <w:p>
      <w:pPr>
        <w:keepNext w:val="0"/>
        <w:keepLines w:val="0"/>
        <w:pageBreakBefore w:val="0"/>
        <w:kinsoku/>
        <w:wordWrap/>
        <w:overflowPunct/>
        <w:topLinePunct w:val="0"/>
        <w:bidi w:val="0"/>
        <w:adjustRightInd/>
        <w:snapToGrid/>
        <w:spacing w:line="240" w:lineRule="atLeast"/>
        <w:ind w:firstLine="640" w:firstLineChars="200"/>
        <w:textAlignment w:val="auto"/>
        <w:rPr>
          <w:rFonts w:ascii="仿宋" w:hAnsi="仿宋" w:eastAsia="仿宋"/>
          <w:sz w:val="32"/>
          <w:szCs w:val="32"/>
        </w:rPr>
      </w:pPr>
      <w:r>
        <w:rPr>
          <w:rFonts w:hint="eastAsia" w:ascii="仿宋" w:hAnsi="仿宋" w:eastAsia="仿宋"/>
          <w:sz w:val="32"/>
          <w:szCs w:val="32"/>
        </w:rPr>
        <w:t>我站认真贯彻落实党中央和省委的决策部署及厅党组要求，坚持党要管党、从严治党，增强“四个意识”、坚定“四个自信”、拥护“两个确立”、做到“两个维护”，认真开展学习贯彻习近平新时代中国特色社会主义思想主题教育，把政治建设摆在首位。</w:t>
      </w:r>
    </w:p>
    <w:p>
      <w:pPr>
        <w:keepNext w:val="0"/>
        <w:keepLines w:val="0"/>
        <w:pageBreakBefore w:val="0"/>
        <w:kinsoku/>
        <w:wordWrap/>
        <w:overflowPunct/>
        <w:topLinePunct w:val="0"/>
        <w:bidi w:val="0"/>
        <w:adjustRightInd/>
        <w:snapToGrid/>
        <w:spacing w:line="240" w:lineRule="atLeast"/>
        <w:ind w:firstLine="640" w:firstLineChars="200"/>
        <w:textAlignment w:val="auto"/>
        <w:rPr>
          <w:rFonts w:ascii="仿宋" w:hAnsi="仿宋" w:eastAsia="仿宋" w:cs="黑体"/>
          <w:sz w:val="32"/>
          <w:szCs w:val="32"/>
        </w:rPr>
      </w:pPr>
      <w:r>
        <w:rPr>
          <w:rFonts w:hint="eastAsia" w:ascii="仿宋" w:hAnsi="仿宋" w:eastAsia="仿宋" w:cs="黑体"/>
          <w:sz w:val="32"/>
          <w:szCs w:val="32"/>
        </w:rPr>
        <w:t>2.突出主责主业，推动中心工作</w:t>
      </w:r>
    </w:p>
    <w:p>
      <w:pPr>
        <w:keepNext w:val="0"/>
        <w:keepLines w:val="0"/>
        <w:pageBreakBefore w:val="0"/>
        <w:kinsoku/>
        <w:wordWrap/>
        <w:overflowPunct/>
        <w:topLinePunct w:val="0"/>
        <w:bidi w:val="0"/>
        <w:adjustRightInd/>
        <w:snapToGrid/>
        <w:spacing w:line="240" w:lineRule="atLeast"/>
        <w:ind w:firstLine="640" w:firstLineChars="200"/>
        <w:textAlignment w:val="auto"/>
        <w:rPr>
          <w:rFonts w:ascii="仿宋" w:hAnsi="仿宋" w:eastAsia="仿宋"/>
          <w:sz w:val="32"/>
          <w:szCs w:val="32"/>
        </w:rPr>
      </w:pPr>
      <w:r>
        <w:rPr>
          <w:rFonts w:hint="eastAsia" w:ascii="仿宋" w:hAnsi="仿宋" w:eastAsia="仿宋" w:cs="楷体"/>
          <w:sz w:val="32"/>
          <w:szCs w:val="32"/>
        </w:rPr>
        <w:t>以项目建设为支撑，持续巩固脱贫攻坚成果。</w:t>
      </w:r>
      <w:r>
        <w:rPr>
          <w:rFonts w:hint="eastAsia" w:ascii="仿宋" w:hAnsi="仿宋" w:eastAsia="仿宋"/>
          <w:sz w:val="32"/>
          <w:szCs w:val="32"/>
        </w:rPr>
        <w:t>2023年争取中央欠发达国有农场巩固提升任务补助资金3795万元，在11个欠发达国有农场实施35个项目。我省在国家欠发达农场巩固提升任务衔接资金绩效评价考核中被评为A类，全国欠发达农场巩固提升项目业务培训会放在我省召开。</w:t>
      </w:r>
    </w:p>
    <w:p>
      <w:pPr>
        <w:keepNext w:val="0"/>
        <w:keepLines w:val="0"/>
        <w:pageBreakBefore w:val="0"/>
        <w:kinsoku/>
        <w:wordWrap/>
        <w:overflowPunct/>
        <w:topLinePunct w:val="0"/>
        <w:bidi w:val="0"/>
        <w:adjustRightInd/>
        <w:snapToGrid/>
        <w:spacing w:line="240" w:lineRule="atLeast"/>
        <w:textAlignment w:val="auto"/>
        <w:rPr>
          <w:rFonts w:ascii="仿宋" w:hAnsi="仿宋" w:eastAsia="仿宋" w:cs="Times New Roman"/>
          <w:sz w:val="32"/>
          <w:szCs w:val="32"/>
        </w:rPr>
      </w:pPr>
      <w:r>
        <w:rPr>
          <w:rFonts w:hint="eastAsia" w:ascii="楷体" w:hAnsi="楷体" w:eastAsia="楷体" w:cs="楷体"/>
          <w:sz w:val="32"/>
          <w:szCs w:val="32"/>
        </w:rPr>
        <w:t>　　</w:t>
      </w:r>
      <w:r>
        <w:rPr>
          <w:rFonts w:hint="eastAsia" w:ascii="仿宋" w:hAnsi="仿宋" w:eastAsia="仿宋" w:cs="楷体"/>
          <w:sz w:val="32"/>
          <w:szCs w:val="32"/>
        </w:rPr>
        <w:t>以“两大行动”为抓手，着力推动粮油产能提升。</w:t>
      </w:r>
      <w:r>
        <w:rPr>
          <w:rFonts w:hint="eastAsia" w:ascii="仿宋" w:hAnsi="仿宋" w:eastAsia="仿宋"/>
          <w:sz w:val="32"/>
          <w:szCs w:val="32"/>
        </w:rPr>
        <w:t>通过开展农垦粮油等主要作物大面积单产提升行动和“农垦社会化服务+地方”行动，全省农垦完成水稻种植面积138.39万亩，总产61.65万吨。种植大豆3.19万亩，油菜种植面积47.1万亩，垦区粮油生产连续3年保持面积、总产“两个增长”。</w:t>
      </w:r>
      <w:r>
        <w:rPr>
          <w:rFonts w:hint="eastAsia" w:ascii="仿宋" w:hAnsi="仿宋" w:eastAsia="仿宋" w:cs="Times New Roman"/>
          <w:sz w:val="32"/>
          <w:szCs w:val="32"/>
        </w:rPr>
        <w:t>西洞庭管理区荣获全国农垦“水稻单产提升农场佳绩奖”、“油菜单产提升农场佳绩奖”和“油菜高产示范样板佳绩奖”，鼎城区黑山嘴农场荣获“油菜高产示范样板佳绩奖”，西洞庭管理区祝丰镇涂家湖村隆湘水稻专业合作社荣获“水稻高产示范样板佳绩奖”，农业农村部农垦局对我省积极参加农垦“两大行动”、出色完成农垦粮食生产和大豆油料扩种任务特向厅党组发来感谢信。</w:t>
      </w:r>
    </w:p>
    <w:p>
      <w:pPr>
        <w:keepNext w:val="0"/>
        <w:keepLines w:val="0"/>
        <w:pageBreakBefore w:val="0"/>
        <w:kinsoku/>
        <w:wordWrap/>
        <w:overflowPunct/>
        <w:topLinePunct w:val="0"/>
        <w:bidi w:val="0"/>
        <w:adjustRightInd/>
        <w:snapToGrid/>
        <w:spacing w:line="240" w:lineRule="atLeast"/>
        <w:ind w:firstLine="640" w:firstLineChars="200"/>
        <w:textAlignment w:val="auto"/>
        <w:rPr>
          <w:rFonts w:ascii="仿宋" w:hAnsi="仿宋" w:eastAsia="仿宋"/>
          <w:sz w:val="32"/>
          <w:szCs w:val="32"/>
        </w:rPr>
      </w:pPr>
      <w:r>
        <w:rPr>
          <w:rFonts w:hint="eastAsia" w:ascii="仿宋" w:hAnsi="仿宋" w:eastAsia="仿宋" w:cs="楷体"/>
          <w:sz w:val="32"/>
          <w:szCs w:val="32"/>
        </w:rPr>
        <w:t>以主动担当为已任，扎实推进世行项目进程。</w:t>
      </w:r>
      <w:r>
        <w:rPr>
          <w:rFonts w:hint="eastAsia" w:ascii="仿宋" w:hAnsi="仿宋" w:eastAsia="仿宋"/>
          <w:sz w:val="32"/>
          <w:szCs w:val="32"/>
        </w:rPr>
        <w:t>经过前期的积极筹备和申报，4月，成功与世行进行了谈判磋商；5月底，世行执行董事会正式批准通过我省世行贷款稻田节水灌溉与绿色低碳发展项目，我省将获世行贷款2.55亿美元，项目将在6个县市区实施。</w:t>
      </w:r>
    </w:p>
    <w:p>
      <w:pPr>
        <w:keepNext w:val="0"/>
        <w:keepLines w:val="0"/>
        <w:pageBreakBefore w:val="0"/>
        <w:kinsoku/>
        <w:wordWrap/>
        <w:overflowPunct/>
        <w:topLinePunct w:val="0"/>
        <w:bidi w:val="0"/>
        <w:adjustRightInd/>
        <w:snapToGrid/>
        <w:spacing w:line="240" w:lineRule="atLeast"/>
        <w:ind w:firstLine="640" w:firstLineChars="200"/>
        <w:textAlignment w:val="auto"/>
        <w:rPr>
          <w:rFonts w:ascii="仿宋" w:hAnsi="仿宋" w:eastAsia="仿宋" w:cs="Times New Roman"/>
          <w:sz w:val="32"/>
          <w:szCs w:val="32"/>
        </w:rPr>
      </w:pPr>
      <w:r>
        <w:rPr>
          <w:rFonts w:hint="eastAsia" w:ascii="仿宋" w:hAnsi="仿宋" w:eastAsia="仿宋" w:cs="楷体"/>
          <w:sz w:val="32"/>
          <w:szCs w:val="32"/>
        </w:rPr>
        <w:t>以群众满意为标尺，认真抓好窗口政务服务。</w:t>
      </w:r>
      <w:r>
        <w:rPr>
          <w:rFonts w:hint="eastAsia" w:ascii="仿宋" w:hAnsi="仿宋" w:eastAsia="仿宋" w:cs="Times New Roman"/>
          <w:sz w:val="32"/>
          <w:szCs w:val="32"/>
        </w:rPr>
        <w:t>全年窗口共受理审批与咨询7783件，比去年同期增长125%，好评率为100%，共获“政务服务之星”、优秀首席审批员、优秀窗口工作人员等称号5人次，获得“红旗窗口”称号1次，获赠锦旗4面。</w:t>
      </w:r>
    </w:p>
    <w:p>
      <w:pPr>
        <w:pStyle w:val="9"/>
        <w:keepNext w:val="0"/>
        <w:keepLines w:val="0"/>
        <w:pageBreakBefore w:val="0"/>
        <w:shd w:val="clear" w:color="auto" w:fill="FFFFFF"/>
        <w:kinsoku/>
        <w:wordWrap/>
        <w:overflowPunct/>
        <w:topLinePunct w:val="0"/>
        <w:bidi w:val="0"/>
        <w:adjustRightInd/>
        <w:snapToGrid/>
        <w:spacing w:before="0" w:beforeAutospacing="0" w:after="0" w:afterAutospacing="0" w:line="240" w:lineRule="atLeast"/>
        <w:ind w:firstLine="640" w:firstLineChars="200"/>
        <w:jc w:val="both"/>
        <w:textAlignment w:val="auto"/>
        <w:rPr>
          <w:rFonts w:ascii="仿宋" w:hAnsi="仿宋" w:eastAsia="仿宋" w:cs="黑体"/>
          <w:kern w:val="2"/>
          <w:sz w:val="32"/>
          <w:szCs w:val="32"/>
        </w:rPr>
      </w:pPr>
      <w:r>
        <w:rPr>
          <w:rFonts w:hint="eastAsia" w:ascii="仿宋" w:hAnsi="仿宋" w:eastAsia="仿宋" w:cs="黑体"/>
          <w:kern w:val="2"/>
          <w:sz w:val="32"/>
          <w:szCs w:val="32"/>
        </w:rPr>
        <w:t>3.推进平安法治建设，严防各类风险</w:t>
      </w:r>
    </w:p>
    <w:p>
      <w:pPr>
        <w:keepNext w:val="0"/>
        <w:keepLines w:val="0"/>
        <w:pageBreakBefore w:val="0"/>
        <w:kinsoku/>
        <w:wordWrap/>
        <w:overflowPunct/>
        <w:topLinePunct w:val="0"/>
        <w:bidi w:val="0"/>
        <w:adjustRightInd/>
        <w:snapToGrid/>
        <w:spacing w:line="240" w:lineRule="atLeast"/>
        <w:ind w:firstLine="640" w:firstLineChars="200"/>
        <w:textAlignment w:val="auto"/>
        <w:rPr>
          <w:rFonts w:ascii="仿宋" w:hAnsi="仿宋" w:eastAsia="仿宋" w:cs="Times New Roman"/>
          <w:sz w:val="32"/>
          <w:szCs w:val="32"/>
        </w:rPr>
      </w:pPr>
      <w:r>
        <w:rPr>
          <w:rFonts w:hint="eastAsia" w:ascii="仿宋" w:hAnsi="仿宋" w:eastAsia="仿宋" w:cs="楷体"/>
          <w:sz w:val="32"/>
          <w:szCs w:val="32"/>
        </w:rPr>
        <w:t>持续保持稳定的安全形势。</w:t>
      </w:r>
      <w:r>
        <w:rPr>
          <w:rFonts w:hint="eastAsia" w:ascii="仿宋" w:hAnsi="仿宋" w:eastAsia="仿宋" w:cs="Times New Roman"/>
          <w:sz w:val="32"/>
          <w:szCs w:val="32"/>
        </w:rPr>
        <w:t>2023年我站深入贯彻中央、省委关于平安建设的决策部署，牢牢把握统筹发展和安全这一根本要求，高度重视平安建设、安全生产工作。坚持定期召开安全生产工作例会，夯实各级安全生产责任，重大节日节点定向开展隐患排查治理，加强消防应急演练，持续营造和谐稳定的机关环境。实现了全年无危害政治安全案件、无影响社会稳定案件、无危害社会治安案件、无危害公共安全事件事故。</w:t>
      </w:r>
    </w:p>
    <w:p>
      <w:pPr>
        <w:pStyle w:val="9"/>
        <w:keepNext w:val="0"/>
        <w:keepLines w:val="0"/>
        <w:pageBreakBefore w:val="0"/>
        <w:shd w:val="clear" w:color="auto" w:fill="FFFFFF"/>
        <w:kinsoku/>
        <w:wordWrap/>
        <w:overflowPunct/>
        <w:topLinePunct w:val="0"/>
        <w:bidi w:val="0"/>
        <w:adjustRightInd/>
        <w:snapToGrid/>
        <w:spacing w:beforeAutospacing="0" w:afterAutospacing="0" w:line="240" w:lineRule="atLeast"/>
        <w:ind w:firstLine="640" w:firstLineChars="200"/>
        <w:jc w:val="both"/>
        <w:textAlignment w:val="auto"/>
        <w:rPr>
          <w:rFonts w:ascii="仿宋_GB2312" w:hAnsi="仿宋_GB2312" w:eastAsia="仿宋_GB2312" w:cs="仿宋_GB2312"/>
          <w:kern w:val="2"/>
          <w:sz w:val="32"/>
          <w:szCs w:val="32"/>
        </w:rPr>
      </w:pPr>
      <w:r>
        <w:rPr>
          <w:rFonts w:hint="eastAsia" w:ascii="仿宋" w:hAnsi="仿宋" w:eastAsia="仿宋" w:cs="楷体"/>
          <w:kern w:val="2"/>
          <w:sz w:val="32"/>
          <w:szCs w:val="32"/>
        </w:rPr>
        <w:t>不断优化良好的法治环境。</w:t>
      </w:r>
      <w:r>
        <w:rPr>
          <w:rFonts w:hint="eastAsia" w:ascii="仿宋" w:hAnsi="仿宋" w:eastAsia="仿宋" w:cs="Times New Roman"/>
          <w:kern w:val="2"/>
          <w:sz w:val="32"/>
          <w:szCs w:val="32"/>
        </w:rPr>
        <w:t>我站将法治政府建设工作纳入2023年站重点工作计划中，成</w:t>
      </w:r>
      <w:r>
        <w:rPr>
          <w:rFonts w:hint="eastAsia" w:ascii="仿宋_GB2312" w:hAnsi="仿宋_GB2312" w:eastAsia="仿宋_GB2312" w:cs="仿宋_GB2312"/>
          <w:sz w:val="32"/>
          <w:szCs w:val="32"/>
        </w:rPr>
        <w:t>立了以我任组长，副站长任副组长，各办室负责人为成员的学法普法工作领导小组，切实履行推进法治政府建设第一责任人职责。采取“传统+创新”“线上+线下”相结合的方式，全面深入开展法治建设宣传活动，进一步厚植干部职工的法治理念，引导形成“办事依法、遇事找法、解决问题用法、化解矛盾靠法”的良好氛围。</w:t>
      </w:r>
      <w:r>
        <w:rPr>
          <w:rFonts w:hint="eastAsia" w:ascii="仿宋_GB2312" w:hAnsi="仿宋_GB2312" w:eastAsia="仿宋_GB2312" w:cs="仿宋_GB2312"/>
          <w:kern w:val="2"/>
          <w:sz w:val="32"/>
          <w:szCs w:val="32"/>
        </w:rPr>
        <w:t>今年我站认真组织职工参与学法用法工作，按时按量完成了“如法网”学习任务和考试任务，考试合格率100%，全体干部职工法治素养和依法办事能力显著提升。</w:t>
      </w:r>
    </w:p>
    <w:p>
      <w:pPr>
        <w:pStyle w:val="5"/>
        <w:keepNext w:val="0"/>
        <w:keepLines w:val="0"/>
        <w:pageBreakBefore w:val="0"/>
        <w:kinsoku/>
        <w:wordWrap/>
        <w:overflowPunct/>
        <w:topLinePunct w:val="0"/>
        <w:bidi w:val="0"/>
        <w:adjustRightInd/>
        <w:snapToGrid/>
        <w:spacing w:line="240" w:lineRule="atLeast"/>
        <w:ind w:left="0" w:leftChars="0" w:firstLine="640" w:firstLineChars="200"/>
        <w:textAlignment w:val="auto"/>
        <w:rPr>
          <w:rFonts w:ascii="仿宋_GB2312" w:hAnsi="仿宋_GB2312" w:eastAsia="仿宋_GB2312" w:cs="仿宋_GB2312"/>
          <w:sz w:val="32"/>
          <w:szCs w:val="32"/>
        </w:rPr>
      </w:pPr>
      <w:r>
        <w:rPr>
          <w:rFonts w:hint="eastAsia" w:ascii="仿宋" w:hAnsi="仿宋" w:eastAsia="仿宋" w:cs="楷体"/>
          <w:sz w:val="32"/>
          <w:szCs w:val="32"/>
        </w:rPr>
        <w:t>切实扛牢意识形态责任。</w:t>
      </w:r>
      <w:r>
        <w:rPr>
          <w:rFonts w:hint="eastAsia" w:ascii="仿宋" w:hAnsi="仿宋" w:eastAsia="仿宋" w:cs="Times New Roman"/>
          <w:sz w:val="32"/>
          <w:szCs w:val="32"/>
        </w:rPr>
        <w:t>我站定期召开专题会议研究部署意识形态工作，严格落实意识形态工作责任制。</w:t>
      </w:r>
      <w:r>
        <w:rPr>
          <w:rFonts w:hint="eastAsia" w:ascii="仿宋" w:hAnsi="仿宋" w:eastAsia="仿宋"/>
          <w:sz w:val="32"/>
          <w:szCs w:val="32"/>
        </w:rPr>
        <w:t>通过形式多样的宣传教育，多次强调和普及国家安全、网络安全、粮</w:t>
      </w:r>
      <w:r>
        <w:rPr>
          <w:rFonts w:hint="eastAsia" w:ascii="仿宋_GB2312" w:hAnsi="仿宋_GB2312" w:eastAsia="仿宋_GB2312" w:cs="仿宋_GB2312"/>
          <w:sz w:val="32"/>
          <w:szCs w:val="32"/>
        </w:rPr>
        <w:t>食安全等方面知识，进一步增强全体党员的意识形态理念，筑牢党员理想信念。注重网络安全，及时清理了群组、更新了设备，排查了风险隐患，全年未发生泄密事件。</w:t>
      </w:r>
    </w:p>
    <w:p>
      <w:pPr>
        <w:pStyle w:val="9"/>
        <w:keepNext w:val="0"/>
        <w:keepLines w:val="0"/>
        <w:pageBreakBefore w:val="0"/>
        <w:shd w:val="clear" w:color="auto" w:fill="FFFFFF"/>
        <w:kinsoku/>
        <w:wordWrap/>
        <w:overflowPunct/>
        <w:topLinePunct w:val="0"/>
        <w:bidi w:val="0"/>
        <w:adjustRightInd/>
        <w:snapToGrid/>
        <w:spacing w:before="0" w:beforeAutospacing="0" w:after="0" w:afterAutospacing="0" w:line="240" w:lineRule="atLeast"/>
        <w:ind w:firstLine="640" w:firstLineChars="200"/>
        <w:jc w:val="both"/>
        <w:textAlignment w:val="auto"/>
        <w:rPr>
          <w:rFonts w:ascii="仿宋" w:hAnsi="仿宋" w:eastAsia="仿宋" w:cs="黑体"/>
          <w:kern w:val="2"/>
          <w:sz w:val="32"/>
          <w:szCs w:val="32"/>
        </w:rPr>
      </w:pPr>
      <w:r>
        <w:rPr>
          <w:rFonts w:hint="eastAsia" w:ascii="仿宋" w:hAnsi="仿宋" w:eastAsia="仿宋" w:cs="黑体"/>
          <w:kern w:val="2"/>
          <w:sz w:val="32"/>
          <w:szCs w:val="32"/>
        </w:rPr>
        <w:t>4.是严抓廉政建设，筑牢廉洁防线</w:t>
      </w:r>
    </w:p>
    <w:p>
      <w:pPr>
        <w:keepNext w:val="0"/>
        <w:keepLines w:val="0"/>
        <w:pageBreakBefore w:val="0"/>
        <w:tabs>
          <w:tab w:val="left" w:pos="847"/>
        </w:tabs>
        <w:kinsoku/>
        <w:wordWrap/>
        <w:overflowPunct/>
        <w:topLinePunct w:val="0"/>
        <w:bidi w:val="0"/>
        <w:adjustRightInd/>
        <w:snapToGrid/>
        <w:spacing w:line="240" w:lineRule="atLeast"/>
        <w:ind w:firstLine="680"/>
        <w:jc w:val="left"/>
        <w:textAlignment w:val="auto"/>
        <w:rPr>
          <w:rFonts w:ascii="仿宋" w:hAnsi="仿宋" w:eastAsia="仿宋" w:cs="Times New Roman"/>
          <w:sz w:val="32"/>
          <w:szCs w:val="32"/>
        </w:rPr>
      </w:pPr>
      <w:r>
        <w:rPr>
          <w:rFonts w:hint="eastAsia" w:ascii="仿宋" w:hAnsi="仿宋" w:eastAsia="仿宋" w:cs="楷体"/>
          <w:sz w:val="32"/>
          <w:szCs w:val="32"/>
        </w:rPr>
        <w:t>坚持常态化廉政教育。</w:t>
      </w:r>
      <w:r>
        <w:rPr>
          <w:rFonts w:hint="eastAsia" w:ascii="仿宋" w:hAnsi="仿宋" w:eastAsia="仿宋" w:cs="Times New Roman"/>
          <w:sz w:val="32"/>
          <w:szCs w:val="32"/>
        </w:rPr>
        <w:t>领导干部坚持带头讲廉政党课，</w:t>
      </w:r>
      <w:r>
        <w:rPr>
          <w:rFonts w:hint="eastAsia" w:ascii="仿宋" w:hAnsi="仿宋" w:eastAsia="仿宋" w:cs="Times New Roman"/>
          <w:kern w:val="0"/>
          <w:sz w:val="32"/>
          <w:szCs w:val="32"/>
        </w:rPr>
        <w:t>深刻吸取袁延文、唐建初严重违纪违法案件教训，</w:t>
      </w:r>
      <w:r>
        <w:rPr>
          <w:rFonts w:hint="eastAsia" w:ascii="仿宋" w:hAnsi="仿宋" w:eastAsia="仿宋"/>
          <w:sz w:val="32"/>
          <w:szCs w:val="32"/>
        </w:rPr>
        <w:t>狠抓以案促改，</w:t>
      </w:r>
      <w:r>
        <w:rPr>
          <w:rFonts w:hint="eastAsia" w:ascii="仿宋" w:hAnsi="仿宋" w:eastAsia="仿宋" w:cs="Times New Roman"/>
          <w:sz w:val="32"/>
          <w:szCs w:val="32"/>
        </w:rPr>
        <w:t>在重要节点组织谈心谈话、廉政提醒，持之以恒纠“四风”、树新风，确保</w:t>
      </w:r>
      <w:r>
        <w:rPr>
          <w:rFonts w:hint="eastAsia" w:ascii="仿宋" w:hAnsi="仿宋" w:eastAsia="仿宋" w:cs="Times New Roman"/>
          <w:kern w:val="0"/>
          <w:sz w:val="32"/>
          <w:szCs w:val="32"/>
        </w:rPr>
        <w:t>警钟常鸣</w:t>
      </w:r>
      <w:r>
        <w:rPr>
          <w:rFonts w:hint="eastAsia" w:ascii="仿宋" w:hAnsi="仿宋" w:eastAsia="仿宋" w:cs="Times New Roman"/>
          <w:sz w:val="32"/>
          <w:szCs w:val="32"/>
        </w:rPr>
        <w:t>。</w:t>
      </w:r>
    </w:p>
    <w:p>
      <w:pPr>
        <w:keepNext w:val="0"/>
        <w:keepLines w:val="0"/>
        <w:pageBreakBefore w:val="0"/>
        <w:tabs>
          <w:tab w:val="left" w:pos="847"/>
        </w:tabs>
        <w:kinsoku/>
        <w:wordWrap/>
        <w:overflowPunct/>
        <w:topLinePunct w:val="0"/>
        <w:bidi w:val="0"/>
        <w:adjustRightInd/>
        <w:snapToGrid/>
        <w:spacing w:line="240" w:lineRule="atLeast"/>
        <w:ind w:firstLine="680"/>
        <w:jc w:val="left"/>
        <w:textAlignment w:val="auto"/>
        <w:rPr>
          <w:rFonts w:ascii="仿宋" w:hAnsi="仿宋" w:eastAsia="仿宋" w:cs="Times New Roman"/>
          <w:sz w:val="32"/>
          <w:szCs w:val="32"/>
        </w:rPr>
      </w:pPr>
      <w:r>
        <w:rPr>
          <w:rFonts w:hint="eastAsia" w:ascii="仿宋" w:hAnsi="仿宋" w:eastAsia="仿宋" w:cs="楷体"/>
          <w:sz w:val="32"/>
          <w:szCs w:val="32"/>
        </w:rPr>
        <w:t>坚持以身作则、率先垂范</w:t>
      </w:r>
      <w:r>
        <w:rPr>
          <w:rFonts w:hint="eastAsia" w:ascii="楷体" w:hAnsi="楷体" w:eastAsia="楷体" w:cs="楷体"/>
          <w:sz w:val="32"/>
          <w:szCs w:val="32"/>
        </w:rPr>
        <w:t>。</w:t>
      </w:r>
      <w:r>
        <w:rPr>
          <w:rFonts w:hint="eastAsia" w:ascii="仿宋" w:hAnsi="仿宋" w:eastAsia="仿宋" w:cs="Times New Roman"/>
          <w:sz w:val="32"/>
          <w:szCs w:val="32"/>
        </w:rPr>
        <w:t>严格遵守领导干部廉洁从政各项规定，带头严格执行中央八项规定、省委九项规定。如实报告个人重大事项，注重培育家风家教，清白做人、干净干事。全年我站未出现任何违纪违规问题。</w:t>
      </w:r>
    </w:p>
    <w:p>
      <w:pPr>
        <w:keepNext w:val="0"/>
        <w:keepLines w:val="0"/>
        <w:pageBreakBefore w:val="0"/>
        <w:tabs>
          <w:tab w:val="left" w:pos="847"/>
        </w:tabs>
        <w:kinsoku/>
        <w:wordWrap/>
        <w:overflowPunct/>
        <w:topLinePunct w:val="0"/>
        <w:bidi w:val="0"/>
        <w:adjustRightInd/>
        <w:snapToGrid/>
        <w:spacing w:line="240" w:lineRule="atLeast"/>
        <w:ind w:firstLine="680"/>
        <w:jc w:val="left"/>
        <w:textAlignment w:val="auto"/>
        <w:rPr>
          <w:rFonts w:ascii="仿宋" w:hAnsi="仿宋" w:eastAsia="仿宋" w:cs="Times New Roman"/>
          <w:sz w:val="32"/>
          <w:szCs w:val="32"/>
        </w:rPr>
      </w:pPr>
      <w:r>
        <w:rPr>
          <w:rFonts w:hint="eastAsia" w:ascii="仿宋" w:hAnsi="仿宋" w:eastAsia="仿宋" w:cs="楷体"/>
          <w:sz w:val="32"/>
          <w:szCs w:val="32"/>
        </w:rPr>
        <w:t>坚持民主集中制。</w:t>
      </w:r>
      <w:r>
        <w:rPr>
          <w:rFonts w:hint="eastAsia" w:ascii="仿宋" w:hAnsi="仿宋" w:eastAsia="仿宋" w:cs="Times New Roman"/>
          <w:sz w:val="32"/>
          <w:szCs w:val="32"/>
        </w:rPr>
        <w:t>我站始终坚持民主集中制，在“三重一大”问题上，做到集体决策、科学决策。在欠发达国有农场巩固提升项目资金分配上，严格按照因素分配法进行分配。在干部提拔使用上，严格按照民主推荐、班子研究再向厅党组推荐的程序，确保用人的公平公正。</w:t>
      </w:r>
    </w:p>
    <w:p>
      <w:pPr>
        <w:keepNext w:val="0"/>
        <w:keepLines w:val="0"/>
        <w:pageBreakBefore w:val="0"/>
        <w:kinsoku/>
        <w:wordWrap/>
        <w:overflowPunct/>
        <w:topLinePunct w:val="0"/>
        <w:bidi w:val="0"/>
        <w:adjustRightInd/>
        <w:snapToGrid/>
        <w:spacing w:line="240" w:lineRule="atLeast"/>
        <w:ind w:firstLine="640" w:firstLineChars="200"/>
        <w:jc w:val="left"/>
        <w:textAlignment w:val="auto"/>
        <w:rPr>
          <w:rFonts w:ascii="仿宋" w:hAnsi="仿宋" w:eastAsia="仿宋"/>
          <w:sz w:val="32"/>
          <w:szCs w:val="32"/>
        </w:rPr>
      </w:pPr>
      <w:r>
        <w:rPr>
          <w:rFonts w:hint="eastAsia" w:ascii="仿宋" w:hAnsi="仿宋" w:eastAsia="仿宋" w:cs="仿宋"/>
          <w:sz w:val="32"/>
          <w:szCs w:val="32"/>
        </w:rPr>
        <w:t>2024年，我站将全</w:t>
      </w:r>
      <w:r>
        <w:rPr>
          <w:rFonts w:hint="eastAsia" w:ascii="仿宋" w:hAnsi="仿宋" w:eastAsia="仿宋"/>
          <w:sz w:val="32"/>
          <w:szCs w:val="32"/>
        </w:rPr>
        <w:t>面贯彻落实党的二十大精神和习近平总书</w:t>
      </w:r>
      <w:r>
        <w:rPr>
          <w:rFonts w:ascii="仿宋" w:hAnsi="仿宋" w:eastAsia="仿宋"/>
          <w:sz w:val="32"/>
          <w:szCs w:val="32"/>
        </w:rPr>
        <w:t>记</w:t>
      </w:r>
      <w:r>
        <w:rPr>
          <w:rFonts w:hint="eastAsia" w:ascii="仿宋" w:hAnsi="仿宋" w:eastAsia="仿宋"/>
          <w:sz w:val="32"/>
          <w:szCs w:val="32"/>
        </w:rPr>
        <w:t>关于“将农垦建设成为现代农业大基地、大企业、大产业，全面增强农垦内生动力、发展活力和整体实力，努力将农垦打造成为农业领域的‘航母’”的指示精神，紧紧围绕“保障国家粮食安全和大宗农产品有效供给”责任使命，加快推进“现代农业示范区、智慧农业引领区、乡村振兴样板区和体制机制创新区”建设，为全面建设现代化新湖南贡献农垦力量。</w:t>
      </w:r>
    </w:p>
    <w:p>
      <w:pPr>
        <w:pStyle w:val="5"/>
        <w:keepNext w:val="0"/>
        <w:keepLines w:val="0"/>
        <w:pageBreakBefore w:val="0"/>
        <w:kinsoku/>
        <w:wordWrap/>
        <w:overflowPunct/>
        <w:topLinePunct w:val="0"/>
        <w:bidi w:val="0"/>
        <w:adjustRightInd/>
        <w:snapToGrid/>
        <w:spacing w:line="240" w:lineRule="atLeast"/>
        <w:ind w:left="420" w:firstLine="320" w:firstLineChars="100"/>
        <w:jc w:val="left"/>
        <w:textAlignment w:val="auto"/>
        <w:rPr>
          <w:rFonts w:ascii="仿宋" w:hAnsi="仿宋" w:eastAsia="仿宋" w:cs="仿宋"/>
          <w:color w:val="FF0000"/>
          <w:kern w:val="2"/>
          <w:sz w:val="32"/>
          <w:szCs w:val="32"/>
        </w:rPr>
      </w:pPr>
      <w:r>
        <w:rPr>
          <w:rFonts w:hint="eastAsia" w:ascii="仿宋" w:hAnsi="仿宋" w:eastAsia="仿宋"/>
          <w:b/>
          <w:bCs/>
          <w:sz w:val="32"/>
          <w:szCs w:val="32"/>
        </w:rPr>
        <w:t>八、存在的问题及原因分析</w:t>
      </w:r>
    </w:p>
    <w:p>
      <w:pPr>
        <w:pStyle w:val="14"/>
        <w:keepNext w:val="0"/>
        <w:keepLines w:val="0"/>
        <w:pageBreakBefore w:val="0"/>
        <w:tabs>
          <w:tab w:val="left" w:pos="1112"/>
        </w:tabs>
        <w:kinsoku/>
        <w:wordWrap/>
        <w:overflowPunct/>
        <w:topLinePunct w:val="0"/>
        <w:bidi w:val="0"/>
        <w:adjustRightInd/>
        <w:snapToGrid/>
        <w:spacing w:line="240" w:lineRule="atLeast"/>
        <w:ind w:firstLine="627" w:firstLineChars="196"/>
        <w:textAlignment w:val="auto"/>
        <w:rPr>
          <w:rFonts w:ascii="仿宋" w:hAnsi="仿宋" w:eastAsia="仿宋" w:cs="Times New Roman"/>
          <w:b/>
          <w:color w:val="000000" w:themeColor="text1"/>
          <w:sz w:val="32"/>
          <w:szCs w:val="32"/>
          <w14:textFill>
            <w14:solidFill>
              <w14:schemeClr w14:val="tx1"/>
            </w14:solidFill>
          </w14:textFill>
        </w:rPr>
      </w:pPr>
      <w:r>
        <w:rPr>
          <w:rFonts w:hint="eastAsia" w:ascii="仿宋" w:hAnsi="仿宋" w:eastAsia="仿宋" w:cs="Times New Roman"/>
          <w:b/>
          <w:color w:val="000000" w:themeColor="text1"/>
          <w:sz w:val="32"/>
          <w:szCs w:val="32"/>
          <w14:textFill>
            <w14:solidFill>
              <w14:schemeClr w14:val="tx1"/>
            </w14:solidFill>
          </w14:textFill>
        </w:rPr>
        <w:t>(</w:t>
      </w:r>
      <w:r>
        <w:rPr>
          <w:rFonts w:hint="eastAsia" w:ascii="仿宋" w:hAnsi="仿宋" w:eastAsia="仿宋" w:cs="Times New Roman"/>
          <w:b/>
          <w:color w:val="000000" w:themeColor="text1"/>
          <w:sz w:val="32"/>
          <w:szCs w:val="32"/>
          <w:lang w:val="en-US" w:eastAsia="zh-CN"/>
          <w14:textFill>
            <w14:solidFill>
              <w14:schemeClr w14:val="tx1"/>
            </w14:solidFill>
          </w14:textFill>
        </w:rPr>
        <w:t>一</w:t>
      </w:r>
      <w:r>
        <w:rPr>
          <w:rFonts w:hint="eastAsia" w:ascii="仿宋" w:hAnsi="仿宋" w:eastAsia="仿宋" w:cs="Times New Roman"/>
          <w:b/>
          <w:color w:val="000000" w:themeColor="text1"/>
          <w:sz w:val="32"/>
          <w:szCs w:val="32"/>
          <w14:textFill>
            <w14:solidFill>
              <w14:schemeClr w14:val="tx1"/>
            </w14:solidFill>
          </w14:textFill>
        </w:rPr>
        <w:t>)预算编制时支出结构欠优化</w:t>
      </w:r>
    </w:p>
    <w:p>
      <w:pPr>
        <w:pStyle w:val="14"/>
        <w:keepNext w:val="0"/>
        <w:keepLines w:val="0"/>
        <w:pageBreakBefore w:val="0"/>
        <w:kinsoku/>
        <w:wordWrap/>
        <w:overflowPunct/>
        <w:topLinePunct w:val="0"/>
        <w:bidi w:val="0"/>
        <w:adjustRightInd/>
        <w:snapToGrid/>
        <w:spacing w:line="240" w:lineRule="atLeast"/>
        <w:ind w:firstLine="640" w:firstLineChars="200"/>
        <w:textAlignment w:val="auto"/>
        <w:rPr>
          <w:rFonts w:ascii="仿宋" w:hAnsi="仿宋" w:eastAsia="仿宋" w:cs="Times New Roman"/>
          <w:color w:val="FF0000"/>
          <w:sz w:val="32"/>
          <w:szCs w:val="32"/>
        </w:rPr>
      </w:pPr>
      <w:r>
        <w:rPr>
          <w:rFonts w:hint="eastAsia" w:ascii="仿宋" w:hAnsi="仿宋" w:eastAsia="仿宋" w:cs="Times New Roman"/>
          <w:color w:val="000000" w:themeColor="text1"/>
          <w:sz w:val="32"/>
          <w:szCs w:val="32"/>
          <w14:textFill>
            <w14:solidFill>
              <w14:schemeClr w14:val="tx1"/>
            </w14:solidFill>
          </w14:textFill>
        </w:rPr>
        <w:t>在一般公共预算财政拔款支出明细表中，其他一般商品和服务支出比重超重。</w:t>
      </w:r>
      <w:r>
        <w:rPr>
          <w:rFonts w:ascii="仿宋" w:hAnsi="仿宋" w:eastAsia="仿宋" w:cs="Times New Roman"/>
          <w:color w:val="FF0000"/>
          <w:sz w:val="32"/>
          <w:szCs w:val="32"/>
        </w:rPr>
        <w:t xml:space="preserve"> </w:t>
      </w:r>
    </w:p>
    <w:p>
      <w:pPr>
        <w:pStyle w:val="14"/>
        <w:keepNext w:val="0"/>
        <w:keepLines w:val="0"/>
        <w:pageBreakBefore w:val="0"/>
        <w:kinsoku/>
        <w:wordWrap/>
        <w:overflowPunct/>
        <w:topLinePunct w:val="0"/>
        <w:bidi w:val="0"/>
        <w:adjustRightInd/>
        <w:snapToGrid/>
        <w:spacing w:line="240" w:lineRule="atLeast"/>
        <w:ind w:firstLine="640" w:firstLineChars="200"/>
        <w:textAlignment w:val="auto"/>
        <w:rPr>
          <w:rFonts w:ascii="仿宋" w:hAnsi="仿宋" w:eastAsia="仿宋" w:cs="Times New Roman"/>
          <w:b/>
          <w:bCs/>
          <w:sz w:val="32"/>
          <w:szCs w:val="32"/>
        </w:rPr>
      </w:pPr>
      <w:r>
        <w:rPr>
          <w:rFonts w:hint="eastAsia" w:ascii="仿宋" w:hAnsi="仿宋" w:eastAsia="仿宋" w:cs="Times New Roman"/>
          <w:b/>
          <w:bCs/>
          <w:sz w:val="32"/>
          <w:szCs w:val="32"/>
        </w:rPr>
        <w:t>九、下一步改进措施</w:t>
      </w:r>
    </w:p>
    <w:p>
      <w:pPr>
        <w:pStyle w:val="14"/>
        <w:keepNext w:val="0"/>
        <w:keepLines w:val="0"/>
        <w:pageBreakBefore w:val="0"/>
        <w:kinsoku/>
        <w:wordWrap/>
        <w:overflowPunct/>
        <w:topLinePunct w:val="0"/>
        <w:bidi w:val="0"/>
        <w:adjustRightInd/>
        <w:snapToGrid/>
        <w:spacing w:line="240" w:lineRule="atLeast"/>
        <w:ind w:firstLine="640" w:firstLineChars="200"/>
        <w:textAlignment w:val="auto"/>
        <w:rPr>
          <w:rFonts w:ascii="仿宋" w:hAnsi="仿宋" w:eastAsia="仿宋" w:cs="Times New Roman"/>
          <w:b/>
          <w:sz w:val="32"/>
          <w:szCs w:val="32"/>
        </w:rPr>
      </w:pPr>
      <w:r>
        <w:rPr>
          <w:rFonts w:hint="eastAsia" w:ascii="仿宋" w:hAnsi="仿宋" w:eastAsia="仿宋" w:cs="Times New Roman"/>
          <w:b/>
          <w:sz w:val="32"/>
          <w:szCs w:val="32"/>
        </w:rPr>
        <w:t>（一）科学编制预算，严格预算执行</w:t>
      </w:r>
    </w:p>
    <w:p>
      <w:pPr>
        <w:pStyle w:val="14"/>
        <w:keepNext w:val="0"/>
        <w:keepLines w:val="0"/>
        <w:pageBreakBefore w:val="0"/>
        <w:kinsoku/>
        <w:wordWrap/>
        <w:overflowPunct/>
        <w:topLinePunct w:val="0"/>
        <w:bidi w:val="0"/>
        <w:adjustRightInd/>
        <w:snapToGrid/>
        <w:spacing w:line="240" w:lineRule="atLeast"/>
        <w:ind w:firstLine="640" w:firstLineChars="200"/>
        <w:textAlignment w:val="auto"/>
        <w:rPr>
          <w:rFonts w:ascii="仿宋" w:hAnsi="仿宋" w:eastAsia="仿宋" w:cs="Times New Roman"/>
          <w:sz w:val="32"/>
          <w:szCs w:val="32"/>
        </w:rPr>
      </w:pPr>
      <w:r>
        <w:rPr>
          <w:rFonts w:hint="eastAsia" w:ascii="仿宋" w:hAnsi="仿宋" w:eastAsia="仿宋" w:cs="Times New Roman"/>
          <w:sz w:val="32"/>
          <w:szCs w:val="32"/>
        </w:rPr>
        <w:t>不断加强财务人员业务素质培养，提高财务人员专业能力，科学编制预算，优化预算支出结构。同时，严格预算执行，保证财政资金安全，确保充分发挥财政资金的使用效益。</w:t>
      </w:r>
    </w:p>
    <w:p>
      <w:pPr>
        <w:pStyle w:val="14"/>
        <w:keepNext w:val="0"/>
        <w:keepLines w:val="0"/>
        <w:pageBreakBefore w:val="0"/>
        <w:numPr>
          <w:ilvl w:val="0"/>
          <w:numId w:val="4"/>
        </w:numPr>
        <w:tabs>
          <w:tab w:val="left" w:pos="932"/>
        </w:tabs>
        <w:kinsoku/>
        <w:wordWrap/>
        <w:overflowPunct/>
        <w:topLinePunct w:val="0"/>
        <w:bidi w:val="0"/>
        <w:adjustRightInd/>
        <w:snapToGrid/>
        <w:spacing w:line="240" w:lineRule="atLeast"/>
        <w:ind w:firstLine="640" w:firstLineChars="200"/>
        <w:textAlignment w:val="auto"/>
        <w:rPr>
          <w:rFonts w:ascii="仿宋" w:hAnsi="仿宋" w:eastAsia="仿宋" w:cs="Times New Roman"/>
          <w:b/>
          <w:sz w:val="32"/>
          <w:szCs w:val="32"/>
        </w:rPr>
      </w:pPr>
      <w:r>
        <w:rPr>
          <w:rFonts w:hint="eastAsia" w:ascii="仿宋" w:hAnsi="仿宋" w:eastAsia="仿宋" w:cs="Times New Roman"/>
          <w:b/>
          <w:sz w:val="32"/>
          <w:szCs w:val="32"/>
        </w:rPr>
        <w:t>严格规范各项制度的执行</w:t>
      </w:r>
    </w:p>
    <w:p>
      <w:pPr>
        <w:pStyle w:val="14"/>
        <w:keepNext w:val="0"/>
        <w:keepLines w:val="0"/>
        <w:pageBreakBefore w:val="0"/>
        <w:tabs>
          <w:tab w:val="left" w:pos="932"/>
        </w:tabs>
        <w:kinsoku/>
        <w:wordWrap/>
        <w:overflowPunct/>
        <w:topLinePunct w:val="0"/>
        <w:bidi w:val="0"/>
        <w:adjustRightInd/>
        <w:snapToGrid/>
        <w:spacing w:line="240" w:lineRule="atLeast"/>
        <w:ind w:firstLine="640" w:firstLineChars="200"/>
        <w:textAlignment w:val="auto"/>
        <w:rPr>
          <w:rFonts w:ascii="仿宋" w:hAnsi="仿宋" w:eastAsia="仿宋" w:cs="Times New Roman"/>
          <w:sz w:val="32"/>
          <w:szCs w:val="32"/>
        </w:rPr>
      </w:pPr>
      <w:r>
        <w:rPr>
          <w:rFonts w:hint="eastAsia" w:ascii="仿宋" w:hAnsi="仿宋" w:eastAsia="仿宋" w:cs="Times New Roman"/>
          <w:sz w:val="32"/>
          <w:szCs w:val="32"/>
        </w:rPr>
        <w:t>认真学习领会各类财政财经相关文件精神和管理办法，并在工作实践中加以贯彻，严格执行。</w:t>
      </w:r>
    </w:p>
    <w:p>
      <w:pPr>
        <w:pStyle w:val="14"/>
        <w:keepNext w:val="0"/>
        <w:keepLines w:val="0"/>
        <w:pageBreakBefore w:val="0"/>
        <w:kinsoku/>
        <w:wordWrap/>
        <w:overflowPunct/>
        <w:topLinePunct w:val="0"/>
        <w:bidi w:val="0"/>
        <w:adjustRightInd/>
        <w:snapToGrid/>
        <w:spacing w:line="240" w:lineRule="atLeast"/>
        <w:ind w:firstLine="640" w:firstLineChars="200"/>
        <w:textAlignment w:val="auto"/>
        <w:rPr>
          <w:rFonts w:ascii="仿宋" w:hAnsi="仿宋" w:eastAsia="仿宋" w:cs="Times New Roman"/>
          <w:b/>
          <w:bCs/>
          <w:sz w:val="32"/>
          <w:szCs w:val="32"/>
        </w:rPr>
      </w:pPr>
      <w:r>
        <w:rPr>
          <w:rFonts w:hint="eastAsia" w:ascii="仿宋" w:hAnsi="仿宋" w:eastAsia="仿宋" w:cs="Times New Roman"/>
          <w:b/>
          <w:bCs/>
          <w:sz w:val="32"/>
          <w:szCs w:val="32"/>
        </w:rPr>
        <w:t>十、绩效自评结果拟应用和公开情况</w:t>
      </w:r>
    </w:p>
    <w:p>
      <w:pPr>
        <w:pStyle w:val="14"/>
        <w:keepNext w:val="0"/>
        <w:keepLines w:val="0"/>
        <w:pageBreakBefore w:val="0"/>
        <w:kinsoku/>
        <w:wordWrap/>
        <w:overflowPunct/>
        <w:topLinePunct w:val="0"/>
        <w:bidi w:val="0"/>
        <w:adjustRightInd/>
        <w:snapToGrid/>
        <w:spacing w:line="240" w:lineRule="atLeast"/>
        <w:ind w:firstLine="640" w:firstLineChars="200"/>
        <w:textAlignment w:val="auto"/>
        <w:rPr>
          <w:rFonts w:ascii="仿宋" w:hAnsi="仿宋" w:eastAsia="仿宋" w:cs="Times New Roman"/>
          <w:bCs/>
          <w:sz w:val="32"/>
          <w:szCs w:val="32"/>
        </w:rPr>
      </w:pPr>
      <w:r>
        <w:rPr>
          <w:rFonts w:hint="eastAsia" w:ascii="仿宋" w:hAnsi="仿宋" w:eastAsia="仿宋" w:cs="Times New Roman"/>
          <w:bCs/>
          <w:sz w:val="32"/>
          <w:szCs w:val="32"/>
        </w:rPr>
        <w:t>（一）落实绩效评价结果公开公示制度，将绩效评价结果上网公开，接受社会监督。</w:t>
      </w:r>
    </w:p>
    <w:p>
      <w:pPr>
        <w:pStyle w:val="14"/>
        <w:keepNext w:val="0"/>
        <w:keepLines w:val="0"/>
        <w:pageBreakBefore w:val="0"/>
        <w:kinsoku/>
        <w:wordWrap/>
        <w:overflowPunct/>
        <w:topLinePunct w:val="0"/>
        <w:bidi w:val="0"/>
        <w:adjustRightInd/>
        <w:snapToGrid/>
        <w:spacing w:line="240" w:lineRule="atLeast"/>
        <w:ind w:firstLine="640" w:firstLineChars="200"/>
        <w:textAlignment w:val="auto"/>
        <w:rPr>
          <w:rFonts w:ascii="仿宋" w:hAnsi="仿宋" w:eastAsia="仿宋" w:cs="Times New Roman"/>
          <w:bCs/>
          <w:sz w:val="32"/>
          <w:szCs w:val="32"/>
        </w:rPr>
      </w:pPr>
      <w:r>
        <w:rPr>
          <w:rFonts w:hint="eastAsia" w:ascii="仿宋" w:hAnsi="仿宋" w:eastAsia="仿宋" w:cs="Times New Roman"/>
          <w:bCs/>
          <w:sz w:val="32"/>
          <w:szCs w:val="32"/>
        </w:rPr>
        <w:t>（二）加强绩效自评结果的应用，对自评过程中发现的问题落实责任并监督整改到位。</w:t>
      </w:r>
    </w:p>
    <w:p>
      <w:pPr>
        <w:pStyle w:val="14"/>
        <w:tabs>
          <w:tab w:val="left" w:pos="932"/>
        </w:tabs>
        <w:adjustRightInd/>
        <w:spacing w:line="520" w:lineRule="exact"/>
        <w:rPr>
          <w:rFonts w:ascii="仿宋" w:hAnsi="仿宋" w:eastAsia="仿宋" w:cs="Times New Roman"/>
          <w:sz w:val="32"/>
          <w:szCs w:val="32"/>
        </w:rPr>
      </w:pPr>
    </w:p>
    <w:p>
      <w:pPr>
        <w:pStyle w:val="14"/>
        <w:tabs>
          <w:tab w:val="left" w:pos="932"/>
        </w:tabs>
        <w:adjustRightInd/>
        <w:spacing w:line="520" w:lineRule="exact"/>
        <w:rPr>
          <w:rFonts w:ascii="仿宋" w:hAnsi="仿宋" w:eastAsia="仿宋" w:cs="Times New Roman"/>
          <w:sz w:val="32"/>
          <w:szCs w:val="32"/>
        </w:rPr>
      </w:pPr>
    </w:p>
    <w:p>
      <w:pPr>
        <w:pStyle w:val="14"/>
        <w:tabs>
          <w:tab w:val="left" w:pos="932"/>
        </w:tabs>
        <w:adjustRightInd/>
        <w:spacing w:line="520" w:lineRule="exact"/>
        <w:rPr>
          <w:rFonts w:ascii="仿宋" w:hAnsi="仿宋" w:eastAsia="仿宋" w:cs="Times New Roman"/>
          <w:sz w:val="32"/>
          <w:szCs w:val="32"/>
        </w:rPr>
      </w:pPr>
    </w:p>
    <w:p>
      <w:pPr>
        <w:pStyle w:val="14"/>
        <w:tabs>
          <w:tab w:val="left" w:pos="932"/>
        </w:tabs>
        <w:adjustRightInd/>
        <w:spacing w:line="520" w:lineRule="exact"/>
        <w:rPr>
          <w:rFonts w:ascii="仿宋" w:hAnsi="仿宋" w:eastAsia="仿宋" w:cs="Times New Roman"/>
          <w:sz w:val="32"/>
          <w:szCs w:val="32"/>
        </w:rPr>
      </w:pPr>
    </w:p>
    <w:p>
      <w:pPr>
        <w:pStyle w:val="14"/>
        <w:tabs>
          <w:tab w:val="left" w:pos="932"/>
        </w:tabs>
        <w:adjustRightInd/>
        <w:spacing w:line="520" w:lineRule="exact"/>
        <w:rPr>
          <w:rFonts w:ascii="仿宋" w:hAnsi="仿宋" w:eastAsia="仿宋" w:cs="Times New Roman"/>
          <w:sz w:val="32"/>
          <w:szCs w:val="32"/>
        </w:rPr>
      </w:pPr>
    </w:p>
    <w:p>
      <w:pPr>
        <w:pStyle w:val="14"/>
        <w:tabs>
          <w:tab w:val="left" w:pos="932"/>
        </w:tabs>
        <w:adjustRightInd/>
        <w:spacing w:line="520" w:lineRule="exact"/>
        <w:rPr>
          <w:rFonts w:ascii="仿宋" w:hAnsi="仿宋" w:eastAsia="仿宋" w:cs="Times New Roman"/>
          <w:sz w:val="32"/>
          <w:szCs w:val="32"/>
        </w:rPr>
      </w:pPr>
    </w:p>
    <w:p>
      <w:pPr>
        <w:pStyle w:val="14"/>
        <w:tabs>
          <w:tab w:val="left" w:pos="932"/>
        </w:tabs>
        <w:adjustRightInd/>
        <w:spacing w:line="520" w:lineRule="exact"/>
        <w:rPr>
          <w:rFonts w:ascii="仿宋" w:hAnsi="仿宋" w:eastAsia="仿宋" w:cs="Times New Roman"/>
          <w:sz w:val="32"/>
          <w:szCs w:val="32"/>
        </w:rPr>
      </w:pPr>
    </w:p>
    <w:p>
      <w:pPr>
        <w:pStyle w:val="14"/>
        <w:tabs>
          <w:tab w:val="left" w:pos="932"/>
        </w:tabs>
        <w:adjustRightInd/>
        <w:spacing w:line="520" w:lineRule="exact"/>
        <w:rPr>
          <w:rFonts w:ascii="仿宋" w:hAnsi="仿宋" w:eastAsia="仿宋" w:cs="Times New Roman"/>
          <w:sz w:val="32"/>
          <w:szCs w:val="32"/>
        </w:rPr>
      </w:pPr>
    </w:p>
    <w:p>
      <w:pPr>
        <w:pStyle w:val="14"/>
        <w:tabs>
          <w:tab w:val="left" w:pos="932"/>
        </w:tabs>
        <w:adjustRightInd/>
        <w:spacing w:line="520" w:lineRule="exact"/>
        <w:rPr>
          <w:rFonts w:ascii="仿宋" w:hAnsi="仿宋" w:eastAsia="仿宋" w:cs="Times New Roman"/>
          <w:sz w:val="32"/>
          <w:szCs w:val="32"/>
        </w:rPr>
      </w:pPr>
    </w:p>
    <w:p>
      <w:pPr>
        <w:pStyle w:val="14"/>
        <w:tabs>
          <w:tab w:val="left" w:pos="932"/>
        </w:tabs>
        <w:adjustRightInd/>
        <w:spacing w:line="520" w:lineRule="exact"/>
        <w:rPr>
          <w:rFonts w:ascii="仿宋" w:hAnsi="仿宋" w:eastAsia="仿宋" w:cs="Times New Roman"/>
          <w:sz w:val="32"/>
          <w:szCs w:val="32"/>
        </w:rPr>
      </w:pPr>
    </w:p>
    <w:p>
      <w:pPr>
        <w:pStyle w:val="14"/>
        <w:adjustRightInd/>
        <w:spacing w:line="520" w:lineRule="exact"/>
        <w:rPr>
          <w:rFonts w:ascii="仿宋" w:hAnsi="仿宋" w:eastAsia="仿宋" w:cs="Times New Roman"/>
          <w:sz w:val="32"/>
          <w:szCs w:val="32"/>
        </w:rPr>
      </w:pPr>
    </w:p>
    <w:p>
      <w:pPr>
        <w:pStyle w:val="14"/>
        <w:adjustRightInd/>
        <w:spacing w:line="520" w:lineRule="exact"/>
        <w:rPr>
          <w:rFonts w:ascii="仿宋" w:hAnsi="仿宋" w:eastAsia="仿宋" w:cs="Times New Roman"/>
          <w:sz w:val="32"/>
          <w:szCs w:val="32"/>
        </w:rPr>
      </w:pPr>
    </w:p>
    <w:p>
      <w:pPr>
        <w:pStyle w:val="14"/>
        <w:adjustRightInd/>
        <w:spacing w:line="520" w:lineRule="exact"/>
        <w:rPr>
          <w:rFonts w:ascii="仿宋" w:hAnsi="仿宋" w:eastAsia="仿宋" w:cs="Times New Roman"/>
          <w:sz w:val="32"/>
          <w:szCs w:val="32"/>
        </w:rPr>
      </w:pPr>
    </w:p>
    <w:p>
      <w:pPr>
        <w:pStyle w:val="14"/>
        <w:adjustRightInd/>
        <w:spacing w:line="520" w:lineRule="exact"/>
        <w:rPr>
          <w:rFonts w:ascii="仿宋" w:hAnsi="仿宋" w:eastAsia="仿宋" w:cs="Times New Roman"/>
          <w:sz w:val="32"/>
          <w:szCs w:val="32"/>
        </w:rPr>
      </w:pPr>
    </w:p>
    <w:p>
      <w:pPr>
        <w:pStyle w:val="14"/>
        <w:adjustRightInd/>
        <w:spacing w:line="520" w:lineRule="exact"/>
        <w:rPr>
          <w:rFonts w:ascii="仿宋" w:hAnsi="仿宋" w:eastAsia="仿宋" w:cs="Times New Roman"/>
          <w:sz w:val="32"/>
          <w:szCs w:val="32"/>
        </w:rPr>
      </w:pPr>
    </w:p>
    <w:p>
      <w:pPr>
        <w:pStyle w:val="14"/>
        <w:adjustRightInd/>
        <w:spacing w:line="520" w:lineRule="exact"/>
        <w:rPr>
          <w:rFonts w:ascii="仿宋" w:hAnsi="仿宋" w:eastAsia="仿宋" w:cs="Times New Roman"/>
          <w:sz w:val="32"/>
          <w:szCs w:val="32"/>
        </w:rPr>
      </w:pPr>
    </w:p>
    <w:p>
      <w:pPr>
        <w:pStyle w:val="14"/>
        <w:adjustRightInd/>
        <w:spacing w:line="520" w:lineRule="exact"/>
        <w:rPr>
          <w:rFonts w:ascii="仿宋" w:hAnsi="仿宋" w:eastAsia="仿宋" w:cs="Times New Roman"/>
          <w:sz w:val="32"/>
          <w:szCs w:val="32"/>
        </w:rPr>
      </w:pPr>
    </w:p>
    <w:p>
      <w:pPr>
        <w:pStyle w:val="14"/>
        <w:adjustRightInd/>
        <w:spacing w:line="520" w:lineRule="exact"/>
        <w:rPr>
          <w:rFonts w:ascii="仿宋" w:hAnsi="仿宋" w:eastAsia="仿宋" w:cs="Times New Roman"/>
          <w:sz w:val="32"/>
          <w:szCs w:val="32"/>
        </w:rPr>
      </w:pPr>
    </w:p>
    <w:p>
      <w:pPr>
        <w:pStyle w:val="14"/>
        <w:adjustRightInd/>
        <w:spacing w:line="520" w:lineRule="exact"/>
        <w:rPr>
          <w:rFonts w:ascii="仿宋" w:hAnsi="仿宋" w:eastAsia="仿宋" w:cs="Times New Roman"/>
          <w:sz w:val="32"/>
          <w:szCs w:val="32"/>
        </w:rPr>
      </w:pPr>
    </w:p>
    <w:p>
      <w:pPr>
        <w:pStyle w:val="14"/>
        <w:adjustRightInd/>
        <w:spacing w:line="520" w:lineRule="exact"/>
        <w:rPr>
          <w:rFonts w:hint="eastAsia" w:ascii="仿宋" w:hAnsi="仿宋" w:eastAsia="仿宋" w:cs="Times New Roman"/>
          <w:sz w:val="32"/>
          <w:szCs w:val="32"/>
        </w:rPr>
      </w:pPr>
    </w:p>
    <w:p>
      <w:pPr>
        <w:pStyle w:val="14"/>
        <w:adjustRightInd/>
        <w:spacing w:line="520" w:lineRule="exact"/>
        <w:rPr>
          <w:rFonts w:hint="eastAsia" w:ascii="仿宋" w:hAnsi="仿宋" w:eastAsia="仿宋" w:cs="Times New Roman"/>
          <w:sz w:val="32"/>
          <w:szCs w:val="32"/>
        </w:rPr>
      </w:pPr>
    </w:p>
    <w:p>
      <w:pPr>
        <w:pStyle w:val="14"/>
        <w:adjustRightInd/>
        <w:spacing w:line="520" w:lineRule="exact"/>
        <w:rPr>
          <w:rFonts w:hint="eastAsia" w:ascii="仿宋" w:hAnsi="仿宋" w:eastAsia="仿宋" w:cs="Times New Roman"/>
          <w:sz w:val="32"/>
          <w:szCs w:val="32"/>
        </w:rPr>
      </w:pPr>
    </w:p>
    <w:p>
      <w:pPr>
        <w:pStyle w:val="14"/>
        <w:adjustRightInd/>
        <w:spacing w:line="520" w:lineRule="exact"/>
        <w:rPr>
          <w:rFonts w:hint="eastAsia" w:ascii="仿宋" w:hAnsi="仿宋" w:eastAsia="仿宋" w:cs="Times New Roman"/>
          <w:sz w:val="32"/>
          <w:szCs w:val="32"/>
        </w:rPr>
      </w:pPr>
    </w:p>
    <w:p>
      <w:pPr>
        <w:pStyle w:val="14"/>
        <w:adjustRightInd/>
        <w:spacing w:line="520" w:lineRule="exact"/>
        <w:rPr>
          <w:rFonts w:hint="eastAsia" w:ascii="仿宋" w:hAnsi="仿宋" w:eastAsia="仿宋" w:cs="Times New Roman"/>
          <w:sz w:val="32"/>
          <w:szCs w:val="32"/>
        </w:rPr>
      </w:pPr>
    </w:p>
    <w:p>
      <w:pPr>
        <w:pStyle w:val="14"/>
        <w:adjustRightInd/>
        <w:spacing w:line="520" w:lineRule="exact"/>
        <w:rPr>
          <w:rFonts w:hint="eastAsia" w:ascii="仿宋" w:hAnsi="仿宋" w:eastAsia="仿宋" w:cs="Times New Roman"/>
          <w:sz w:val="32"/>
          <w:szCs w:val="32"/>
        </w:rPr>
      </w:pPr>
    </w:p>
    <w:p>
      <w:pPr>
        <w:pStyle w:val="14"/>
        <w:adjustRightInd/>
        <w:spacing w:line="520" w:lineRule="exact"/>
        <w:rPr>
          <w:rFonts w:ascii="仿宋" w:hAnsi="仿宋" w:eastAsia="仿宋" w:cs="Times New Roman"/>
          <w:sz w:val="32"/>
          <w:szCs w:val="32"/>
        </w:rPr>
      </w:pPr>
    </w:p>
    <w:tbl>
      <w:tblPr>
        <w:tblStyle w:val="10"/>
        <w:tblW w:w="10500" w:type="dxa"/>
        <w:tblInd w:w="93" w:type="dxa"/>
        <w:tblLayout w:type="fixed"/>
        <w:tblCellMar>
          <w:top w:w="0" w:type="dxa"/>
          <w:left w:w="108" w:type="dxa"/>
          <w:bottom w:w="0" w:type="dxa"/>
          <w:right w:w="108" w:type="dxa"/>
        </w:tblCellMar>
      </w:tblPr>
      <w:tblGrid>
        <w:gridCol w:w="3940"/>
        <w:gridCol w:w="1060"/>
        <w:gridCol w:w="1060"/>
        <w:gridCol w:w="1060"/>
        <w:gridCol w:w="1260"/>
        <w:gridCol w:w="1060"/>
        <w:gridCol w:w="1060"/>
      </w:tblGrid>
      <w:tr>
        <w:tblPrEx>
          <w:tblLayout w:type="fixed"/>
          <w:tblCellMar>
            <w:top w:w="0" w:type="dxa"/>
            <w:left w:w="108" w:type="dxa"/>
            <w:bottom w:w="0" w:type="dxa"/>
            <w:right w:w="108" w:type="dxa"/>
          </w:tblCellMar>
        </w:tblPrEx>
        <w:trPr>
          <w:trHeight w:val="642" w:hRule="atLeast"/>
        </w:trPr>
        <w:tc>
          <w:tcPr>
            <w:tcW w:w="10500" w:type="dxa"/>
            <w:gridSpan w:val="7"/>
            <w:tcBorders>
              <w:top w:val="nil"/>
              <w:left w:val="nil"/>
              <w:bottom w:val="nil"/>
              <w:right w:val="nil"/>
            </w:tcBorders>
            <w:shd w:val="clear" w:color="auto" w:fill="auto"/>
            <w:noWrap/>
            <w:vAlign w:val="center"/>
          </w:tcPr>
          <w:p>
            <w:pPr>
              <w:widowControl/>
              <w:jc w:val="left"/>
              <w:rPr>
                <w:rFonts w:ascii="宋体" w:hAnsi="宋体" w:eastAsia="宋体" w:cs="宋体"/>
                <w:b/>
                <w:bCs/>
                <w:color w:val="000000"/>
                <w:kern w:val="0"/>
                <w:sz w:val="28"/>
                <w:szCs w:val="28"/>
              </w:rPr>
            </w:pPr>
            <w:r>
              <w:rPr>
                <w:rFonts w:hint="eastAsia" w:ascii="宋体" w:hAnsi="宋体" w:eastAsia="宋体" w:cs="宋体"/>
                <w:b/>
                <w:bCs/>
                <w:color w:val="000000"/>
                <w:kern w:val="0"/>
                <w:sz w:val="28"/>
                <w:szCs w:val="28"/>
              </w:rPr>
              <w:t>附件1</w:t>
            </w:r>
          </w:p>
          <w:p>
            <w:pPr>
              <w:widowControl/>
              <w:jc w:val="center"/>
              <w:rPr>
                <w:rFonts w:ascii="宋体" w:hAnsi="宋体" w:eastAsia="宋体" w:cs="宋体"/>
                <w:b/>
                <w:bCs/>
                <w:color w:val="000000"/>
                <w:kern w:val="0"/>
                <w:sz w:val="28"/>
                <w:szCs w:val="28"/>
              </w:rPr>
            </w:pPr>
          </w:p>
          <w:p>
            <w:pPr>
              <w:widowControl/>
              <w:jc w:val="center"/>
              <w:rPr>
                <w:rFonts w:ascii="宋体" w:hAnsi="宋体" w:eastAsia="宋体" w:cs="宋体"/>
                <w:b/>
                <w:bCs/>
                <w:color w:val="000000"/>
                <w:kern w:val="0"/>
                <w:sz w:val="28"/>
                <w:szCs w:val="28"/>
              </w:rPr>
            </w:pPr>
            <w:r>
              <w:rPr>
                <w:rFonts w:hint="eastAsia" w:ascii="宋体" w:hAnsi="宋体" w:eastAsia="宋体" w:cs="宋体"/>
                <w:b/>
                <w:bCs/>
                <w:color w:val="000000"/>
                <w:kern w:val="0"/>
                <w:sz w:val="28"/>
                <w:szCs w:val="28"/>
              </w:rPr>
              <w:t>2023年度部门整体支出绩效评价基础数据表</w:t>
            </w:r>
          </w:p>
        </w:tc>
      </w:tr>
      <w:tr>
        <w:tblPrEx>
          <w:tblLayout w:type="fixed"/>
          <w:tblCellMar>
            <w:top w:w="0" w:type="dxa"/>
            <w:left w:w="108" w:type="dxa"/>
            <w:bottom w:w="0" w:type="dxa"/>
            <w:right w:w="108" w:type="dxa"/>
          </w:tblCellMar>
        </w:tblPrEx>
        <w:trPr>
          <w:trHeight w:val="402" w:hRule="atLeast"/>
        </w:trPr>
        <w:tc>
          <w:tcPr>
            <w:tcW w:w="39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财政供养人员情况</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编制数</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202</w:t>
            </w:r>
            <w:r>
              <w:rPr>
                <w:rFonts w:hint="eastAsia" w:ascii="Times New Roman" w:hAnsi="Times New Roman" w:eastAsia="宋体" w:cs="Times New Roman"/>
                <w:color w:val="000000"/>
                <w:kern w:val="0"/>
                <w:szCs w:val="21"/>
              </w:rPr>
              <w:t>3</w:t>
            </w:r>
            <w:r>
              <w:rPr>
                <w:rFonts w:hint="eastAsia" w:ascii="仿宋_GB2312" w:hAnsi="Times New Roman" w:eastAsia="仿宋_GB2312" w:cs="Times New Roman"/>
                <w:color w:val="000000"/>
                <w:kern w:val="0"/>
                <w:szCs w:val="21"/>
              </w:rPr>
              <w:t>年实际在职人数</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控制率</w:t>
            </w:r>
          </w:p>
        </w:tc>
      </w:tr>
      <w:tr>
        <w:tblPrEx>
          <w:tblLayout w:type="fixed"/>
          <w:tblCellMar>
            <w:top w:w="0" w:type="dxa"/>
            <w:left w:w="108" w:type="dxa"/>
            <w:bottom w:w="0" w:type="dxa"/>
            <w:right w:w="108" w:type="dxa"/>
          </w:tblCellMar>
        </w:tblPrEx>
        <w:trPr>
          <w:trHeight w:val="402" w:hRule="atLeast"/>
        </w:trPr>
        <w:tc>
          <w:tcPr>
            <w:tcW w:w="39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color w:val="000000"/>
                <w:kern w:val="0"/>
                <w:szCs w:val="21"/>
              </w:rPr>
            </w:pP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hint="default" w:ascii="Times New Roman" w:hAnsi="Times New Roman" w:eastAsia="宋体" w:cs="Times New Roman"/>
                <w:color w:val="000000"/>
                <w:szCs w:val="21"/>
                <w:lang w:val="en-US" w:eastAsia="zh-CN"/>
              </w:rPr>
            </w:pPr>
            <w:r>
              <w:rPr>
                <w:rFonts w:hint="eastAsia" w:ascii="Times New Roman" w:hAnsi="Times New Roman" w:eastAsia="宋体" w:cs="Times New Roman"/>
                <w:color w:val="000000"/>
                <w:kern w:val="0"/>
                <w:szCs w:val="21"/>
                <w:lang w:val="en-US" w:eastAsia="zh-CN"/>
              </w:rPr>
              <w:t>17</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hint="eastAsia" w:ascii="Times New Roman" w:hAnsi="Times New Roman" w:eastAsia="宋体" w:cs="Times New Roman"/>
                <w:color w:val="000000"/>
                <w:kern w:val="0"/>
                <w:szCs w:val="21"/>
              </w:rPr>
              <w:t>17</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100.00%</w:t>
            </w:r>
          </w:p>
        </w:tc>
      </w:tr>
      <w:tr>
        <w:tblPrEx>
          <w:tblLayout w:type="fixed"/>
          <w:tblCellMar>
            <w:top w:w="0" w:type="dxa"/>
            <w:left w:w="108" w:type="dxa"/>
            <w:bottom w:w="0" w:type="dxa"/>
            <w:right w:w="108" w:type="dxa"/>
          </w:tblCellMar>
        </w:tblPrEx>
        <w:trPr>
          <w:trHeight w:val="402" w:hRule="atLeast"/>
        </w:trPr>
        <w:tc>
          <w:tcPr>
            <w:tcW w:w="39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经费控制情况</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20</w:t>
            </w:r>
            <w:r>
              <w:rPr>
                <w:rFonts w:hint="eastAsia" w:ascii="Times New Roman" w:hAnsi="Times New Roman" w:eastAsia="宋体" w:cs="Times New Roman"/>
                <w:color w:val="000000"/>
                <w:kern w:val="0"/>
                <w:szCs w:val="21"/>
              </w:rPr>
              <w:t>22</w:t>
            </w:r>
            <w:r>
              <w:rPr>
                <w:rFonts w:hint="eastAsia" w:ascii="仿宋_GB2312" w:hAnsi="Times New Roman" w:eastAsia="仿宋_GB2312" w:cs="Times New Roman"/>
                <w:color w:val="000000"/>
                <w:kern w:val="0"/>
                <w:szCs w:val="21"/>
              </w:rPr>
              <w:t>年决算数</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202</w:t>
            </w:r>
            <w:r>
              <w:rPr>
                <w:rFonts w:hint="eastAsia" w:ascii="Times New Roman" w:hAnsi="Times New Roman" w:eastAsia="宋体" w:cs="Times New Roman"/>
                <w:color w:val="000000"/>
                <w:kern w:val="0"/>
                <w:szCs w:val="21"/>
              </w:rPr>
              <w:t>3</w:t>
            </w:r>
            <w:r>
              <w:rPr>
                <w:rFonts w:hint="eastAsia" w:ascii="仿宋_GB2312" w:hAnsi="Times New Roman" w:eastAsia="仿宋_GB2312" w:cs="Times New Roman"/>
                <w:color w:val="000000"/>
                <w:kern w:val="0"/>
                <w:szCs w:val="21"/>
              </w:rPr>
              <w:t>年预算数</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202</w:t>
            </w:r>
            <w:r>
              <w:rPr>
                <w:rFonts w:hint="eastAsia" w:ascii="Times New Roman" w:hAnsi="Times New Roman" w:eastAsia="宋体" w:cs="Times New Roman"/>
                <w:color w:val="000000"/>
                <w:kern w:val="0"/>
                <w:szCs w:val="21"/>
              </w:rPr>
              <w:t>3</w:t>
            </w:r>
            <w:r>
              <w:rPr>
                <w:rFonts w:hint="eastAsia" w:ascii="仿宋_GB2312" w:hAnsi="Times New Roman" w:eastAsia="仿宋_GB2312" w:cs="Times New Roman"/>
                <w:color w:val="000000"/>
                <w:kern w:val="0"/>
                <w:szCs w:val="21"/>
              </w:rPr>
              <w:t>年决算数</w:t>
            </w:r>
          </w:p>
        </w:tc>
      </w:tr>
      <w:tr>
        <w:tblPrEx>
          <w:tblLayout w:type="fixed"/>
          <w:tblCellMar>
            <w:top w:w="0" w:type="dxa"/>
            <w:left w:w="108" w:type="dxa"/>
            <w:bottom w:w="0" w:type="dxa"/>
            <w:right w:w="108" w:type="dxa"/>
          </w:tblCellMar>
        </w:tblPrEx>
        <w:trPr>
          <w:trHeight w:val="402" w:hRule="atLeast"/>
        </w:trPr>
        <w:tc>
          <w:tcPr>
            <w:tcW w:w="394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三公经费</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hint="eastAsia" w:ascii="Times New Roman" w:hAnsi="Times New Roman" w:eastAsia="宋体" w:cs="Times New Roman"/>
                <w:color w:val="000000"/>
                <w:kern w:val="0"/>
                <w:szCs w:val="21"/>
              </w:rPr>
              <w:t>0.04</w:t>
            </w:r>
            <w:r>
              <w:rPr>
                <w:rFonts w:ascii="Times New Roman" w:hAnsi="Times New Roman" w:eastAsia="宋体" w:cs="Times New Roman"/>
                <w:color w:val="000000"/>
                <w:kern w:val="0"/>
                <w:szCs w:val="21"/>
              </w:rPr>
              <w:t xml:space="preserve"> </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hint="eastAsia" w:ascii="Times New Roman" w:hAnsi="Times New Roman" w:eastAsia="宋体" w:cs="Times New Roman"/>
                <w:color w:val="000000"/>
                <w:kern w:val="0"/>
                <w:szCs w:val="21"/>
              </w:rPr>
              <w:t>1.00</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hint="eastAsia" w:ascii="Times New Roman" w:hAnsi="Times New Roman" w:eastAsia="宋体" w:cs="Times New Roman"/>
                <w:color w:val="000000"/>
                <w:kern w:val="0"/>
                <w:szCs w:val="21"/>
              </w:rPr>
              <w:t>0.31</w:t>
            </w:r>
            <w:r>
              <w:rPr>
                <w:rFonts w:ascii="Times New Roman" w:hAnsi="Times New Roman" w:eastAsia="宋体" w:cs="Times New Roman"/>
                <w:color w:val="000000"/>
                <w:kern w:val="0"/>
                <w:szCs w:val="21"/>
              </w:rPr>
              <w:t xml:space="preserve"> </w:t>
            </w:r>
          </w:p>
        </w:tc>
      </w:tr>
      <w:tr>
        <w:tblPrEx>
          <w:tblLayout w:type="fixed"/>
          <w:tblCellMar>
            <w:top w:w="0" w:type="dxa"/>
            <w:left w:w="108" w:type="dxa"/>
            <w:bottom w:w="0" w:type="dxa"/>
            <w:right w:w="108" w:type="dxa"/>
          </w:tblCellMar>
        </w:tblPrEx>
        <w:trPr>
          <w:trHeight w:val="402" w:hRule="atLeast"/>
        </w:trPr>
        <w:tc>
          <w:tcPr>
            <w:tcW w:w="394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1、公务用车购置和维护经费</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r>
      <w:tr>
        <w:tblPrEx>
          <w:tblLayout w:type="fixed"/>
          <w:tblCellMar>
            <w:top w:w="0" w:type="dxa"/>
            <w:left w:w="108" w:type="dxa"/>
            <w:bottom w:w="0" w:type="dxa"/>
            <w:right w:w="108" w:type="dxa"/>
          </w:tblCellMar>
        </w:tblPrEx>
        <w:trPr>
          <w:trHeight w:val="379" w:hRule="atLeast"/>
        </w:trPr>
        <w:tc>
          <w:tcPr>
            <w:tcW w:w="394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其中：公车购置</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r>
      <w:tr>
        <w:tblPrEx>
          <w:tblLayout w:type="fixed"/>
          <w:tblCellMar>
            <w:top w:w="0" w:type="dxa"/>
            <w:left w:w="108" w:type="dxa"/>
            <w:bottom w:w="0" w:type="dxa"/>
            <w:right w:w="108" w:type="dxa"/>
          </w:tblCellMar>
        </w:tblPrEx>
        <w:trPr>
          <w:trHeight w:val="402" w:hRule="atLeast"/>
        </w:trPr>
        <w:tc>
          <w:tcPr>
            <w:tcW w:w="394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公车运行维护</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r>
      <w:tr>
        <w:tblPrEx>
          <w:tblLayout w:type="fixed"/>
          <w:tblCellMar>
            <w:top w:w="0" w:type="dxa"/>
            <w:left w:w="108" w:type="dxa"/>
            <w:bottom w:w="0" w:type="dxa"/>
            <w:right w:w="108" w:type="dxa"/>
          </w:tblCellMar>
        </w:tblPrEx>
        <w:trPr>
          <w:trHeight w:val="402" w:hRule="atLeast"/>
        </w:trPr>
        <w:tc>
          <w:tcPr>
            <w:tcW w:w="394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2、出国经费</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r>
      <w:tr>
        <w:tblPrEx>
          <w:tblLayout w:type="fixed"/>
          <w:tblCellMar>
            <w:top w:w="0" w:type="dxa"/>
            <w:left w:w="108" w:type="dxa"/>
            <w:bottom w:w="0" w:type="dxa"/>
            <w:right w:w="108" w:type="dxa"/>
          </w:tblCellMar>
        </w:tblPrEx>
        <w:trPr>
          <w:trHeight w:val="402" w:hRule="atLeast"/>
        </w:trPr>
        <w:tc>
          <w:tcPr>
            <w:tcW w:w="394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3、公务接待</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hint="eastAsia" w:ascii="Times New Roman" w:hAnsi="Times New Roman" w:eastAsia="宋体" w:cs="Times New Roman"/>
                <w:color w:val="000000"/>
                <w:kern w:val="0"/>
                <w:szCs w:val="21"/>
              </w:rPr>
              <w:t>0.04</w:t>
            </w:r>
            <w:r>
              <w:rPr>
                <w:rFonts w:ascii="Times New Roman" w:hAnsi="Times New Roman" w:eastAsia="宋体" w:cs="Times New Roman"/>
                <w:color w:val="000000"/>
                <w:kern w:val="0"/>
                <w:szCs w:val="21"/>
              </w:rPr>
              <w:t xml:space="preserve"> </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hint="eastAsia" w:ascii="Times New Roman" w:hAnsi="Times New Roman" w:eastAsia="宋体" w:cs="Times New Roman"/>
                <w:color w:val="000000"/>
                <w:kern w:val="0"/>
                <w:szCs w:val="21"/>
              </w:rPr>
              <w:t>1.00</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hint="eastAsia" w:ascii="Times New Roman" w:hAnsi="Times New Roman" w:eastAsia="宋体" w:cs="Times New Roman"/>
                <w:color w:val="000000"/>
                <w:kern w:val="0"/>
                <w:szCs w:val="21"/>
              </w:rPr>
              <w:t>0.31</w:t>
            </w:r>
            <w:r>
              <w:rPr>
                <w:rFonts w:ascii="Times New Roman" w:hAnsi="Times New Roman" w:eastAsia="宋体" w:cs="Times New Roman"/>
                <w:color w:val="000000"/>
                <w:kern w:val="0"/>
                <w:szCs w:val="21"/>
              </w:rPr>
              <w:t xml:space="preserve"> </w:t>
            </w:r>
          </w:p>
        </w:tc>
      </w:tr>
      <w:tr>
        <w:tblPrEx>
          <w:tblLayout w:type="fixed"/>
          <w:tblCellMar>
            <w:top w:w="0" w:type="dxa"/>
            <w:left w:w="108" w:type="dxa"/>
            <w:bottom w:w="0" w:type="dxa"/>
            <w:right w:w="108" w:type="dxa"/>
          </w:tblCellMar>
        </w:tblPrEx>
        <w:trPr>
          <w:trHeight w:val="402" w:hRule="atLeast"/>
        </w:trPr>
        <w:tc>
          <w:tcPr>
            <w:tcW w:w="394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项目支出：</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Cs w:val="21"/>
                <w:lang w:val="en-US" w:eastAsia="zh-CN"/>
              </w:rPr>
            </w:pPr>
            <w:r>
              <w:rPr>
                <w:rFonts w:ascii="Times New Roman" w:hAnsi="Times New Roman" w:eastAsia="宋体" w:cs="Times New Roman"/>
                <w:color w:val="000000"/>
                <w:kern w:val="0"/>
                <w:szCs w:val="21"/>
              </w:rPr>
              <w:t>　</w:t>
            </w:r>
            <w:r>
              <w:rPr>
                <w:rFonts w:hint="eastAsia" w:ascii="Times New Roman" w:hAnsi="Times New Roman" w:eastAsia="宋体" w:cs="Times New Roman"/>
                <w:color w:val="000000"/>
                <w:kern w:val="0"/>
                <w:szCs w:val="21"/>
                <w:lang w:val="en-US" w:eastAsia="zh-CN"/>
              </w:rPr>
              <w:t>60.66</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114.52</w:t>
            </w:r>
            <w:r>
              <w:rPr>
                <w:rFonts w:ascii="Times New Roman" w:hAnsi="Times New Roman" w:eastAsia="宋体" w:cs="Times New Roman"/>
                <w:color w:val="000000"/>
                <w:kern w:val="0"/>
                <w:szCs w:val="21"/>
              </w:rPr>
              <w:t>　</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lang w:val="en-US" w:eastAsia="zh-CN"/>
              </w:rPr>
              <w:t>100.64</w:t>
            </w:r>
            <w:r>
              <w:rPr>
                <w:rFonts w:ascii="Times New Roman" w:hAnsi="Times New Roman" w:eastAsia="宋体" w:cs="Times New Roman"/>
                <w:color w:val="000000"/>
                <w:kern w:val="0"/>
                <w:szCs w:val="21"/>
              </w:rPr>
              <w:t>　</w:t>
            </w:r>
          </w:p>
        </w:tc>
      </w:tr>
      <w:tr>
        <w:tblPrEx>
          <w:tblLayout w:type="fixed"/>
          <w:tblCellMar>
            <w:top w:w="0" w:type="dxa"/>
            <w:left w:w="108" w:type="dxa"/>
            <w:bottom w:w="0" w:type="dxa"/>
            <w:right w:w="108" w:type="dxa"/>
          </w:tblCellMar>
        </w:tblPrEx>
        <w:trPr>
          <w:trHeight w:val="402" w:hRule="atLeast"/>
        </w:trPr>
        <w:tc>
          <w:tcPr>
            <w:tcW w:w="394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w:t>
            </w:r>
            <w:r>
              <w:rPr>
                <w:rFonts w:hint="eastAsia" w:ascii="宋体" w:hAnsi="宋体" w:eastAsia="宋体" w:cs="Times New Roman"/>
                <w:color w:val="000000"/>
                <w:kern w:val="0"/>
                <w:szCs w:val="21"/>
              </w:rPr>
              <w:t>、业务工作专项</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hint="eastAsia" w:ascii="Times New Roman" w:hAnsi="Times New Roman" w:eastAsia="宋体" w:cs="Times New Roman"/>
                <w:color w:val="000000"/>
                <w:kern w:val="0"/>
                <w:szCs w:val="21"/>
              </w:rPr>
              <w:t>60.66</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hint="eastAsia" w:ascii="Times New Roman" w:hAnsi="Times New Roman" w:eastAsia="宋体" w:cs="Times New Roman"/>
                <w:color w:val="000000"/>
                <w:kern w:val="0"/>
                <w:szCs w:val="21"/>
              </w:rPr>
              <w:t>91.42</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83.30</w:t>
            </w:r>
          </w:p>
        </w:tc>
      </w:tr>
      <w:tr>
        <w:tblPrEx>
          <w:tblLayout w:type="fixed"/>
          <w:tblCellMar>
            <w:top w:w="0" w:type="dxa"/>
            <w:left w:w="108" w:type="dxa"/>
            <w:bottom w:w="0" w:type="dxa"/>
            <w:right w:w="108" w:type="dxa"/>
          </w:tblCellMar>
        </w:tblPrEx>
        <w:trPr>
          <w:trHeight w:val="402" w:hRule="atLeast"/>
        </w:trPr>
        <w:tc>
          <w:tcPr>
            <w:tcW w:w="394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2、运行维护专项</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r>
      <w:tr>
        <w:tblPrEx>
          <w:tblLayout w:type="fixed"/>
          <w:tblCellMar>
            <w:top w:w="0" w:type="dxa"/>
            <w:left w:w="108" w:type="dxa"/>
            <w:bottom w:w="0" w:type="dxa"/>
            <w:right w:w="108" w:type="dxa"/>
          </w:tblCellMar>
        </w:tblPrEx>
        <w:trPr>
          <w:trHeight w:val="402" w:hRule="atLeast"/>
        </w:trPr>
        <w:tc>
          <w:tcPr>
            <w:tcW w:w="39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r>
      <w:tr>
        <w:tblPrEx>
          <w:tblLayout w:type="fixed"/>
          <w:tblCellMar>
            <w:top w:w="0" w:type="dxa"/>
            <w:left w:w="108" w:type="dxa"/>
            <w:bottom w:w="0" w:type="dxa"/>
            <w:right w:w="108" w:type="dxa"/>
          </w:tblCellMar>
        </w:tblPrEx>
        <w:trPr>
          <w:trHeight w:val="402" w:hRule="atLeast"/>
        </w:trPr>
        <w:tc>
          <w:tcPr>
            <w:tcW w:w="394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3</w:t>
            </w:r>
            <w:r>
              <w:rPr>
                <w:rFonts w:hint="eastAsia" w:ascii="仿宋_GB2312" w:hAnsi="Times New Roman" w:eastAsia="仿宋_GB2312" w:cs="Times New Roman"/>
                <w:color w:val="000000"/>
                <w:kern w:val="0"/>
                <w:szCs w:val="21"/>
              </w:rPr>
              <w:t>、省级专项资金（一个专项一行）</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23.1</w:t>
            </w:r>
            <w:r>
              <w:rPr>
                <w:rFonts w:ascii="Times New Roman" w:hAnsi="Times New Roman" w:eastAsia="宋体" w:cs="Times New Roman"/>
                <w:color w:val="000000"/>
                <w:kern w:val="0"/>
                <w:szCs w:val="21"/>
              </w:rPr>
              <w:t>　</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17.34</w:t>
            </w:r>
            <w:r>
              <w:rPr>
                <w:rFonts w:ascii="Times New Roman" w:hAnsi="Times New Roman" w:eastAsia="宋体" w:cs="Times New Roman"/>
                <w:color w:val="000000"/>
                <w:kern w:val="0"/>
                <w:szCs w:val="21"/>
              </w:rPr>
              <w:t>　</w:t>
            </w:r>
          </w:p>
        </w:tc>
      </w:tr>
      <w:tr>
        <w:tblPrEx>
          <w:tblLayout w:type="fixed"/>
          <w:tblCellMar>
            <w:top w:w="0" w:type="dxa"/>
            <w:left w:w="108" w:type="dxa"/>
            <w:bottom w:w="0" w:type="dxa"/>
            <w:right w:w="108" w:type="dxa"/>
          </w:tblCellMar>
        </w:tblPrEx>
        <w:trPr>
          <w:trHeight w:val="402" w:hRule="atLeast"/>
        </w:trPr>
        <w:tc>
          <w:tcPr>
            <w:tcW w:w="39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r>
      <w:tr>
        <w:tblPrEx>
          <w:tblLayout w:type="fixed"/>
          <w:tblCellMar>
            <w:top w:w="0" w:type="dxa"/>
            <w:left w:w="108" w:type="dxa"/>
            <w:bottom w:w="0" w:type="dxa"/>
            <w:right w:w="108" w:type="dxa"/>
          </w:tblCellMar>
        </w:tblPrEx>
        <w:trPr>
          <w:trHeight w:val="402" w:hRule="atLeast"/>
        </w:trPr>
        <w:tc>
          <w:tcPr>
            <w:tcW w:w="394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公用经费</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kern w:val="0"/>
                <w:szCs w:val="21"/>
                <w14:textFill>
                  <w14:solidFill>
                    <w14:schemeClr w14:val="tx1"/>
                  </w14:solidFill>
                </w14:textFill>
              </w:rPr>
              <w:t>7.13</w:t>
            </w:r>
            <w:r>
              <w:rPr>
                <w:rFonts w:ascii="Times New Roman" w:hAnsi="Times New Roman" w:eastAsia="宋体" w:cs="Times New Roman"/>
                <w:color w:val="000000" w:themeColor="text1"/>
                <w:kern w:val="0"/>
                <w:szCs w:val="21"/>
                <w14:textFill>
                  <w14:solidFill>
                    <w14:schemeClr w14:val="tx1"/>
                  </w14:solidFill>
                </w14:textFill>
              </w:rPr>
              <w:t xml:space="preserve"> </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kern w:val="0"/>
                <w:szCs w:val="21"/>
                <w14:textFill>
                  <w14:solidFill>
                    <w14:schemeClr w14:val="tx1"/>
                  </w14:solidFill>
                </w14:textFill>
              </w:rPr>
              <w:t>12.6</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kern w:val="0"/>
                <w:szCs w:val="21"/>
                <w14:textFill>
                  <w14:solidFill>
                    <w14:schemeClr w14:val="tx1"/>
                  </w14:solidFill>
                </w14:textFill>
              </w:rPr>
              <w:t>7.13</w:t>
            </w:r>
            <w:r>
              <w:rPr>
                <w:rFonts w:ascii="Times New Roman" w:hAnsi="Times New Roman" w:eastAsia="宋体" w:cs="Times New Roman"/>
                <w:color w:val="000000" w:themeColor="text1"/>
                <w:kern w:val="0"/>
                <w:szCs w:val="21"/>
                <w14:textFill>
                  <w14:solidFill>
                    <w14:schemeClr w14:val="tx1"/>
                  </w14:solidFill>
                </w14:textFill>
              </w:rPr>
              <w:t xml:space="preserve"> </w:t>
            </w:r>
          </w:p>
        </w:tc>
      </w:tr>
      <w:tr>
        <w:tblPrEx>
          <w:tblLayout w:type="fixed"/>
          <w:tblCellMar>
            <w:top w:w="0" w:type="dxa"/>
            <w:left w:w="108" w:type="dxa"/>
            <w:bottom w:w="0" w:type="dxa"/>
            <w:right w:w="108" w:type="dxa"/>
          </w:tblCellMar>
        </w:tblPrEx>
        <w:trPr>
          <w:trHeight w:val="402" w:hRule="atLeast"/>
        </w:trPr>
        <w:tc>
          <w:tcPr>
            <w:tcW w:w="394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宋体" w:cs="Times New Roman"/>
                <w:color w:val="000000"/>
                <w:kern w:val="0"/>
                <w:szCs w:val="21"/>
              </w:rPr>
            </w:pPr>
            <w:r>
              <w:rPr>
                <w:rFonts w:hint="eastAsia" w:ascii="宋体" w:hAnsi="宋体" w:eastAsia="宋体" w:cs="Times New Roman"/>
                <w:color w:val="000000"/>
                <w:kern w:val="0"/>
                <w:szCs w:val="21"/>
              </w:rPr>
              <w:t>其中：办公经费</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kern w:val="0"/>
                <w:szCs w:val="21"/>
                <w14:textFill>
                  <w14:solidFill>
                    <w14:schemeClr w14:val="tx1"/>
                  </w14:solidFill>
                </w14:textFill>
              </w:rPr>
              <w:t>4.1</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1.2</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kern w:val="0"/>
                <w:szCs w:val="21"/>
                <w14:textFill>
                  <w14:solidFill>
                    <w14:schemeClr w14:val="tx1"/>
                  </w14:solidFill>
                </w14:textFill>
              </w:rPr>
              <w:t>1.2</w:t>
            </w:r>
          </w:p>
        </w:tc>
      </w:tr>
      <w:tr>
        <w:tblPrEx>
          <w:tblLayout w:type="fixed"/>
          <w:tblCellMar>
            <w:top w:w="0" w:type="dxa"/>
            <w:left w:w="108" w:type="dxa"/>
            <w:bottom w:w="0" w:type="dxa"/>
            <w:right w:w="108" w:type="dxa"/>
          </w:tblCellMar>
        </w:tblPrEx>
        <w:trPr>
          <w:trHeight w:val="402" w:hRule="atLeast"/>
        </w:trPr>
        <w:tc>
          <w:tcPr>
            <w:tcW w:w="394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宋体" w:cs="Times New Roman"/>
                <w:color w:val="000000"/>
                <w:kern w:val="0"/>
                <w:szCs w:val="21"/>
              </w:rPr>
            </w:pPr>
            <w:r>
              <w:rPr>
                <w:rFonts w:hint="eastAsia" w:ascii="宋体" w:hAnsi="宋体" w:eastAsia="宋体" w:cs="Times New Roman"/>
                <w:color w:val="000000"/>
                <w:kern w:val="0"/>
                <w:szCs w:val="21"/>
              </w:rPr>
              <w:t>水费、电费、差旅费</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kern w:val="0"/>
                <w:szCs w:val="21"/>
                <w14:textFill>
                  <w14:solidFill>
                    <w14:schemeClr w14:val="tx1"/>
                  </w14:solidFill>
                </w14:textFill>
              </w:rPr>
              <w:t>3</w:t>
            </w:r>
            <w:r>
              <w:rPr>
                <w:rFonts w:ascii="Times New Roman" w:hAnsi="Times New Roman" w:eastAsia="宋体" w:cs="Times New Roman"/>
                <w:color w:val="000000" w:themeColor="text1"/>
                <w:kern w:val="0"/>
                <w:szCs w:val="21"/>
                <w14:textFill>
                  <w14:solidFill>
                    <w14:schemeClr w14:val="tx1"/>
                  </w14:solidFill>
                </w14:textFill>
              </w:rPr>
              <w:t xml:space="preserve"> </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kern w:val="0"/>
                <w:szCs w:val="21"/>
                <w14:textFill>
                  <w14:solidFill>
                    <w14:schemeClr w14:val="tx1"/>
                  </w14:solidFill>
                </w14:textFill>
              </w:rPr>
              <w:t>4</w:t>
            </w:r>
            <w:r>
              <w:rPr>
                <w:rFonts w:ascii="Times New Roman" w:hAnsi="Times New Roman" w:eastAsia="宋体" w:cs="Times New Roman"/>
                <w:color w:val="000000" w:themeColor="text1"/>
                <w:kern w:val="0"/>
                <w:szCs w:val="21"/>
                <w14:textFill>
                  <w14:solidFill>
                    <w14:schemeClr w14:val="tx1"/>
                  </w14:solidFill>
                </w14:textFill>
              </w:rPr>
              <w:t xml:space="preserve"> </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kern w:val="0"/>
                <w:szCs w:val="21"/>
                <w14:textFill>
                  <w14:solidFill>
                    <w14:schemeClr w14:val="tx1"/>
                  </w14:solidFill>
                </w14:textFill>
              </w:rPr>
              <w:t>3</w:t>
            </w:r>
            <w:r>
              <w:rPr>
                <w:rFonts w:ascii="Times New Roman" w:hAnsi="Times New Roman" w:eastAsia="宋体" w:cs="Times New Roman"/>
                <w:color w:val="000000" w:themeColor="text1"/>
                <w:kern w:val="0"/>
                <w:szCs w:val="21"/>
                <w14:textFill>
                  <w14:solidFill>
                    <w14:schemeClr w14:val="tx1"/>
                  </w14:solidFill>
                </w14:textFill>
              </w:rPr>
              <w:t>.</w:t>
            </w:r>
            <w:r>
              <w:rPr>
                <w:rFonts w:hint="eastAsia" w:ascii="Times New Roman" w:hAnsi="Times New Roman" w:eastAsia="宋体" w:cs="Times New Roman"/>
                <w:color w:val="000000" w:themeColor="text1"/>
                <w:kern w:val="0"/>
                <w:szCs w:val="21"/>
                <w14:textFill>
                  <w14:solidFill>
                    <w14:schemeClr w14:val="tx1"/>
                  </w14:solidFill>
                </w14:textFill>
              </w:rPr>
              <w:t>25</w:t>
            </w:r>
          </w:p>
        </w:tc>
      </w:tr>
      <w:tr>
        <w:tblPrEx>
          <w:tblLayout w:type="fixed"/>
          <w:tblCellMar>
            <w:top w:w="0" w:type="dxa"/>
            <w:left w:w="108" w:type="dxa"/>
            <w:bottom w:w="0" w:type="dxa"/>
            <w:right w:w="108" w:type="dxa"/>
          </w:tblCellMar>
        </w:tblPrEx>
        <w:trPr>
          <w:trHeight w:val="402" w:hRule="atLeast"/>
        </w:trPr>
        <w:tc>
          <w:tcPr>
            <w:tcW w:w="394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宋体" w:cs="Times New Roman"/>
                <w:color w:val="000000"/>
                <w:kern w:val="0"/>
                <w:szCs w:val="21"/>
              </w:rPr>
            </w:pPr>
            <w:r>
              <w:rPr>
                <w:rFonts w:hint="eastAsia" w:ascii="宋体" w:hAnsi="宋体" w:eastAsia="宋体" w:cs="Times New Roman"/>
                <w:color w:val="000000"/>
                <w:kern w:val="0"/>
                <w:szCs w:val="21"/>
              </w:rPr>
              <w:t>会议费、培训费</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szCs w:val="21"/>
              </w:rPr>
            </w:pPr>
            <w:r>
              <w:rPr>
                <w:rFonts w:hint="eastAsia" w:ascii="Times New Roman" w:hAnsi="Times New Roman" w:eastAsia="宋体" w:cs="Times New Roman"/>
                <w:kern w:val="0"/>
                <w:szCs w:val="21"/>
              </w:rPr>
              <w:t>0.03</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szCs w:val="21"/>
              </w:rPr>
            </w:pPr>
            <w:r>
              <w:rPr>
                <w:rFonts w:hint="eastAsia" w:ascii="Times New Roman" w:hAnsi="Times New Roman" w:eastAsia="宋体" w:cs="Times New Roman"/>
                <w:kern w:val="0"/>
                <w:szCs w:val="21"/>
              </w:rPr>
              <w:t>0</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szCs w:val="21"/>
              </w:rPr>
            </w:pPr>
            <w:r>
              <w:rPr>
                <w:rFonts w:hint="eastAsia" w:ascii="Times New Roman" w:hAnsi="Times New Roman" w:eastAsia="宋体" w:cs="Times New Roman"/>
                <w:kern w:val="0"/>
                <w:szCs w:val="21"/>
              </w:rPr>
              <w:t>0</w:t>
            </w:r>
          </w:p>
        </w:tc>
      </w:tr>
      <w:tr>
        <w:tblPrEx>
          <w:tblLayout w:type="fixed"/>
          <w:tblCellMar>
            <w:top w:w="0" w:type="dxa"/>
            <w:left w:w="108" w:type="dxa"/>
            <w:bottom w:w="0" w:type="dxa"/>
            <w:right w:w="108" w:type="dxa"/>
          </w:tblCellMar>
        </w:tblPrEx>
        <w:trPr>
          <w:trHeight w:val="402" w:hRule="atLeast"/>
        </w:trPr>
        <w:tc>
          <w:tcPr>
            <w:tcW w:w="394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政府采购金额</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kern w:val="0"/>
                <w:szCs w:val="21"/>
                <w14:textFill>
                  <w14:solidFill>
                    <w14:schemeClr w14:val="tx1"/>
                  </w14:solidFill>
                </w14:textFill>
              </w:rPr>
              <w:t>6.97</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kern w:val="0"/>
                <w:szCs w:val="21"/>
                <w14:textFill>
                  <w14:solidFill>
                    <w14:schemeClr w14:val="tx1"/>
                  </w14:solidFill>
                </w14:textFill>
              </w:rPr>
              <w:t>5.35</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kern w:val="0"/>
                <w:szCs w:val="21"/>
                <w14:textFill>
                  <w14:solidFill>
                    <w14:schemeClr w14:val="tx1"/>
                  </w14:solidFill>
                </w14:textFill>
              </w:rPr>
              <w:t>0.68</w:t>
            </w:r>
          </w:p>
        </w:tc>
      </w:tr>
      <w:tr>
        <w:tblPrEx>
          <w:tblLayout w:type="fixed"/>
          <w:tblCellMar>
            <w:top w:w="0" w:type="dxa"/>
            <w:left w:w="108" w:type="dxa"/>
            <w:bottom w:w="0" w:type="dxa"/>
            <w:right w:w="108" w:type="dxa"/>
          </w:tblCellMar>
        </w:tblPrEx>
        <w:trPr>
          <w:trHeight w:val="402" w:hRule="atLeast"/>
        </w:trPr>
        <w:tc>
          <w:tcPr>
            <w:tcW w:w="394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部门基本支出预算调整</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hint="eastAsia" w:ascii="Times New Roman" w:hAnsi="Times New Roman" w:eastAsia="宋体" w:cs="Times New Roman"/>
                <w:color w:val="000000"/>
                <w:kern w:val="0"/>
                <w:szCs w:val="21"/>
              </w:rPr>
              <w:t>918.11</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color w:val="000000"/>
                <w:szCs w:val="21"/>
              </w:rPr>
            </w:pP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hint="eastAsia" w:ascii="Times New Roman" w:hAnsi="Times New Roman" w:eastAsia="宋体" w:cs="Times New Roman"/>
                <w:color w:val="000000"/>
                <w:kern w:val="0"/>
                <w:szCs w:val="21"/>
              </w:rPr>
              <w:t>688.37</w:t>
            </w:r>
          </w:p>
        </w:tc>
      </w:tr>
      <w:tr>
        <w:tblPrEx>
          <w:tblLayout w:type="fixed"/>
          <w:tblCellMar>
            <w:top w:w="0" w:type="dxa"/>
            <w:left w:w="108" w:type="dxa"/>
            <w:bottom w:w="0" w:type="dxa"/>
            <w:right w:w="108" w:type="dxa"/>
          </w:tblCellMar>
        </w:tblPrEx>
        <w:trPr>
          <w:trHeight w:val="402" w:hRule="atLeast"/>
        </w:trPr>
        <w:tc>
          <w:tcPr>
            <w:tcW w:w="39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Cs w:val="21"/>
                <w:lang w:eastAsia="zh-CN"/>
              </w:rPr>
            </w:pPr>
            <w:r>
              <w:rPr>
                <w:rFonts w:hint="eastAsia" w:ascii="宋体" w:hAnsi="宋体" w:eastAsia="宋体" w:cs="宋体"/>
                <w:color w:val="000000"/>
                <w:kern w:val="0"/>
                <w:szCs w:val="21"/>
              </w:rPr>
              <w:t>楼堂馆所控制情况</w:t>
            </w:r>
          </w:p>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w:t>
            </w:r>
            <w:r>
              <w:rPr>
                <w:rFonts w:ascii="Times New Roman" w:hAnsi="Times New Roman" w:eastAsia="宋体" w:cs="Times New Roman"/>
                <w:color w:val="000000"/>
                <w:kern w:val="0"/>
                <w:szCs w:val="21"/>
              </w:rPr>
              <w:t>20</w:t>
            </w:r>
            <w:r>
              <w:rPr>
                <w:rFonts w:hint="eastAsia" w:ascii="Times New Roman" w:hAnsi="Times New Roman" w:eastAsia="宋体" w:cs="Times New Roman"/>
                <w:color w:val="000000"/>
                <w:kern w:val="0"/>
                <w:szCs w:val="21"/>
              </w:rPr>
              <w:t>21</w:t>
            </w:r>
            <w:r>
              <w:rPr>
                <w:rFonts w:hint="eastAsia" w:ascii="宋体" w:hAnsi="宋体" w:eastAsia="宋体" w:cs="宋体"/>
                <w:color w:val="000000"/>
                <w:kern w:val="0"/>
                <w:szCs w:val="21"/>
              </w:rPr>
              <w:t>年完工项目）</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Cs w:val="21"/>
                <w:lang w:eastAsia="zh-CN"/>
              </w:rPr>
            </w:pPr>
            <w:r>
              <w:rPr>
                <w:rFonts w:hint="eastAsia" w:ascii="宋体" w:hAnsi="宋体" w:eastAsia="宋体" w:cs="宋体"/>
                <w:color w:val="000000"/>
                <w:kern w:val="0"/>
                <w:szCs w:val="21"/>
              </w:rPr>
              <w:t>批复规模</w:t>
            </w:r>
          </w:p>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实际规模（㎡）</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规模控制率</w:t>
            </w:r>
          </w:p>
        </w:tc>
        <w:tc>
          <w:tcPr>
            <w:tcW w:w="12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预算投资（万元）</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实际投资（万元）</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投资概算控制率</w:t>
            </w:r>
          </w:p>
        </w:tc>
      </w:tr>
      <w:tr>
        <w:tblPrEx>
          <w:tblLayout w:type="fixed"/>
          <w:tblCellMar>
            <w:top w:w="0" w:type="dxa"/>
            <w:left w:w="108" w:type="dxa"/>
            <w:bottom w:w="0" w:type="dxa"/>
            <w:right w:w="108" w:type="dxa"/>
          </w:tblCellMar>
        </w:tblPrEx>
        <w:trPr>
          <w:trHeight w:val="402" w:hRule="atLeast"/>
        </w:trPr>
        <w:tc>
          <w:tcPr>
            <w:tcW w:w="39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color w:val="000000"/>
                <w:kern w:val="0"/>
                <w:szCs w:val="21"/>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color w:val="000000"/>
                <w:kern w:val="0"/>
                <w:szCs w:val="21"/>
              </w:rPr>
            </w:pPr>
          </w:p>
        </w:tc>
        <w:tc>
          <w:tcPr>
            <w:tcW w:w="126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color w:val="000000"/>
                <w:kern w:val="0"/>
                <w:szCs w:val="21"/>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color w:val="000000"/>
                <w:kern w:val="0"/>
                <w:szCs w:val="21"/>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color w:val="000000"/>
                <w:kern w:val="0"/>
                <w:szCs w:val="21"/>
              </w:rPr>
            </w:pPr>
          </w:p>
        </w:tc>
      </w:tr>
      <w:tr>
        <w:tblPrEx>
          <w:tblLayout w:type="fixed"/>
          <w:tblCellMar>
            <w:top w:w="0" w:type="dxa"/>
            <w:left w:w="108" w:type="dxa"/>
            <w:bottom w:w="0" w:type="dxa"/>
            <w:right w:w="108" w:type="dxa"/>
          </w:tblCellMar>
        </w:tblPrEx>
        <w:trPr>
          <w:trHeight w:val="402" w:hRule="atLeast"/>
        </w:trPr>
        <w:tc>
          <w:tcPr>
            <w:tcW w:w="39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c>
          <w:tcPr>
            <w:tcW w:w="106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c>
          <w:tcPr>
            <w:tcW w:w="106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c>
          <w:tcPr>
            <w:tcW w:w="126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c>
          <w:tcPr>
            <w:tcW w:w="1060" w:type="dxa"/>
            <w:tcBorders>
              <w:top w:val="nil"/>
              <w:left w:val="nil"/>
              <w:bottom w:val="single" w:color="auto" w:sz="4" w:space="0"/>
              <w:right w:val="single" w:color="auto" w:sz="4" w:space="0"/>
            </w:tcBorders>
            <w:shd w:val="clear" w:color="auto" w:fill="auto"/>
            <w:vAlign w:val="center"/>
          </w:tcPr>
          <w:p>
            <w:pPr>
              <w:widowControl/>
              <w:jc w:val="righ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0</w:t>
            </w:r>
          </w:p>
        </w:tc>
        <w:tc>
          <w:tcPr>
            <w:tcW w:w="1060" w:type="dxa"/>
            <w:tcBorders>
              <w:top w:val="nil"/>
              <w:left w:val="nil"/>
              <w:bottom w:val="single" w:color="auto" w:sz="4" w:space="0"/>
              <w:right w:val="single" w:color="auto" w:sz="4" w:space="0"/>
            </w:tcBorders>
            <w:shd w:val="clear" w:color="auto" w:fill="auto"/>
            <w:vAlign w:val="center"/>
          </w:tcPr>
          <w:p>
            <w:pPr>
              <w:widowControl/>
              <w:jc w:val="righ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0</w:t>
            </w:r>
          </w:p>
        </w:tc>
      </w:tr>
      <w:tr>
        <w:tblPrEx>
          <w:tblLayout w:type="fixed"/>
          <w:tblCellMar>
            <w:top w:w="0" w:type="dxa"/>
            <w:left w:w="108" w:type="dxa"/>
            <w:bottom w:w="0" w:type="dxa"/>
            <w:right w:w="108" w:type="dxa"/>
          </w:tblCellMar>
        </w:tblPrEx>
        <w:trPr>
          <w:trHeight w:val="402" w:hRule="atLeast"/>
        </w:trPr>
        <w:tc>
          <w:tcPr>
            <w:tcW w:w="39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厉行节约保障措施</w:t>
            </w:r>
          </w:p>
        </w:tc>
        <w:tc>
          <w:tcPr>
            <w:tcW w:w="6560"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r>
      <w:tr>
        <w:tblPrEx>
          <w:tblLayout w:type="fixed"/>
          <w:tblCellMar>
            <w:top w:w="0" w:type="dxa"/>
            <w:left w:w="108" w:type="dxa"/>
            <w:bottom w:w="0" w:type="dxa"/>
            <w:right w:w="108" w:type="dxa"/>
          </w:tblCellMar>
        </w:tblPrEx>
        <w:trPr>
          <w:trHeight w:val="270" w:hRule="atLeast"/>
        </w:trPr>
        <w:tc>
          <w:tcPr>
            <w:tcW w:w="394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06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06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06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26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06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06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312" w:hRule="atLeast"/>
        </w:trPr>
        <w:tc>
          <w:tcPr>
            <w:tcW w:w="10500" w:type="dxa"/>
            <w:gridSpan w:val="7"/>
            <w:vMerge w:val="restart"/>
            <w:tcBorders>
              <w:top w:val="nil"/>
              <w:left w:val="nil"/>
              <w:bottom w:val="nil"/>
              <w:right w:val="nil"/>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说明：“项目支出”需要填报基本支出以外的所有项目支出情况，“公用经费”填报基本支出中的一般商品和服务支出。</w:t>
            </w:r>
          </w:p>
          <w:p>
            <w:pPr>
              <w:widowControl/>
              <w:jc w:val="left"/>
              <w:rPr>
                <w:rFonts w:ascii="宋体" w:hAnsi="宋体" w:eastAsia="宋体" w:cs="宋体"/>
                <w:color w:val="000000"/>
                <w:kern w:val="0"/>
                <w:sz w:val="22"/>
              </w:rPr>
            </w:pPr>
          </w:p>
          <w:p>
            <w:pPr>
              <w:widowControl/>
              <w:jc w:val="left"/>
              <w:rPr>
                <w:rFonts w:hint="eastAsia" w:ascii="宋体" w:hAnsi="宋体" w:eastAsia="宋体" w:cs="宋体"/>
                <w:color w:val="000000"/>
                <w:kern w:val="0"/>
                <w:sz w:val="22"/>
                <w:lang w:eastAsia="zh-CN"/>
              </w:rPr>
            </w:pPr>
          </w:p>
          <w:p>
            <w:pPr>
              <w:pStyle w:val="2"/>
              <w:rPr>
                <w:rFonts w:hint="eastAsia"/>
                <w:lang w:eastAsia="zh-CN"/>
              </w:rPr>
            </w:pPr>
          </w:p>
          <w:p>
            <w:pPr>
              <w:pStyle w:val="2"/>
              <w:rPr>
                <w:rFonts w:hint="eastAsia"/>
                <w:lang w:eastAsia="zh-CN"/>
              </w:rPr>
            </w:pPr>
          </w:p>
        </w:tc>
      </w:tr>
      <w:tr>
        <w:tblPrEx>
          <w:tblLayout w:type="fixed"/>
          <w:tblCellMar>
            <w:top w:w="0" w:type="dxa"/>
            <w:left w:w="108" w:type="dxa"/>
            <w:bottom w:w="0" w:type="dxa"/>
            <w:right w:w="108" w:type="dxa"/>
          </w:tblCellMar>
        </w:tblPrEx>
        <w:trPr>
          <w:trHeight w:val="1260" w:hRule="atLeast"/>
        </w:trPr>
        <w:tc>
          <w:tcPr>
            <w:tcW w:w="10500" w:type="dxa"/>
            <w:gridSpan w:val="7"/>
            <w:vMerge w:val="continue"/>
            <w:tcBorders>
              <w:top w:val="nil"/>
              <w:left w:val="nil"/>
              <w:bottom w:val="nil"/>
              <w:right w:val="nil"/>
            </w:tcBorders>
            <w:vAlign w:val="center"/>
          </w:tcPr>
          <w:p>
            <w:pPr>
              <w:widowControl/>
              <w:jc w:val="left"/>
              <w:rPr>
                <w:rFonts w:ascii="宋体" w:hAnsi="宋体" w:eastAsia="宋体" w:cs="宋体"/>
                <w:color w:val="000000"/>
                <w:kern w:val="0"/>
                <w:sz w:val="22"/>
              </w:rPr>
            </w:pPr>
          </w:p>
        </w:tc>
      </w:tr>
    </w:tbl>
    <w:p>
      <w:pPr>
        <w:pStyle w:val="14"/>
        <w:adjustRightInd/>
        <w:spacing w:line="520" w:lineRule="exact"/>
        <w:rPr>
          <w:rFonts w:ascii="仿宋" w:hAnsi="仿宋" w:eastAsia="仿宋" w:cs="Times New Roman"/>
          <w:sz w:val="32"/>
          <w:szCs w:val="32"/>
        </w:rPr>
      </w:pPr>
    </w:p>
    <w:p>
      <w:pPr>
        <w:pStyle w:val="14"/>
        <w:adjustRightInd/>
        <w:spacing w:line="520" w:lineRule="exact"/>
        <w:rPr>
          <w:rFonts w:ascii="仿宋" w:hAnsi="仿宋" w:eastAsia="仿宋" w:cs="Times New Roman"/>
          <w:sz w:val="32"/>
          <w:szCs w:val="32"/>
        </w:rPr>
      </w:pPr>
    </w:p>
    <w:p>
      <w:pPr>
        <w:pStyle w:val="14"/>
        <w:adjustRightInd/>
        <w:spacing w:line="520" w:lineRule="exact"/>
        <w:rPr>
          <w:rFonts w:ascii="仿宋" w:hAnsi="仿宋" w:eastAsia="仿宋" w:cs="Times New Roman"/>
          <w:sz w:val="32"/>
          <w:szCs w:val="32"/>
        </w:rPr>
      </w:pPr>
    </w:p>
    <w:tbl>
      <w:tblPr>
        <w:tblStyle w:val="10"/>
        <w:tblpPr w:leftFromText="180" w:rightFromText="180" w:vertAnchor="text" w:horzAnchor="margin" w:tblpXSpec="center" w:tblpY="1194"/>
        <w:tblOverlap w:val="never"/>
        <w:tblW w:w="10314" w:type="dxa"/>
        <w:tblInd w:w="0" w:type="dxa"/>
        <w:tblLayout w:type="fixed"/>
        <w:tblCellMar>
          <w:top w:w="0" w:type="dxa"/>
          <w:left w:w="108" w:type="dxa"/>
          <w:bottom w:w="0" w:type="dxa"/>
          <w:right w:w="108" w:type="dxa"/>
        </w:tblCellMar>
      </w:tblPr>
      <w:tblGrid>
        <w:gridCol w:w="960"/>
        <w:gridCol w:w="960"/>
        <w:gridCol w:w="960"/>
        <w:gridCol w:w="960"/>
        <w:gridCol w:w="960"/>
        <w:gridCol w:w="960"/>
        <w:gridCol w:w="960"/>
        <w:gridCol w:w="960"/>
        <w:gridCol w:w="650"/>
        <w:gridCol w:w="310"/>
        <w:gridCol w:w="1674"/>
      </w:tblGrid>
      <w:tr>
        <w:tblPrEx>
          <w:tblLayout w:type="fixed"/>
          <w:tblCellMar>
            <w:top w:w="0" w:type="dxa"/>
            <w:left w:w="108" w:type="dxa"/>
            <w:bottom w:w="0" w:type="dxa"/>
            <w:right w:w="108" w:type="dxa"/>
          </w:tblCellMar>
        </w:tblPrEx>
        <w:trPr>
          <w:trHeight w:val="318" w:hRule="atLeast"/>
        </w:trPr>
        <w:tc>
          <w:tcPr>
            <w:tcW w:w="960"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left"/>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rPr>
              <w:t>部门名称</w:t>
            </w:r>
          </w:p>
        </w:tc>
        <w:tc>
          <w:tcPr>
            <w:tcW w:w="9354" w:type="dxa"/>
            <w:gridSpan w:val="10"/>
            <w:tcBorders>
              <w:top w:val="single" w:color="000000" w:sz="8" w:space="0"/>
              <w:left w:val="nil"/>
              <w:bottom w:val="single" w:color="000000" w:sz="8" w:space="0"/>
              <w:right w:val="single" w:color="000000" w:sz="8"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rPr>
              <w:t>湖南省农垦管理服务站</w:t>
            </w:r>
          </w:p>
        </w:tc>
      </w:tr>
      <w:tr>
        <w:tblPrEx>
          <w:tblLayout w:type="fixed"/>
          <w:tblCellMar>
            <w:top w:w="0" w:type="dxa"/>
            <w:left w:w="108" w:type="dxa"/>
            <w:bottom w:w="0" w:type="dxa"/>
            <w:right w:w="108" w:type="dxa"/>
          </w:tblCellMar>
        </w:tblPrEx>
        <w:trPr>
          <w:trHeight w:val="318" w:hRule="atLeast"/>
        </w:trPr>
        <w:tc>
          <w:tcPr>
            <w:tcW w:w="960" w:type="dxa"/>
            <w:vMerge w:val="restart"/>
            <w:tcBorders>
              <w:top w:val="nil"/>
              <w:left w:val="single" w:color="000000" w:sz="8" w:space="0"/>
              <w:bottom w:val="nil"/>
              <w:right w:val="single" w:color="000000" w:sz="8"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rPr>
              <w:t>年度预算申请（万元）</w:t>
            </w:r>
          </w:p>
        </w:tc>
        <w:tc>
          <w:tcPr>
            <w:tcW w:w="1920" w:type="dxa"/>
            <w:gridSpan w:val="2"/>
            <w:vMerge w:val="restart"/>
            <w:tcBorders>
              <w:top w:val="nil"/>
              <w:left w:val="nil"/>
              <w:bottom w:val="single" w:color="000000" w:sz="8" w:space="0"/>
              <w:right w:val="single" w:color="000000" w:sz="8" w:space="0"/>
            </w:tcBorders>
            <w:shd w:val="clear" w:color="auto" w:fill="auto"/>
            <w:vAlign w:val="center"/>
          </w:tcPr>
          <w:p>
            <w:pPr>
              <w:jc w:val="center"/>
              <w:rPr>
                <w:rFonts w:ascii="仿宋_GB2312" w:hAnsi="宋体" w:eastAsia="仿宋_GB2312" w:cs="仿宋_GB2312"/>
                <w:color w:val="000000"/>
                <w:szCs w:val="21"/>
              </w:rPr>
            </w:pPr>
          </w:p>
        </w:tc>
        <w:tc>
          <w:tcPr>
            <w:tcW w:w="960" w:type="dxa"/>
            <w:tcBorders>
              <w:top w:val="nil"/>
              <w:left w:val="nil"/>
              <w:bottom w:val="nil"/>
              <w:right w:val="single" w:color="000000" w:sz="8"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rPr>
              <w:t>年初</w:t>
            </w:r>
          </w:p>
        </w:tc>
        <w:tc>
          <w:tcPr>
            <w:tcW w:w="1920" w:type="dxa"/>
            <w:gridSpan w:val="2"/>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rPr>
              <w:t>全年预算数</w:t>
            </w:r>
          </w:p>
        </w:tc>
        <w:tc>
          <w:tcPr>
            <w:tcW w:w="960"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rPr>
              <w:t>全年执行数</w:t>
            </w:r>
          </w:p>
        </w:tc>
        <w:tc>
          <w:tcPr>
            <w:tcW w:w="960"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rPr>
              <w:t>分值</w:t>
            </w:r>
          </w:p>
        </w:tc>
        <w:tc>
          <w:tcPr>
            <w:tcW w:w="960" w:type="dxa"/>
            <w:gridSpan w:val="2"/>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rPr>
              <w:t>执行率</w:t>
            </w:r>
          </w:p>
        </w:tc>
        <w:tc>
          <w:tcPr>
            <w:tcW w:w="1674"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rPr>
              <w:t>得分</w:t>
            </w:r>
          </w:p>
        </w:tc>
      </w:tr>
      <w:tr>
        <w:tblPrEx>
          <w:tblLayout w:type="fixed"/>
          <w:tblCellMar>
            <w:top w:w="0" w:type="dxa"/>
            <w:left w:w="108" w:type="dxa"/>
            <w:bottom w:w="0" w:type="dxa"/>
            <w:right w:w="108" w:type="dxa"/>
          </w:tblCellMar>
        </w:tblPrEx>
        <w:trPr>
          <w:trHeight w:val="288" w:hRule="atLeast"/>
        </w:trPr>
        <w:tc>
          <w:tcPr>
            <w:tcW w:w="960" w:type="dxa"/>
            <w:vMerge w:val="continue"/>
            <w:tcBorders>
              <w:top w:val="nil"/>
              <w:left w:val="single" w:color="000000" w:sz="8" w:space="0"/>
              <w:bottom w:val="nil"/>
              <w:right w:val="single" w:color="000000" w:sz="8" w:space="0"/>
            </w:tcBorders>
            <w:shd w:val="clear" w:color="auto" w:fill="auto"/>
            <w:vAlign w:val="center"/>
          </w:tcPr>
          <w:p>
            <w:pPr>
              <w:jc w:val="center"/>
              <w:rPr>
                <w:rFonts w:ascii="仿宋_GB2312" w:hAnsi="宋体" w:eastAsia="仿宋_GB2312" w:cs="仿宋_GB2312"/>
                <w:color w:val="000000"/>
                <w:szCs w:val="21"/>
              </w:rPr>
            </w:pPr>
          </w:p>
        </w:tc>
        <w:tc>
          <w:tcPr>
            <w:tcW w:w="1920" w:type="dxa"/>
            <w:gridSpan w:val="2"/>
            <w:vMerge w:val="continue"/>
            <w:tcBorders>
              <w:top w:val="nil"/>
              <w:left w:val="nil"/>
              <w:bottom w:val="single" w:color="000000" w:sz="8" w:space="0"/>
              <w:right w:val="single" w:color="000000" w:sz="8" w:space="0"/>
            </w:tcBorders>
            <w:shd w:val="clear" w:color="auto" w:fill="auto"/>
            <w:vAlign w:val="center"/>
          </w:tcPr>
          <w:p>
            <w:pPr>
              <w:jc w:val="center"/>
              <w:rPr>
                <w:rFonts w:ascii="仿宋_GB2312" w:hAnsi="宋体" w:eastAsia="仿宋_GB2312" w:cs="仿宋_GB2312"/>
                <w:color w:val="000000"/>
                <w:szCs w:val="21"/>
              </w:rPr>
            </w:pP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rPr>
              <w:t>预算数</w:t>
            </w:r>
          </w:p>
        </w:tc>
        <w:tc>
          <w:tcPr>
            <w:tcW w:w="1920" w:type="dxa"/>
            <w:gridSpan w:val="2"/>
            <w:vMerge w:val="continue"/>
            <w:tcBorders>
              <w:top w:val="nil"/>
              <w:left w:val="nil"/>
              <w:bottom w:val="single" w:color="000000" w:sz="8" w:space="0"/>
              <w:right w:val="single" w:color="000000" w:sz="8" w:space="0"/>
            </w:tcBorders>
            <w:shd w:val="clear" w:color="auto" w:fill="auto"/>
            <w:vAlign w:val="center"/>
          </w:tcPr>
          <w:p>
            <w:pPr>
              <w:jc w:val="center"/>
              <w:rPr>
                <w:rFonts w:ascii="仿宋_GB2312" w:hAnsi="宋体" w:eastAsia="仿宋_GB2312" w:cs="仿宋_GB2312"/>
                <w:color w:val="000000"/>
                <w:szCs w:val="21"/>
              </w:rPr>
            </w:pPr>
          </w:p>
        </w:tc>
        <w:tc>
          <w:tcPr>
            <w:tcW w:w="960" w:type="dxa"/>
            <w:vMerge w:val="continue"/>
            <w:tcBorders>
              <w:top w:val="nil"/>
              <w:left w:val="nil"/>
              <w:bottom w:val="single" w:color="000000" w:sz="8" w:space="0"/>
              <w:right w:val="single" w:color="000000" w:sz="8" w:space="0"/>
            </w:tcBorders>
            <w:shd w:val="clear" w:color="auto" w:fill="auto"/>
            <w:vAlign w:val="center"/>
          </w:tcPr>
          <w:p>
            <w:pPr>
              <w:jc w:val="center"/>
              <w:rPr>
                <w:rFonts w:ascii="仿宋_GB2312" w:hAnsi="宋体" w:eastAsia="仿宋_GB2312" w:cs="仿宋_GB2312"/>
                <w:color w:val="000000"/>
                <w:szCs w:val="21"/>
              </w:rPr>
            </w:pPr>
          </w:p>
        </w:tc>
        <w:tc>
          <w:tcPr>
            <w:tcW w:w="960" w:type="dxa"/>
            <w:vMerge w:val="continue"/>
            <w:tcBorders>
              <w:top w:val="nil"/>
              <w:left w:val="nil"/>
              <w:bottom w:val="single" w:color="000000" w:sz="8" w:space="0"/>
              <w:right w:val="single" w:color="000000" w:sz="8" w:space="0"/>
            </w:tcBorders>
            <w:shd w:val="clear" w:color="auto" w:fill="auto"/>
            <w:vAlign w:val="center"/>
          </w:tcPr>
          <w:p>
            <w:pPr>
              <w:jc w:val="center"/>
              <w:rPr>
                <w:rFonts w:ascii="仿宋_GB2312" w:hAnsi="宋体" w:eastAsia="仿宋_GB2312" w:cs="仿宋_GB2312"/>
                <w:color w:val="000000"/>
                <w:szCs w:val="21"/>
              </w:rPr>
            </w:pPr>
          </w:p>
        </w:tc>
        <w:tc>
          <w:tcPr>
            <w:tcW w:w="960" w:type="dxa"/>
            <w:gridSpan w:val="2"/>
            <w:vMerge w:val="continue"/>
            <w:tcBorders>
              <w:top w:val="nil"/>
              <w:left w:val="nil"/>
              <w:bottom w:val="single" w:color="000000" w:sz="8" w:space="0"/>
              <w:right w:val="single" w:color="000000" w:sz="8" w:space="0"/>
            </w:tcBorders>
            <w:shd w:val="clear" w:color="auto" w:fill="auto"/>
            <w:vAlign w:val="center"/>
          </w:tcPr>
          <w:p>
            <w:pPr>
              <w:jc w:val="center"/>
              <w:rPr>
                <w:rFonts w:ascii="仿宋_GB2312" w:hAnsi="宋体" w:eastAsia="仿宋_GB2312" w:cs="仿宋_GB2312"/>
                <w:color w:val="000000"/>
                <w:szCs w:val="21"/>
              </w:rPr>
            </w:pPr>
          </w:p>
        </w:tc>
        <w:tc>
          <w:tcPr>
            <w:tcW w:w="1674" w:type="dxa"/>
            <w:vMerge w:val="continue"/>
            <w:tcBorders>
              <w:top w:val="nil"/>
              <w:left w:val="nil"/>
              <w:bottom w:val="single" w:color="000000" w:sz="8" w:space="0"/>
              <w:right w:val="single" w:color="000000" w:sz="8" w:space="0"/>
            </w:tcBorders>
            <w:shd w:val="clear" w:color="auto" w:fill="auto"/>
            <w:vAlign w:val="center"/>
          </w:tcPr>
          <w:p>
            <w:pPr>
              <w:jc w:val="center"/>
              <w:rPr>
                <w:rFonts w:ascii="仿宋_GB2312" w:hAnsi="宋体" w:eastAsia="仿宋_GB2312" w:cs="仿宋_GB2312"/>
                <w:color w:val="000000"/>
                <w:szCs w:val="21"/>
              </w:rPr>
            </w:pPr>
          </w:p>
        </w:tc>
      </w:tr>
      <w:tr>
        <w:tblPrEx>
          <w:tblLayout w:type="fixed"/>
          <w:tblCellMar>
            <w:top w:w="0" w:type="dxa"/>
            <w:left w:w="108" w:type="dxa"/>
            <w:bottom w:w="0" w:type="dxa"/>
            <w:right w:w="108" w:type="dxa"/>
          </w:tblCellMar>
        </w:tblPrEx>
        <w:trPr>
          <w:trHeight w:val="318" w:hRule="atLeast"/>
        </w:trPr>
        <w:tc>
          <w:tcPr>
            <w:tcW w:w="960" w:type="dxa"/>
            <w:vMerge w:val="continue"/>
            <w:tcBorders>
              <w:top w:val="nil"/>
              <w:left w:val="single" w:color="000000" w:sz="8" w:space="0"/>
              <w:bottom w:val="nil"/>
              <w:right w:val="single" w:color="000000" w:sz="8" w:space="0"/>
            </w:tcBorders>
            <w:shd w:val="clear" w:color="auto" w:fill="auto"/>
            <w:vAlign w:val="center"/>
          </w:tcPr>
          <w:p>
            <w:pPr>
              <w:jc w:val="center"/>
              <w:rPr>
                <w:rFonts w:ascii="仿宋_GB2312" w:hAnsi="宋体" w:eastAsia="仿宋_GB2312" w:cs="仿宋_GB2312"/>
                <w:color w:val="000000"/>
                <w:szCs w:val="21"/>
              </w:rPr>
            </w:pPr>
          </w:p>
        </w:tc>
        <w:tc>
          <w:tcPr>
            <w:tcW w:w="1920" w:type="dxa"/>
            <w:gridSpan w:val="2"/>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rPr>
              <w:t>年度资金总额</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rPr>
              <w:t>653.23</w:t>
            </w:r>
          </w:p>
        </w:tc>
        <w:tc>
          <w:tcPr>
            <w:tcW w:w="1920" w:type="dxa"/>
            <w:gridSpan w:val="2"/>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rPr>
              <w:t>821.47</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rPr>
              <w:t>789.01</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rPr>
              <w:t>10</w:t>
            </w:r>
          </w:p>
        </w:tc>
        <w:tc>
          <w:tcPr>
            <w:tcW w:w="960" w:type="dxa"/>
            <w:gridSpan w:val="2"/>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rPr>
              <w:t>96.05%</w:t>
            </w:r>
          </w:p>
        </w:tc>
        <w:tc>
          <w:tcPr>
            <w:tcW w:w="1674"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rPr>
              <w:t>9.6</w:t>
            </w:r>
          </w:p>
        </w:tc>
      </w:tr>
      <w:tr>
        <w:tblPrEx>
          <w:tblLayout w:type="fixed"/>
          <w:tblCellMar>
            <w:top w:w="0" w:type="dxa"/>
            <w:left w:w="108" w:type="dxa"/>
            <w:bottom w:w="0" w:type="dxa"/>
            <w:right w:w="108" w:type="dxa"/>
          </w:tblCellMar>
        </w:tblPrEx>
        <w:trPr>
          <w:trHeight w:val="318" w:hRule="atLeast"/>
        </w:trPr>
        <w:tc>
          <w:tcPr>
            <w:tcW w:w="960" w:type="dxa"/>
            <w:vMerge w:val="continue"/>
            <w:tcBorders>
              <w:top w:val="nil"/>
              <w:left w:val="single" w:color="000000" w:sz="8" w:space="0"/>
              <w:bottom w:val="nil"/>
              <w:right w:val="single" w:color="000000" w:sz="8" w:space="0"/>
            </w:tcBorders>
            <w:shd w:val="clear" w:color="auto" w:fill="auto"/>
            <w:vAlign w:val="center"/>
          </w:tcPr>
          <w:p>
            <w:pPr>
              <w:jc w:val="center"/>
              <w:rPr>
                <w:rFonts w:ascii="仿宋_GB2312" w:hAnsi="宋体" w:eastAsia="仿宋_GB2312" w:cs="仿宋_GB2312"/>
                <w:color w:val="000000"/>
                <w:szCs w:val="21"/>
              </w:rPr>
            </w:pPr>
          </w:p>
        </w:tc>
        <w:tc>
          <w:tcPr>
            <w:tcW w:w="4800" w:type="dxa"/>
            <w:gridSpan w:val="5"/>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rPr>
              <w:t>按收入性质分：</w:t>
            </w:r>
          </w:p>
        </w:tc>
        <w:tc>
          <w:tcPr>
            <w:tcW w:w="4554" w:type="dxa"/>
            <w:gridSpan w:val="5"/>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rPr>
              <w:t>按支出性质分：</w:t>
            </w:r>
          </w:p>
        </w:tc>
      </w:tr>
      <w:tr>
        <w:tblPrEx>
          <w:tblLayout w:type="fixed"/>
          <w:tblCellMar>
            <w:top w:w="0" w:type="dxa"/>
            <w:left w:w="108" w:type="dxa"/>
            <w:bottom w:w="0" w:type="dxa"/>
            <w:right w:w="108" w:type="dxa"/>
          </w:tblCellMar>
        </w:tblPrEx>
        <w:trPr>
          <w:trHeight w:val="318" w:hRule="atLeast"/>
        </w:trPr>
        <w:tc>
          <w:tcPr>
            <w:tcW w:w="960" w:type="dxa"/>
            <w:vMerge w:val="continue"/>
            <w:tcBorders>
              <w:top w:val="nil"/>
              <w:left w:val="single" w:color="000000" w:sz="8" w:space="0"/>
              <w:bottom w:val="nil"/>
              <w:right w:val="single" w:color="000000" w:sz="8" w:space="0"/>
            </w:tcBorders>
            <w:shd w:val="clear" w:color="auto" w:fill="auto"/>
            <w:vAlign w:val="center"/>
          </w:tcPr>
          <w:p>
            <w:pPr>
              <w:jc w:val="center"/>
              <w:rPr>
                <w:rFonts w:ascii="仿宋_GB2312" w:hAnsi="宋体" w:eastAsia="仿宋_GB2312" w:cs="仿宋_GB2312"/>
                <w:color w:val="000000"/>
                <w:szCs w:val="21"/>
              </w:rPr>
            </w:pPr>
          </w:p>
        </w:tc>
        <w:tc>
          <w:tcPr>
            <w:tcW w:w="4800" w:type="dxa"/>
            <w:gridSpan w:val="5"/>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rPr>
              <w:t xml:space="preserve">  其中：  一般公共预算：821.23</w:t>
            </w:r>
          </w:p>
        </w:tc>
        <w:tc>
          <w:tcPr>
            <w:tcW w:w="4554" w:type="dxa"/>
            <w:gridSpan w:val="5"/>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rPr>
              <w:t>其中：基本支出：688.37</w:t>
            </w:r>
          </w:p>
        </w:tc>
      </w:tr>
      <w:tr>
        <w:tblPrEx>
          <w:tblLayout w:type="fixed"/>
          <w:tblCellMar>
            <w:top w:w="0" w:type="dxa"/>
            <w:left w:w="108" w:type="dxa"/>
            <w:bottom w:w="0" w:type="dxa"/>
            <w:right w:w="108" w:type="dxa"/>
          </w:tblCellMar>
        </w:tblPrEx>
        <w:trPr>
          <w:trHeight w:val="318" w:hRule="atLeast"/>
        </w:trPr>
        <w:tc>
          <w:tcPr>
            <w:tcW w:w="960" w:type="dxa"/>
            <w:vMerge w:val="continue"/>
            <w:tcBorders>
              <w:top w:val="nil"/>
              <w:left w:val="single" w:color="000000" w:sz="8" w:space="0"/>
              <w:bottom w:val="nil"/>
              <w:right w:val="single" w:color="000000" w:sz="8" w:space="0"/>
            </w:tcBorders>
            <w:shd w:val="clear" w:color="auto" w:fill="auto"/>
            <w:vAlign w:val="center"/>
          </w:tcPr>
          <w:p>
            <w:pPr>
              <w:jc w:val="center"/>
              <w:rPr>
                <w:rFonts w:ascii="仿宋_GB2312" w:hAnsi="宋体" w:eastAsia="仿宋_GB2312" w:cs="仿宋_GB2312"/>
                <w:color w:val="000000"/>
                <w:szCs w:val="21"/>
              </w:rPr>
            </w:pPr>
          </w:p>
        </w:tc>
        <w:tc>
          <w:tcPr>
            <w:tcW w:w="4800" w:type="dxa"/>
            <w:gridSpan w:val="5"/>
            <w:tcBorders>
              <w:top w:val="nil"/>
              <w:left w:val="nil"/>
              <w:bottom w:val="single" w:color="000000" w:sz="8" w:space="0"/>
              <w:right w:val="single" w:color="000000" w:sz="8" w:space="0"/>
            </w:tcBorders>
            <w:shd w:val="clear" w:color="auto" w:fill="auto"/>
            <w:vAlign w:val="center"/>
          </w:tcPr>
          <w:p>
            <w:pPr>
              <w:widowControl/>
              <w:ind w:firstLine="840" w:firstLineChars="400"/>
              <w:jc w:val="left"/>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rPr>
              <w:t>政府性基金拨款：</w:t>
            </w:r>
          </w:p>
        </w:tc>
        <w:tc>
          <w:tcPr>
            <w:tcW w:w="4554" w:type="dxa"/>
            <w:gridSpan w:val="5"/>
            <w:tcBorders>
              <w:top w:val="nil"/>
              <w:left w:val="nil"/>
              <w:bottom w:val="single" w:color="000000" w:sz="8" w:space="0"/>
              <w:right w:val="single" w:color="000000" w:sz="8" w:space="0"/>
            </w:tcBorders>
            <w:shd w:val="clear" w:color="auto" w:fill="auto"/>
            <w:vAlign w:val="center"/>
          </w:tcPr>
          <w:p>
            <w:pPr>
              <w:widowControl/>
              <w:ind w:firstLine="630" w:firstLineChars="300"/>
              <w:jc w:val="left"/>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rPr>
              <w:t>项目支出：100.64</w:t>
            </w:r>
          </w:p>
        </w:tc>
      </w:tr>
      <w:tr>
        <w:tblPrEx>
          <w:tblLayout w:type="fixed"/>
          <w:tblCellMar>
            <w:top w:w="0" w:type="dxa"/>
            <w:left w:w="108" w:type="dxa"/>
            <w:bottom w:w="0" w:type="dxa"/>
            <w:right w:w="108" w:type="dxa"/>
          </w:tblCellMar>
        </w:tblPrEx>
        <w:trPr>
          <w:trHeight w:val="318" w:hRule="atLeast"/>
        </w:trPr>
        <w:tc>
          <w:tcPr>
            <w:tcW w:w="960" w:type="dxa"/>
            <w:vMerge w:val="continue"/>
            <w:tcBorders>
              <w:top w:val="nil"/>
              <w:left w:val="single" w:color="000000" w:sz="8" w:space="0"/>
              <w:bottom w:val="nil"/>
              <w:right w:val="single" w:color="000000" w:sz="8" w:space="0"/>
            </w:tcBorders>
            <w:shd w:val="clear" w:color="auto" w:fill="auto"/>
            <w:vAlign w:val="center"/>
          </w:tcPr>
          <w:p>
            <w:pPr>
              <w:jc w:val="center"/>
              <w:rPr>
                <w:rFonts w:ascii="仿宋_GB2312" w:hAnsi="宋体" w:eastAsia="仿宋_GB2312" w:cs="仿宋_GB2312"/>
                <w:color w:val="000000"/>
                <w:szCs w:val="21"/>
              </w:rPr>
            </w:pPr>
          </w:p>
        </w:tc>
        <w:tc>
          <w:tcPr>
            <w:tcW w:w="4800" w:type="dxa"/>
            <w:gridSpan w:val="5"/>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rPr>
              <w:t>纳入专户管理的非税收入拨款：</w:t>
            </w:r>
          </w:p>
        </w:tc>
        <w:tc>
          <w:tcPr>
            <w:tcW w:w="4554" w:type="dxa"/>
            <w:gridSpan w:val="5"/>
            <w:tcBorders>
              <w:top w:val="nil"/>
              <w:left w:val="nil"/>
              <w:bottom w:val="single" w:color="000000" w:sz="8" w:space="0"/>
              <w:right w:val="single" w:color="000000" w:sz="8" w:space="0"/>
            </w:tcBorders>
            <w:shd w:val="clear" w:color="auto" w:fill="auto"/>
            <w:vAlign w:val="center"/>
          </w:tcPr>
          <w:p>
            <w:pPr>
              <w:jc w:val="left"/>
              <w:rPr>
                <w:rFonts w:ascii="仿宋_GB2312" w:hAnsi="宋体" w:eastAsia="仿宋_GB2312" w:cs="仿宋_GB2312"/>
                <w:color w:val="000000"/>
                <w:szCs w:val="21"/>
              </w:rPr>
            </w:pPr>
          </w:p>
        </w:tc>
      </w:tr>
      <w:tr>
        <w:tblPrEx>
          <w:tblLayout w:type="fixed"/>
          <w:tblCellMar>
            <w:top w:w="0" w:type="dxa"/>
            <w:left w:w="108" w:type="dxa"/>
            <w:bottom w:w="0" w:type="dxa"/>
            <w:right w:w="108" w:type="dxa"/>
          </w:tblCellMar>
        </w:tblPrEx>
        <w:trPr>
          <w:trHeight w:val="318" w:hRule="atLeast"/>
        </w:trPr>
        <w:tc>
          <w:tcPr>
            <w:tcW w:w="960" w:type="dxa"/>
            <w:vMerge w:val="continue"/>
            <w:tcBorders>
              <w:top w:val="nil"/>
              <w:left w:val="single" w:color="000000" w:sz="8" w:space="0"/>
              <w:bottom w:val="nil"/>
              <w:right w:val="single" w:color="000000" w:sz="8" w:space="0"/>
            </w:tcBorders>
            <w:shd w:val="clear" w:color="auto" w:fill="auto"/>
            <w:vAlign w:val="center"/>
          </w:tcPr>
          <w:p>
            <w:pPr>
              <w:jc w:val="center"/>
              <w:rPr>
                <w:rFonts w:ascii="仿宋_GB2312" w:hAnsi="宋体" w:eastAsia="仿宋_GB2312" w:cs="仿宋_GB2312"/>
                <w:color w:val="000000"/>
                <w:szCs w:val="21"/>
              </w:rPr>
            </w:pPr>
          </w:p>
        </w:tc>
        <w:tc>
          <w:tcPr>
            <w:tcW w:w="4800" w:type="dxa"/>
            <w:gridSpan w:val="5"/>
            <w:tcBorders>
              <w:top w:val="nil"/>
              <w:left w:val="nil"/>
              <w:bottom w:val="single" w:color="000000" w:sz="8" w:space="0"/>
              <w:right w:val="single" w:color="000000" w:sz="8" w:space="0"/>
            </w:tcBorders>
            <w:shd w:val="clear" w:color="auto" w:fill="auto"/>
            <w:vAlign w:val="center"/>
          </w:tcPr>
          <w:p>
            <w:pPr>
              <w:widowControl/>
              <w:ind w:firstLine="1470" w:firstLineChars="700"/>
              <w:jc w:val="left"/>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rPr>
              <w:t>其他资金：0.24</w:t>
            </w:r>
          </w:p>
        </w:tc>
        <w:tc>
          <w:tcPr>
            <w:tcW w:w="4554" w:type="dxa"/>
            <w:gridSpan w:val="5"/>
            <w:tcBorders>
              <w:top w:val="nil"/>
              <w:left w:val="nil"/>
              <w:bottom w:val="single" w:color="000000" w:sz="8" w:space="0"/>
              <w:right w:val="single" w:color="000000" w:sz="8" w:space="0"/>
            </w:tcBorders>
            <w:shd w:val="clear" w:color="auto" w:fill="auto"/>
            <w:vAlign w:val="center"/>
          </w:tcPr>
          <w:p>
            <w:pPr>
              <w:jc w:val="left"/>
              <w:rPr>
                <w:rFonts w:ascii="仿宋_GB2312" w:hAnsi="宋体" w:eastAsia="仿宋_GB2312" w:cs="仿宋_GB2312"/>
                <w:color w:val="000000"/>
                <w:szCs w:val="21"/>
              </w:rPr>
            </w:pPr>
          </w:p>
        </w:tc>
      </w:tr>
      <w:tr>
        <w:tblPrEx>
          <w:tblLayout w:type="fixed"/>
          <w:tblCellMar>
            <w:top w:w="0" w:type="dxa"/>
            <w:left w:w="108" w:type="dxa"/>
            <w:bottom w:w="0" w:type="dxa"/>
            <w:right w:w="108" w:type="dxa"/>
          </w:tblCellMar>
        </w:tblPrEx>
        <w:trPr>
          <w:trHeight w:val="318" w:hRule="atLeast"/>
        </w:trPr>
        <w:tc>
          <w:tcPr>
            <w:tcW w:w="960"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rPr>
              <w:t>年度总体目标</w:t>
            </w:r>
          </w:p>
        </w:tc>
        <w:tc>
          <w:tcPr>
            <w:tcW w:w="4800" w:type="dxa"/>
            <w:gridSpan w:val="5"/>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rPr>
              <w:t>预期目标</w:t>
            </w:r>
          </w:p>
        </w:tc>
        <w:tc>
          <w:tcPr>
            <w:tcW w:w="4554" w:type="dxa"/>
            <w:gridSpan w:val="5"/>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rPr>
              <w:t>实际完成情况</w:t>
            </w:r>
          </w:p>
        </w:tc>
      </w:tr>
      <w:tr>
        <w:tblPrEx>
          <w:tblLayout w:type="fixed"/>
          <w:tblCellMar>
            <w:top w:w="0" w:type="dxa"/>
            <w:left w:w="108" w:type="dxa"/>
            <w:bottom w:w="0" w:type="dxa"/>
            <w:right w:w="108" w:type="dxa"/>
          </w:tblCellMar>
        </w:tblPrEx>
        <w:trPr>
          <w:trHeight w:val="1824" w:hRule="atLeast"/>
        </w:trPr>
        <w:tc>
          <w:tcPr>
            <w:tcW w:w="96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仿宋_GB2312" w:hAnsi="宋体" w:eastAsia="仿宋_GB2312" w:cs="仿宋_GB2312"/>
                <w:color w:val="000000"/>
                <w:szCs w:val="21"/>
              </w:rPr>
            </w:pPr>
          </w:p>
        </w:tc>
        <w:tc>
          <w:tcPr>
            <w:tcW w:w="4800" w:type="dxa"/>
            <w:gridSpan w:val="5"/>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仿宋_GB2312" w:hAnsi="宋体" w:eastAsia="仿宋_GB2312" w:cs="仿宋_GB2312"/>
                <w:color w:val="000000"/>
                <w:szCs w:val="21"/>
              </w:rPr>
            </w:pPr>
            <w:r>
              <w:rPr>
                <w:rStyle w:val="25"/>
                <w:rFonts w:hint="default"/>
              </w:rPr>
              <w:t>本单位的各项工作按质按量完成，</w:t>
            </w:r>
            <w:r>
              <w:rPr>
                <w:rFonts w:hint="eastAsia" w:ascii="仿宋" w:hAnsi="仿宋" w:eastAsia="仿宋" w:cs="Times New Roman"/>
                <w:szCs w:val="21"/>
              </w:rPr>
              <w:t>推进了垦区集团化和农场企业化改革，</w:t>
            </w:r>
            <w:r>
              <w:rPr>
                <w:rStyle w:val="25"/>
                <w:rFonts w:hint="default"/>
              </w:rPr>
              <w:t>继续巩固脱贫攻坚成果衔接推进乡村振兴以及对农垦企业财务工作进行政策宣传、业务指导、业务检查和监督。</w:t>
            </w:r>
          </w:p>
        </w:tc>
        <w:tc>
          <w:tcPr>
            <w:tcW w:w="4554" w:type="dxa"/>
            <w:gridSpan w:val="5"/>
            <w:tcBorders>
              <w:top w:val="nil"/>
              <w:left w:val="nil"/>
              <w:bottom w:val="single" w:color="000000" w:sz="8" w:space="0"/>
              <w:right w:val="single" w:color="000000" w:sz="8" w:space="0"/>
            </w:tcBorders>
            <w:shd w:val="clear" w:color="auto" w:fill="auto"/>
            <w:vAlign w:val="center"/>
          </w:tcPr>
          <w:p>
            <w:pPr>
              <w:ind w:firstLine="420" w:firstLineChars="200"/>
              <w:jc w:val="left"/>
              <w:rPr>
                <w:rFonts w:ascii="仿宋_GB2312" w:hAnsi="华文楷体" w:eastAsia="仿宋_GB2312" w:cs="华文楷体"/>
                <w:bCs/>
                <w:color w:val="222222"/>
                <w:kern w:val="0"/>
                <w:szCs w:val="21"/>
              </w:rPr>
            </w:pPr>
            <w:r>
              <w:rPr>
                <w:rStyle w:val="25"/>
                <w:rFonts w:hint="default"/>
              </w:rPr>
              <w:t>本单位的各项工作按质按量全部完成，</w:t>
            </w:r>
            <w:r>
              <w:rPr>
                <w:rFonts w:hint="eastAsia" w:ascii="仿宋" w:hAnsi="仿宋" w:eastAsia="仿宋" w:cs="Times New Roman"/>
                <w:szCs w:val="21"/>
              </w:rPr>
              <w:t>推进了垦区集团化和农场企业化改革，全力保障了粮食安全和重要农产品供给，充分发挥了现代农业示范带头作用，加快推进产业融合，垦区经济社会实现了稳步发展。</w:t>
            </w:r>
          </w:p>
          <w:p>
            <w:pPr>
              <w:widowControl/>
              <w:jc w:val="left"/>
              <w:textAlignment w:val="center"/>
              <w:rPr>
                <w:rFonts w:ascii="仿宋_GB2312" w:hAnsi="宋体" w:eastAsia="仿宋_GB2312" w:cs="仿宋_GB2312"/>
                <w:color w:val="000000"/>
                <w:szCs w:val="21"/>
              </w:rPr>
            </w:pPr>
          </w:p>
        </w:tc>
      </w:tr>
      <w:tr>
        <w:tblPrEx>
          <w:tblLayout w:type="fixed"/>
          <w:tblCellMar>
            <w:top w:w="0" w:type="dxa"/>
            <w:left w:w="108" w:type="dxa"/>
            <w:bottom w:w="0" w:type="dxa"/>
            <w:right w:w="108" w:type="dxa"/>
          </w:tblCellMar>
        </w:tblPrEx>
        <w:trPr>
          <w:trHeight w:val="318" w:hRule="atLeast"/>
        </w:trPr>
        <w:tc>
          <w:tcPr>
            <w:tcW w:w="960"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rPr>
              <w:t>绩效指标</w:t>
            </w:r>
          </w:p>
        </w:tc>
        <w:tc>
          <w:tcPr>
            <w:tcW w:w="960"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rPr>
              <w:t>一级指标</w:t>
            </w:r>
          </w:p>
        </w:tc>
        <w:tc>
          <w:tcPr>
            <w:tcW w:w="960"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rPr>
              <w:t>二级指标</w:t>
            </w:r>
          </w:p>
        </w:tc>
        <w:tc>
          <w:tcPr>
            <w:tcW w:w="1920" w:type="dxa"/>
            <w:gridSpan w:val="2"/>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rPr>
              <w:t>三级指标</w:t>
            </w:r>
          </w:p>
        </w:tc>
        <w:tc>
          <w:tcPr>
            <w:tcW w:w="960" w:type="dxa"/>
            <w:tcBorders>
              <w:top w:val="nil"/>
              <w:left w:val="nil"/>
              <w:bottom w:val="nil"/>
              <w:right w:val="single" w:color="000000" w:sz="8"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rPr>
              <w:t>年度</w:t>
            </w:r>
          </w:p>
        </w:tc>
        <w:tc>
          <w:tcPr>
            <w:tcW w:w="960" w:type="dxa"/>
            <w:vMerge w:val="restart"/>
            <w:tcBorders>
              <w:top w:val="nil"/>
              <w:left w:val="nil"/>
              <w:bottom w:val="single" w:color="000000" w:sz="8" w:space="0"/>
              <w:right w:val="single" w:color="000000" w:sz="8" w:space="0"/>
            </w:tcBorders>
            <w:shd w:val="clear" w:color="auto" w:fill="auto"/>
            <w:vAlign w:val="center"/>
          </w:tcPr>
          <w:p>
            <w:pPr>
              <w:widowControl/>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rPr>
              <w:t>实际完成值</w:t>
            </w:r>
          </w:p>
        </w:tc>
        <w:tc>
          <w:tcPr>
            <w:tcW w:w="960"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rPr>
              <w:t>分值</w:t>
            </w:r>
          </w:p>
        </w:tc>
        <w:tc>
          <w:tcPr>
            <w:tcW w:w="650"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rPr>
              <w:t>得分</w:t>
            </w:r>
          </w:p>
        </w:tc>
        <w:tc>
          <w:tcPr>
            <w:tcW w:w="1984" w:type="dxa"/>
            <w:gridSpan w:val="2"/>
            <w:tcBorders>
              <w:top w:val="nil"/>
              <w:left w:val="nil"/>
              <w:bottom w:val="nil"/>
              <w:right w:val="single" w:color="000000" w:sz="8"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rPr>
              <w:t>偏差原因</w:t>
            </w:r>
          </w:p>
        </w:tc>
      </w:tr>
      <w:tr>
        <w:tblPrEx>
          <w:tblLayout w:type="fixed"/>
          <w:tblCellMar>
            <w:top w:w="0" w:type="dxa"/>
            <w:left w:w="108" w:type="dxa"/>
            <w:bottom w:w="0" w:type="dxa"/>
            <w:right w:w="108" w:type="dxa"/>
          </w:tblCellMar>
        </w:tblPrEx>
        <w:trPr>
          <w:trHeight w:val="303" w:hRule="atLeast"/>
        </w:trPr>
        <w:tc>
          <w:tcPr>
            <w:tcW w:w="96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仿宋_GB2312" w:hAnsi="宋体" w:eastAsia="仿宋_GB2312" w:cs="仿宋_GB2312"/>
                <w:color w:val="000000"/>
                <w:szCs w:val="21"/>
              </w:rPr>
            </w:pPr>
          </w:p>
        </w:tc>
        <w:tc>
          <w:tcPr>
            <w:tcW w:w="960" w:type="dxa"/>
            <w:vMerge w:val="continue"/>
            <w:tcBorders>
              <w:top w:val="nil"/>
              <w:left w:val="nil"/>
              <w:bottom w:val="single" w:color="000000" w:sz="8" w:space="0"/>
              <w:right w:val="single" w:color="000000" w:sz="8" w:space="0"/>
            </w:tcBorders>
            <w:shd w:val="clear" w:color="auto" w:fill="auto"/>
            <w:vAlign w:val="center"/>
          </w:tcPr>
          <w:p>
            <w:pPr>
              <w:jc w:val="center"/>
              <w:rPr>
                <w:rFonts w:ascii="仿宋_GB2312" w:hAnsi="宋体" w:eastAsia="仿宋_GB2312" w:cs="仿宋_GB2312"/>
                <w:color w:val="000000"/>
                <w:szCs w:val="21"/>
              </w:rPr>
            </w:pPr>
          </w:p>
        </w:tc>
        <w:tc>
          <w:tcPr>
            <w:tcW w:w="960" w:type="dxa"/>
            <w:vMerge w:val="continue"/>
            <w:tcBorders>
              <w:top w:val="nil"/>
              <w:left w:val="nil"/>
              <w:bottom w:val="single" w:color="000000" w:sz="8" w:space="0"/>
              <w:right w:val="single" w:color="000000" w:sz="8" w:space="0"/>
            </w:tcBorders>
            <w:shd w:val="clear" w:color="auto" w:fill="auto"/>
            <w:vAlign w:val="center"/>
          </w:tcPr>
          <w:p>
            <w:pPr>
              <w:jc w:val="center"/>
              <w:rPr>
                <w:rFonts w:ascii="仿宋_GB2312" w:hAnsi="宋体" w:eastAsia="仿宋_GB2312" w:cs="仿宋_GB2312"/>
                <w:color w:val="000000"/>
                <w:szCs w:val="21"/>
              </w:rPr>
            </w:pPr>
          </w:p>
        </w:tc>
        <w:tc>
          <w:tcPr>
            <w:tcW w:w="1920" w:type="dxa"/>
            <w:gridSpan w:val="2"/>
            <w:vMerge w:val="continue"/>
            <w:tcBorders>
              <w:top w:val="nil"/>
              <w:left w:val="nil"/>
              <w:bottom w:val="single" w:color="000000" w:sz="8" w:space="0"/>
              <w:right w:val="single" w:color="000000" w:sz="8" w:space="0"/>
            </w:tcBorders>
            <w:shd w:val="clear" w:color="auto" w:fill="auto"/>
            <w:vAlign w:val="center"/>
          </w:tcPr>
          <w:p>
            <w:pPr>
              <w:jc w:val="center"/>
              <w:rPr>
                <w:rFonts w:ascii="仿宋_GB2312" w:hAnsi="宋体" w:eastAsia="仿宋_GB2312" w:cs="仿宋_GB2312"/>
                <w:color w:val="000000"/>
                <w:szCs w:val="21"/>
              </w:rPr>
            </w:pPr>
          </w:p>
        </w:tc>
        <w:tc>
          <w:tcPr>
            <w:tcW w:w="960" w:type="dxa"/>
            <w:tcBorders>
              <w:top w:val="nil"/>
              <w:left w:val="nil"/>
              <w:bottom w:val="nil"/>
              <w:right w:val="single" w:color="000000" w:sz="8"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rPr>
              <w:t>指标值</w:t>
            </w:r>
          </w:p>
        </w:tc>
        <w:tc>
          <w:tcPr>
            <w:tcW w:w="960" w:type="dxa"/>
            <w:vMerge w:val="continue"/>
            <w:tcBorders>
              <w:top w:val="nil"/>
              <w:left w:val="nil"/>
              <w:bottom w:val="single" w:color="000000" w:sz="8" w:space="0"/>
              <w:right w:val="single" w:color="000000" w:sz="8" w:space="0"/>
            </w:tcBorders>
            <w:shd w:val="clear" w:color="auto" w:fill="auto"/>
            <w:vAlign w:val="center"/>
          </w:tcPr>
          <w:p>
            <w:pPr>
              <w:rPr>
                <w:rFonts w:ascii="仿宋_GB2312" w:hAnsi="宋体" w:eastAsia="仿宋_GB2312" w:cs="仿宋_GB2312"/>
                <w:color w:val="000000"/>
                <w:szCs w:val="21"/>
              </w:rPr>
            </w:pPr>
          </w:p>
        </w:tc>
        <w:tc>
          <w:tcPr>
            <w:tcW w:w="960" w:type="dxa"/>
            <w:vMerge w:val="continue"/>
            <w:tcBorders>
              <w:top w:val="nil"/>
              <w:left w:val="nil"/>
              <w:bottom w:val="single" w:color="000000" w:sz="8" w:space="0"/>
              <w:right w:val="single" w:color="000000" w:sz="8" w:space="0"/>
            </w:tcBorders>
            <w:shd w:val="clear" w:color="auto" w:fill="auto"/>
            <w:vAlign w:val="center"/>
          </w:tcPr>
          <w:p>
            <w:pPr>
              <w:jc w:val="center"/>
              <w:rPr>
                <w:rFonts w:ascii="仿宋_GB2312" w:hAnsi="宋体" w:eastAsia="仿宋_GB2312" w:cs="仿宋_GB2312"/>
                <w:color w:val="000000"/>
                <w:szCs w:val="21"/>
              </w:rPr>
            </w:pPr>
          </w:p>
        </w:tc>
        <w:tc>
          <w:tcPr>
            <w:tcW w:w="650" w:type="dxa"/>
            <w:vMerge w:val="continue"/>
            <w:tcBorders>
              <w:top w:val="nil"/>
              <w:left w:val="nil"/>
              <w:bottom w:val="single" w:color="000000" w:sz="8" w:space="0"/>
              <w:right w:val="single" w:color="000000" w:sz="8" w:space="0"/>
            </w:tcBorders>
            <w:shd w:val="clear" w:color="auto" w:fill="auto"/>
            <w:vAlign w:val="center"/>
          </w:tcPr>
          <w:p>
            <w:pPr>
              <w:jc w:val="center"/>
              <w:rPr>
                <w:rFonts w:ascii="仿宋_GB2312" w:hAnsi="宋体" w:eastAsia="仿宋_GB2312" w:cs="仿宋_GB2312"/>
                <w:color w:val="000000"/>
                <w:szCs w:val="21"/>
              </w:rPr>
            </w:pPr>
          </w:p>
        </w:tc>
        <w:tc>
          <w:tcPr>
            <w:tcW w:w="1984" w:type="dxa"/>
            <w:gridSpan w:val="2"/>
            <w:tcBorders>
              <w:top w:val="nil"/>
              <w:left w:val="nil"/>
              <w:bottom w:val="nil"/>
              <w:right w:val="single" w:color="000000" w:sz="8"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rPr>
              <w:t>分析及</w:t>
            </w:r>
          </w:p>
        </w:tc>
      </w:tr>
      <w:tr>
        <w:tblPrEx>
          <w:tblLayout w:type="fixed"/>
          <w:tblCellMar>
            <w:top w:w="0" w:type="dxa"/>
            <w:left w:w="108" w:type="dxa"/>
            <w:bottom w:w="0" w:type="dxa"/>
            <w:right w:w="108" w:type="dxa"/>
          </w:tblCellMar>
        </w:tblPrEx>
        <w:trPr>
          <w:trHeight w:val="302" w:hRule="atLeast"/>
        </w:trPr>
        <w:tc>
          <w:tcPr>
            <w:tcW w:w="96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仿宋_GB2312" w:hAnsi="宋体" w:eastAsia="仿宋_GB2312" w:cs="仿宋_GB2312"/>
                <w:color w:val="000000"/>
                <w:szCs w:val="21"/>
              </w:rPr>
            </w:pPr>
          </w:p>
        </w:tc>
        <w:tc>
          <w:tcPr>
            <w:tcW w:w="960" w:type="dxa"/>
            <w:vMerge w:val="continue"/>
            <w:tcBorders>
              <w:top w:val="nil"/>
              <w:left w:val="nil"/>
              <w:bottom w:val="single" w:color="000000" w:sz="8" w:space="0"/>
              <w:right w:val="single" w:color="000000" w:sz="8" w:space="0"/>
            </w:tcBorders>
            <w:shd w:val="clear" w:color="auto" w:fill="auto"/>
            <w:vAlign w:val="center"/>
          </w:tcPr>
          <w:p>
            <w:pPr>
              <w:jc w:val="center"/>
              <w:rPr>
                <w:rFonts w:ascii="仿宋_GB2312" w:hAnsi="宋体" w:eastAsia="仿宋_GB2312" w:cs="仿宋_GB2312"/>
                <w:color w:val="000000"/>
                <w:szCs w:val="21"/>
              </w:rPr>
            </w:pPr>
          </w:p>
        </w:tc>
        <w:tc>
          <w:tcPr>
            <w:tcW w:w="960" w:type="dxa"/>
            <w:vMerge w:val="continue"/>
            <w:tcBorders>
              <w:top w:val="nil"/>
              <w:left w:val="nil"/>
              <w:bottom w:val="single" w:color="000000" w:sz="8" w:space="0"/>
              <w:right w:val="single" w:color="000000" w:sz="8" w:space="0"/>
            </w:tcBorders>
            <w:shd w:val="clear" w:color="auto" w:fill="auto"/>
            <w:vAlign w:val="center"/>
          </w:tcPr>
          <w:p>
            <w:pPr>
              <w:jc w:val="center"/>
              <w:rPr>
                <w:rFonts w:ascii="仿宋_GB2312" w:hAnsi="宋体" w:eastAsia="仿宋_GB2312" w:cs="仿宋_GB2312"/>
                <w:color w:val="000000"/>
                <w:szCs w:val="21"/>
              </w:rPr>
            </w:pPr>
          </w:p>
        </w:tc>
        <w:tc>
          <w:tcPr>
            <w:tcW w:w="1920" w:type="dxa"/>
            <w:gridSpan w:val="2"/>
            <w:vMerge w:val="continue"/>
            <w:tcBorders>
              <w:top w:val="nil"/>
              <w:left w:val="nil"/>
              <w:bottom w:val="single" w:color="000000" w:sz="8" w:space="0"/>
              <w:right w:val="single" w:color="000000" w:sz="8" w:space="0"/>
            </w:tcBorders>
            <w:shd w:val="clear" w:color="auto" w:fill="auto"/>
            <w:vAlign w:val="center"/>
          </w:tcPr>
          <w:p>
            <w:pPr>
              <w:jc w:val="center"/>
              <w:rPr>
                <w:rFonts w:ascii="仿宋_GB2312" w:hAnsi="宋体" w:eastAsia="仿宋_GB2312" w:cs="仿宋_GB2312"/>
                <w:color w:val="000000"/>
                <w:szCs w:val="21"/>
              </w:rPr>
            </w:pPr>
          </w:p>
        </w:tc>
        <w:tc>
          <w:tcPr>
            <w:tcW w:w="960" w:type="dxa"/>
            <w:tcBorders>
              <w:top w:val="nil"/>
              <w:left w:val="nil"/>
              <w:bottom w:val="single" w:color="000000" w:sz="8" w:space="0"/>
              <w:right w:val="single" w:color="000000" w:sz="8" w:space="0"/>
            </w:tcBorders>
            <w:shd w:val="clear" w:color="auto" w:fill="auto"/>
            <w:noWrap/>
            <w:vAlign w:val="center"/>
          </w:tcPr>
          <w:p>
            <w:pPr>
              <w:rPr>
                <w:rFonts w:ascii="宋体" w:hAnsi="宋体" w:eastAsia="宋体" w:cs="宋体"/>
                <w:color w:val="000000"/>
                <w:sz w:val="22"/>
              </w:rPr>
            </w:pPr>
          </w:p>
        </w:tc>
        <w:tc>
          <w:tcPr>
            <w:tcW w:w="960" w:type="dxa"/>
            <w:vMerge w:val="continue"/>
            <w:tcBorders>
              <w:top w:val="nil"/>
              <w:left w:val="nil"/>
              <w:bottom w:val="single" w:color="000000" w:sz="8" w:space="0"/>
              <w:right w:val="single" w:color="000000" w:sz="8" w:space="0"/>
            </w:tcBorders>
            <w:shd w:val="clear" w:color="auto" w:fill="auto"/>
            <w:vAlign w:val="center"/>
          </w:tcPr>
          <w:p>
            <w:pPr>
              <w:rPr>
                <w:rFonts w:ascii="仿宋_GB2312" w:hAnsi="宋体" w:eastAsia="仿宋_GB2312" w:cs="仿宋_GB2312"/>
                <w:color w:val="000000"/>
                <w:szCs w:val="21"/>
              </w:rPr>
            </w:pPr>
          </w:p>
        </w:tc>
        <w:tc>
          <w:tcPr>
            <w:tcW w:w="960" w:type="dxa"/>
            <w:vMerge w:val="continue"/>
            <w:tcBorders>
              <w:top w:val="nil"/>
              <w:left w:val="nil"/>
              <w:bottom w:val="single" w:color="000000" w:sz="8" w:space="0"/>
              <w:right w:val="single" w:color="000000" w:sz="8" w:space="0"/>
            </w:tcBorders>
            <w:shd w:val="clear" w:color="auto" w:fill="auto"/>
            <w:vAlign w:val="center"/>
          </w:tcPr>
          <w:p>
            <w:pPr>
              <w:jc w:val="center"/>
              <w:rPr>
                <w:rFonts w:ascii="仿宋_GB2312" w:hAnsi="宋体" w:eastAsia="仿宋_GB2312" w:cs="仿宋_GB2312"/>
                <w:color w:val="000000"/>
                <w:szCs w:val="21"/>
              </w:rPr>
            </w:pPr>
          </w:p>
        </w:tc>
        <w:tc>
          <w:tcPr>
            <w:tcW w:w="650" w:type="dxa"/>
            <w:vMerge w:val="continue"/>
            <w:tcBorders>
              <w:top w:val="nil"/>
              <w:left w:val="nil"/>
              <w:bottom w:val="single" w:color="000000" w:sz="8" w:space="0"/>
              <w:right w:val="single" w:color="000000" w:sz="8" w:space="0"/>
            </w:tcBorders>
            <w:shd w:val="clear" w:color="auto" w:fill="auto"/>
            <w:vAlign w:val="center"/>
          </w:tcPr>
          <w:p>
            <w:pPr>
              <w:jc w:val="center"/>
              <w:rPr>
                <w:rFonts w:ascii="仿宋_GB2312" w:hAnsi="宋体" w:eastAsia="仿宋_GB2312" w:cs="仿宋_GB2312"/>
                <w:color w:val="000000"/>
                <w:szCs w:val="21"/>
              </w:rPr>
            </w:pPr>
          </w:p>
        </w:tc>
        <w:tc>
          <w:tcPr>
            <w:tcW w:w="1984" w:type="dxa"/>
            <w:gridSpan w:val="2"/>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rPr>
              <w:t>改进措施</w:t>
            </w:r>
          </w:p>
        </w:tc>
      </w:tr>
      <w:tr>
        <w:tblPrEx>
          <w:tblLayout w:type="fixed"/>
          <w:tblCellMar>
            <w:top w:w="0" w:type="dxa"/>
            <w:left w:w="108" w:type="dxa"/>
            <w:bottom w:w="0" w:type="dxa"/>
            <w:right w:w="108" w:type="dxa"/>
          </w:tblCellMar>
        </w:tblPrEx>
        <w:trPr>
          <w:trHeight w:val="318" w:hRule="atLeast"/>
        </w:trPr>
        <w:tc>
          <w:tcPr>
            <w:tcW w:w="96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仿宋_GB2312" w:hAnsi="宋体" w:eastAsia="仿宋_GB2312" w:cs="仿宋_GB2312"/>
                <w:color w:val="000000"/>
                <w:szCs w:val="21"/>
              </w:rPr>
            </w:pPr>
          </w:p>
        </w:tc>
        <w:tc>
          <w:tcPr>
            <w:tcW w:w="960" w:type="dxa"/>
            <w:vMerge w:val="restart"/>
            <w:tcBorders>
              <w:top w:val="nil"/>
              <w:left w:val="nil"/>
              <w:bottom w:val="nil"/>
              <w:right w:val="nil"/>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rPr>
              <w:t>产出指标(50分)</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rPr>
              <w:t>质量指标</w:t>
            </w:r>
          </w:p>
        </w:tc>
        <w:tc>
          <w:tcPr>
            <w:tcW w:w="1920" w:type="dxa"/>
            <w:gridSpan w:val="2"/>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rPr>
              <w:t>年初预算完成率</w:t>
            </w:r>
          </w:p>
        </w:tc>
        <w:tc>
          <w:tcPr>
            <w:tcW w:w="960" w:type="dxa"/>
            <w:tcBorders>
              <w:top w:val="nil"/>
              <w:left w:val="nil"/>
              <w:bottom w:val="single" w:color="000000" w:sz="8" w:space="0"/>
              <w:right w:val="single" w:color="000000" w:sz="8" w:space="0"/>
            </w:tcBorders>
            <w:shd w:val="clear" w:color="auto" w:fill="auto"/>
            <w:vAlign w:val="center"/>
          </w:tcPr>
          <w:p>
            <w:pPr>
              <w:jc w:val="left"/>
              <w:rPr>
                <w:rFonts w:ascii="仿宋_GB2312" w:hAnsi="宋体" w:eastAsia="仿宋_GB2312" w:cs="仿宋_GB2312"/>
                <w:color w:val="000000"/>
                <w:szCs w:val="21"/>
              </w:rPr>
            </w:pPr>
            <w:r>
              <w:rPr>
                <w:rFonts w:hint="eastAsia" w:ascii="仿宋_GB2312" w:hAnsi="宋体" w:eastAsia="仿宋_GB2312" w:cs="仿宋_GB2312"/>
                <w:color w:val="000000"/>
                <w:szCs w:val="21"/>
              </w:rPr>
              <w:t>100%</w:t>
            </w:r>
          </w:p>
        </w:tc>
        <w:tc>
          <w:tcPr>
            <w:tcW w:w="960" w:type="dxa"/>
            <w:tcBorders>
              <w:top w:val="nil"/>
              <w:left w:val="nil"/>
              <w:bottom w:val="single" w:color="000000" w:sz="8" w:space="0"/>
              <w:right w:val="single" w:color="000000" w:sz="8" w:space="0"/>
            </w:tcBorders>
            <w:shd w:val="clear" w:color="auto" w:fill="auto"/>
            <w:vAlign w:val="center"/>
          </w:tcPr>
          <w:p>
            <w:pPr>
              <w:jc w:val="left"/>
              <w:rPr>
                <w:rFonts w:ascii="仿宋_GB2312" w:hAnsi="宋体" w:eastAsia="仿宋_GB2312" w:cs="仿宋_GB2312"/>
                <w:color w:val="000000"/>
                <w:szCs w:val="21"/>
              </w:rPr>
            </w:pPr>
            <w:r>
              <w:rPr>
                <w:rFonts w:hint="eastAsia" w:ascii="仿宋_GB2312" w:hAnsi="宋体" w:eastAsia="仿宋_GB2312" w:cs="仿宋_GB2312"/>
                <w:color w:val="000000"/>
                <w:szCs w:val="21"/>
              </w:rPr>
              <w:t>100%</w:t>
            </w:r>
          </w:p>
        </w:tc>
        <w:tc>
          <w:tcPr>
            <w:tcW w:w="960" w:type="dxa"/>
            <w:tcBorders>
              <w:top w:val="nil"/>
              <w:left w:val="nil"/>
              <w:bottom w:val="single" w:color="000000" w:sz="8" w:space="0"/>
              <w:right w:val="single" w:color="000000" w:sz="8" w:space="0"/>
            </w:tcBorders>
            <w:shd w:val="clear" w:color="auto" w:fill="auto"/>
            <w:vAlign w:val="center"/>
          </w:tcPr>
          <w:p>
            <w:pPr>
              <w:jc w:val="left"/>
              <w:rPr>
                <w:rFonts w:ascii="仿宋_GB2312" w:hAnsi="宋体" w:eastAsia="仿宋_GB2312" w:cs="仿宋_GB2312"/>
                <w:color w:val="000000"/>
                <w:szCs w:val="21"/>
              </w:rPr>
            </w:pPr>
            <w:r>
              <w:rPr>
                <w:rFonts w:hint="eastAsia" w:ascii="仿宋_GB2312" w:hAnsi="宋体" w:eastAsia="仿宋_GB2312" w:cs="仿宋_GB2312"/>
                <w:color w:val="000000"/>
                <w:szCs w:val="21"/>
              </w:rPr>
              <w:t>8</w:t>
            </w:r>
          </w:p>
        </w:tc>
        <w:tc>
          <w:tcPr>
            <w:tcW w:w="650" w:type="dxa"/>
            <w:tcBorders>
              <w:top w:val="nil"/>
              <w:left w:val="nil"/>
              <w:bottom w:val="single" w:color="000000" w:sz="8" w:space="0"/>
              <w:right w:val="single" w:color="000000" w:sz="8" w:space="0"/>
            </w:tcBorders>
            <w:shd w:val="clear" w:color="auto" w:fill="auto"/>
            <w:vAlign w:val="center"/>
          </w:tcPr>
          <w:p>
            <w:pPr>
              <w:jc w:val="left"/>
              <w:rPr>
                <w:rFonts w:ascii="仿宋_GB2312" w:hAnsi="宋体" w:eastAsia="仿宋_GB2312" w:cs="仿宋_GB2312"/>
                <w:color w:val="000000"/>
                <w:szCs w:val="21"/>
              </w:rPr>
            </w:pPr>
            <w:r>
              <w:rPr>
                <w:rFonts w:hint="eastAsia" w:ascii="仿宋_GB2312" w:hAnsi="宋体" w:eastAsia="仿宋_GB2312" w:cs="仿宋_GB2312"/>
                <w:color w:val="000000"/>
                <w:szCs w:val="21"/>
              </w:rPr>
              <w:t>8</w:t>
            </w:r>
          </w:p>
        </w:tc>
        <w:tc>
          <w:tcPr>
            <w:tcW w:w="1984" w:type="dxa"/>
            <w:gridSpan w:val="2"/>
            <w:tcBorders>
              <w:top w:val="nil"/>
              <w:left w:val="nil"/>
              <w:bottom w:val="single" w:color="000000" w:sz="8" w:space="0"/>
              <w:right w:val="single" w:color="000000" w:sz="8" w:space="0"/>
            </w:tcBorders>
            <w:shd w:val="clear" w:color="auto" w:fill="auto"/>
            <w:vAlign w:val="center"/>
          </w:tcPr>
          <w:p>
            <w:pPr>
              <w:jc w:val="left"/>
              <w:rPr>
                <w:rFonts w:ascii="仿宋_GB2312" w:hAnsi="宋体" w:eastAsia="仿宋_GB2312" w:cs="仿宋_GB2312"/>
                <w:color w:val="000000"/>
                <w:szCs w:val="21"/>
              </w:rPr>
            </w:pPr>
          </w:p>
        </w:tc>
      </w:tr>
      <w:tr>
        <w:tblPrEx>
          <w:tblLayout w:type="fixed"/>
          <w:tblCellMar>
            <w:top w:w="0" w:type="dxa"/>
            <w:left w:w="108" w:type="dxa"/>
            <w:bottom w:w="0" w:type="dxa"/>
            <w:right w:w="108" w:type="dxa"/>
          </w:tblCellMar>
        </w:tblPrEx>
        <w:trPr>
          <w:trHeight w:val="318" w:hRule="atLeast"/>
        </w:trPr>
        <w:tc>
          <w:tcPr>
            <w:tcW w:w="96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仿宋_GB2312" w:hAnsi="宋体" w:eastAsia="仿宋_GB2312" w:cs="仿宋_GB2312"/>
                <w:color w:val="000000"/>
                <w:szCs w:val="21"/>
              </w:rPr>
            </w:pPr>
          </w:p>
        </w:tc>
        <w:tc>
          <w:tcPr>
            <w:tcW w:w="960" w:type="dxa"/>
            <w:vMerge w:val="continue"/>
            <w:tcBorders>
              <w:top w:val="nil"/>
              <w:left w:val="nil"/>
              <w:bottom w:val="nil"/>
              <w:right w:val="nil"/>
            </w:tcBorders>
            <w:shd w:val="clear" w:color="auto" w:fill="auto"/>
            <w:vAlign w:val="center"/>
          </w:tcPr>
          <w:p>
            <w:pPr>
              <w:jc w:val="center"/>
              <w:rPr>
                <w:rFonts w:ascii="仿宋_GB2312" w:hAnsi="宋体" w:eastAsia="仿宋_GB2312" w:cs="仿宋_GB2312"/>
                <w:color w:val="000000"/>
                <w:szCs w:val="21"/>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Cs w:val="21"/>
              </w:rPr>
            </w:pPr>
          </w:p>
        </w:tc>
        <w:tc>
          <w:tcPr>
            <w:tcW w:w="1920" w:type="dxa"/>
            <w:gridSpan w:val="2"/>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rPr>
              <w:t>重点工作完成率</w:t>
            </w:r>
          </w:p>
        </w:tc>
        <w:tc>
          <w:tcPr>
            <w:tcW w:w="960" w:type="dxa"/>
            <w:tcBorders>
              <w:top w:val="nil"/>
              <w:left w:val="nil"/>
              <w:bottom w:val="single" w:color="000000" w:sz="8" w:space="0"/>
              <w:right w:val="single" w:color="000000" w:sz="8" w:space="0"/>
            </w:tcBorders>
            <w:shd w:val="clear" w:color="auto" w:fill="auto"/>
            <w:vAlign w:val="center"/>
          </w:tcPr>
          <w:p>
            <w:pPr>
              <w:jc w:val="left"/>
              <w:rPr>
                <w:rFonts w:ascii="仿宋_GB2312" w:hAnsi="宋体" w:eastAsia="仿宋_GB2312" w:cs="仿宋_GB2312"/>
                <w:color w:val="000000"/>
                <w:szCs w:val="21"/>
              </w:rPr>
            </w:pPr>
            <w:r>
              <w:rPr>
                <w:rFonts w:hint="eastAsia" w:ascii="仿宋_GB2312" w:hAnsi="宋体" w:eastAsia="仿宋_GB2312" w:cs="仿宋_GB2312"/>
                <w:color w:val="000000"/>
                <w:szCs w:val="21"/>
              </w:rPr>
              <w:t>100%</w:t>
            </w:r>
          </w:p>
        </w:tc>
        <w:tc>
          <w:tcPr>
            <w:tcW w:w="960" w:type="dxa"/>
            <w:tcBorders>
              <w:top w:val="nil"/>
              <w:left w:val="nil"/>
              <w:bottom w:val="single" w:color="000000" w:sz="8" w:space="0"/>
              <w:right w:val="single" w:color="000000" w:sz="8" w:space="0"/>
            </w:tcBorders>
            <w:shd w:val="clear" w:color="auto" w:fill="auto"/>
            <w:vAlign w:val="center"/>
          </w:tcPr>
          <w:p>
            <w:pPr>
              <w:jc w:val="left"/>
              <w:rPr>
                <w:rFonts w:ascii="仿宋_GB2312" w:hAnsi="宋体" w:eastAsia="仿宋_GB2312" w:cs="仿宋_GB2312"/>
                <w:color w:val="000000"/>
                <w:szCs w:val="21"/>
              </w:rPr>
            </w:pPr>
            <w:r>
              <w:rPr>
                <w:rFonts w:hint="eastAsia" w:ascii="仿宋_GB2312" w:hAnsi="宋体" w:eastAsia="仿宋_GB2312" w:cs="仿宋_GB2312"/>
                <w:color w:val="000000"/>
                <w:szCs w:val="21"/>
              </w:rPr>
              <w:t>100%</w:t>
            </w:r>
          </w:p>
        </w:tc>
        <w:tc>
          <w:tcPr>
            <w:tcW w:w="960" w:type="dxa"/>
            <w:tcBorders>
              <w:top w:val="nil"/>
              <w:left w:val="nil"/>
              <w:bottom w:val="single" w:color="000000" w:sz="8" w:space="0"/>
              <w:right w:val="single" w:color="000000" w:sz="8" w:space="0"/>
            </w:tcBorders>
            <w:shd w:val="clear" w:color="auto" w:fill="auto"/>
            <w:vAlign w:val="center"/>
          </w:tcPr>
          <w:p>
            <w:pPr>
              <w:jc w:val="left"/>
              <w:rPr>
                <w:rFonts w:ascii="仿宋_GB2312" w:hAnsi="宋体" w:eastAsia="仿宋_GB2312" w:cs="仿宋_GB2312"/>
                <w:color w:val="000000"/>
                <w:szCs w:val="21"/>
              </w:rPr>
            </w:pPr>
            <w:r>
              <w:rPr>
                <w:rFonts w:hint="eastAsia" w:ascii="仿宋_GB2312" w:hAnsi="宋体" w:eastAsia="仿宋_GB2312" w:cs="仿宋_GB2312"/>
                <w:color w:val="000000"/>
                <w:szCs w:val="21"/>
              </w:rPr>
              <w:t>10</w:t>
            </w:r>
          </w:p>
        </w:tc>
        <w:tc>
          <w:tcPr>
            <w:tcW w:w="650" w:type="dxa"/>
            <w:tcBorders>
              <w:top w:val="nil"/>
              <w:left w:val="nil"/>
              <w:bottom w:val="single" w:color="000000" w:sz="8" w:space="0"/>
              <w:right w:val="single" w:color="000000" w:sz="8" w:space="0"/>
            </w:tcBorders>
            <w:shd w:val="clear" w:color="auto" w:fill="auto"/>
            <w:vAlign w:val="center"/>
          </w:tcPr>
          <w:p>
            <w:pPr>
              <w:jc w:val="left"/>
              <w:rPr>
                <w:rFonts w:ascii="仿宋_GB2312" w:hAnsi="宋体" w:eastAsia="仿宋_GB2312" w:cs="仿宋_GB2312"/>
                <w:color w:val="000000"/>
                <w:szCs w:val="21"/>
              </w:rPr>
            </w:pPr>
            <w:r>
              <w:rPr>
                <w:rFonts w:hint="eastAsia" w:ascii="仿宋_GB2312" w:hAnsi="宋体" w:eastAsia="仿宋_GB2312" w:cs="仿宋_GB2312"/>
                <w:color w:val="000000"/>
                <w:szCs w:val="21"/>
              </w:rPr>
              <w:t>10</w:t>
            </w:r>
          </w:p>
        </w:tc>
        <w:tc>
          <w:tcPr>
            <w:tcW w:w="1984" w:type="dxa"/>
            <w:gridSpan w:val="2"/>
            <w:tcBorders>
              <w:top w:val="nil"/>
              <w:left w:val="nil"/>
              <w:bottom w:val="single" w:color="000000" w:sz="8" w:space="0"/>
              <w:right w:val="single" w:color="000000" w:sz="8" w:space="0"/>
            </w:tcBorders>
            <w:shd w:val="clear" w:color="auto" w:fill="auto"/>
            <w:vAlign w:val="center"/>
          </w:tcPr>
          <w:p>
            <w:pPr>
              <w:jc w:val="left"/>
              <w:rPr>
                <w:rFonts w:ascii="仿宋_GB2312" w:hAnsi="宋体" w:eastAsia="仿宋_GB2312" w:cs="仿宋_GB2312"/>
                <w:color w:val="000000"/>
                <w:szCs w:val="21"/>
              </w:rPr>
            </w:pPr>
          </w:p>
        </w:tc>
      </w:tr>
      <w:tr>
        <w:tblPrEx>
          <w:tblLayout w:type="fixed"/>
          <w:tblCellMar>
            <w:top w:w="0" w:type="dxa"/>
            <w:left w:w="108" w:type="dxa"/>
            <w:bottom w:w="0" w:type="dxa"/>
            <w:right w:w="108" w:type="dxa"/>
          </w:tblCellMar>
        </w:tblPrEx>
        <w:trPr>
          <w:trHeight w:val="318" w:hRule="atLeast"/>
        </w:trPr>
        <w:tc>
          <w:tcPr>
            <w:tcW w:w="96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仿宋_GB2312" w:hAnsi="宋体" w:eastAsia="仿宋_GB2312" w:cs="仿宋_GB2312"/>
                <w:color w:val="000000"/>
                <w:szCs w:val="21"/>
              </w:rPr>
            </w:pPr>
          </w:p>
        </w:tc>
        <w:tc>
          <w:tcPr>
            <w:tcW w:w="960" w:type="dxa"/>
            <w:vMerge w:val="restart"/>
            <w:tcBorders>
              <w:top w:val="nil"/>
              <w:left w:val="nil"/>
              <w:bottom w:val="single" w:color="000000" w:sz="8" w:space="0"/>
              <w:right w:val="nil"/>
            </w:tcBorders>
            <w:shd w:val="clear" w:color="auto" w:fill="auto"/>
            <w:vAlign w:val="center"/>
          </w:tcPr>
          <w:p>
            <w:pPr>
              <w:jc w:val="center"/>
              <w:rPr>
                <w:rFonts w:ascii="仿宋_GB2312" w:hAnsi="宋体" w:eastAsia="仿宋_GB2312" w:cs="仿宋_GB2312"/>
                <w:color w:val="000000"/>
                <w:szCs w:val="21"/>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Cs w:val="21"/>
              </w:rPr>
            </w:pPr>
          </w:p>
        </w:tc>
        <w:tc>
          <w:tcPr>
            <w:tcW w:w="1920" w:type="dxa"/>
            <w:gridSpan w:val="2"/>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rPr>
              <w:t>“三公经费”控制率</w:t>
            </w:r>
          </w:p>
        </w:tc>
        <w:tc>
          <w:tcPr>
            <w:tcW w:w="960" w:type="dxa"/>
            <w:tcBorders>
              <w:top w:val="nil"/>
              <w:left w:val="nil"/>
              <w:bottom w:val="single" w:color="000000" w:sz="8" w:space="0"/>
              <w:right w:val="single" w:color="000000" w:sz="8" w:space="0"/>
            </w:tcBorders>
            <w:shd w:val="clear" w:color="auto" w:fill="auto"/>
            <w:vAlign w:val="center"/>
          </w:tcPr>
          <w:p>
            <w:pPr>
              <w:jc w:val="left"/>
              <w:rPr>
                <w:rFonts w:ascii="仿宋_GB2312" w:hAnsi="宋体" w:eastAsia="仿宋_GB2312" w:cs="仿宋_GB2312"/>
                <w:color w:val="000000"/>
                <w:szCs w:val="21"/>
              </w:rPr>
            </w:pPr>
            <w:r>
              <w:rPr>
                <w:rFonts w:hint="eastAsia" w:ascii="仿宋_GB2312" w:hAnsi="宋体" w:eastAsia="仿宋_GB2312" w:cs="仿宋_GB2312"/>
                <w:color w:val="000000"/>
                <w:szCs w:val="21"/>
              </w:rPr>
              <w:t>100%</w:t>
            </w:r>
          </w:p>
        </w:tc>
        <w:tc>
          <w:tcPr>
            <w:tcW w:w="960" w:type="dxa"/>
            <w:tcBorders>
              <w:top w:val="nil"/>
              <w:left w:val="nil"/>
              <w:bottom w:val="single" w:color="000000" w:sz="8" w:space="0"/>
              <w:right w:val="single" w:color="000000" w:sz="8" w:space="0"/>
            </w:tcBorders>
            <w:shd w:val="clear" w:color="auto" w:fill="auto"/>
            <w:vAlign w:val="center"/>
          </w:tcPr>
          <w:p>
            <w:pPr>
              <w:jc w:val="left"/>
              <w:rPr>
                <w:rFonts w:ascii="仿宋_GB2312" w:hAnsi="宋体" w:eastAsia="仿宋_GB2312" w:cs="仿宋_GB2312"/>
                <w:color w:val="000000"/>
                <w:szCs w:val="21"/>
              </w:rPr>
            </w:pPr>
            <w:r>
              <w:rPr>
                <w:rFonts w:hint="eastAsia" w:ascii="仿宋_GB2312" w:hAnsi="宋体" w:eastAsia="仿宋_GB2312" w:cs="仿宋_GB2312"/>
                <w:color w:val="000000"/>
                <w:szCs w:val="21"/>
              </w:rPr>
              <w:t>100%</w:t>
            </w:r>
          </w:p>
        </w:tc>
        <w:tc>
          <w:tcPr>
            <w:tcW w:w="960" w:type="dxa"/>
            <w:tcBorders>
              <w:top w:val="nil"/>
              <w:left w:val="nil"/>
              <w:bottom w:val="single" w:color="000000" w:sz="8" w:space="0"/>
              <w:right w:val="single" w:color="000000" w:sz="8" w:space="0"/>
            </w:tcBorders>
            <w:shd w:val="clear" w:color="auto" w:fill="auto"/>
            <w:vAlign w:val="center"/>
          </w:tcPr>
          <w:p>
            <w:pPr>
              <w:jc w:val="left"/>
              <w:rPr>
                <w:rFonts w:ascii="仿宋_GB2312" w:hAnsi="宋体" w:eastAsia="仿宋_GB2312" w:cs="仿宋_GB2312"/>
                <w:color w:val="000000"/>
                <w:szCs w:val="21"/>
              </w:rPr>
            </w:pPr>
            <w:r>
              <w:rPr>
                <w:rFonts w:hint="eastAsia" w:ascii="仿宋_GB2312" w:hAnsi="宋体" w:eastAsia="仿宋_GB2312" w:cs="仿宋_GB2312"/>
                <w:color w:val="000000"/>
                <w:szCs w:val="21"/>
              </w:rPr>
              <w:t>8</w:t>
            </w:r>
          </w:p>
        </w:tc>
        <w:tc>
          <w:tcPr>
            <w:tcW w:w="650" w:type="dxa"/>
            <w:tcBorders>
              <w:top w:val="nil"/>
              <w:left w:val="nil"/>
              <w:bottom w:val="single" w:color="000000" w:sz="8" w:space="0"/>
              <w:right w:val="single" w:color="000000" w:sz="8" w:space="0"/>
            </w:tcBorders>
            <w:shd w:val="clear" w:color="auto" w:fill="auto"/>
            <w:vAlign w:val="center"/>
          </w:tcPr>
          <w:p>
            <w:pPr>
              <w:jc w:val="left"/>
              <w:rPr>
                <w:rFonts w:ascii="仿宋_GB2312" w:hAnsi="宋体" w:eastAsia="仿宋_GB2312" w:cs="仿宋_GB2312"/>
                <w:color w:val="000000"/>
                <w:szCs w:val="21"/>
              </w:rPr>
            </w:pPr>
            <w:r>
              <w:rPr>
                <w:rFonts w:hint="eastAsia" w:ascii="仿宋_GB2312" w:hAnsi="宋体" w:eastAsia="仿宋_GB2312" w:cs="仿宋_GB2312"/>
                <w:color w:val="000000"/>
                <w:szCs w:val="21"/>
              </w:rPr>
              <w:t>8</w:t>
            </w:r>
          </w:p>
        </w:tc>
        <w:tc>
          <w:tcPr>
            <w:tcW w:w="1984" w:type="dxa"/>
            <w:gridSpan w:val="2"/>
            <w:tcBorders>
              <w:top w:val="nil"/>
              <w:left w:val="nil"/>
              <w:bottom w:val="single" w:color="000000" w:sz="8" w:space="0"/>
              <w:right w:val="single" w:color="000000" w:sz="8" w:space="0"/>
            </w:tcBorders>
            <w:shd w:val="clear" w:color="auto" w:fill="auto"/>
            <w:vAlign w:val="center"/>
          </w:tcPr>
          <w:p>
            <w:pPr>
              <w:jc w:val="left"/>
              <w:rPr>
                <w:rFonts w:ascii="仿宋_GB2312" w:hAnsi="宋体" w:eastAsia="仿宋_GB2312" w:cs="仿宋_GB2312"/>
                <w:color w:val="000000"/>
                <w:szCs w:val="21"/>
              </w:rPr>
            </w:pPr>
          </w:p>
        </w:tc>
      </w:tr>
      <w:tr>
        <w:tblPrEx>
          <w:tblLayout w:type="fixed"/>
          <w:tblCellMar>
            <w:top w:w="0" w:type="dxa"/>
            <w:left w:w="108" w:type="dxa"/>
            <w:bottom w:w="0" w:type="dxa"/>
            <w:right w:w="108" w:type="dxa"/>
          </w:tblCellMar>
        </w:tblPrEx>
        <w:trPr>
          <w:trHeight w:val="318" w:hRule="atLeast"/>
        </w:trPr>
        <w:tc>
          <w:tcPr>
            <w:tcW w:w="96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仿宋_GB2312" w:hAnsi="宋体" w:eastAsia="仿宋_GB2312" w:cs="仿宋_GB2312"/>
                <w:color w:val="000000"/>
                <w:szCs w:val="21"/>
              </w:rPr>
            </w:pPr>
          </w:p>
        </w:tc>
        <w:tc>
          <w:tcPr>
            <w:tcW w:w="960" w:type="dxa"/>
            <w:vMerge w:val="continue"/>
            <w:tcBorders>
              <w:top w:val="nil"/>
              <w:left w:val="nil"/>
              <w:bottom w:val="single" w:color="000000" w:sz="8" w:space="0"/>
              <w:right w:val="nil"/>
            </w:tcBorders>
            <w:shd w:val="clear" w:color="auto" w:fill="auto"/>
            <w:vAlign w:val="center"/>
          </w:tcPr>
          <w:p>
            <w:pPr>
              <w:jc w:val="center"/>
              <w:rPr>
                <w:rFonts w:ascii="仿宋_GB2312" w:hAnsi="宋体" w:eastAsia="仿宋_GB2312" w:cs="仿宋_GB2312"/>
                <w:color w:val="000000"/>
                <w:szCs w:val="21"/>
              </w:rPr>
            </w:pP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rPr>
              <w:t>数量指标</w:t>
            </w:r>
          </w:p>
        </w:tc>
        <w:tc>
          <w:tcPr>
            <w:tcW w:w="1920" w:type="dxa"/>
            <w:gridSpan w:val="2"/>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rPr>
              <w:t>管理制度要点</w:t>
            </w:r>
          </w:p>
        </w:tc>
        <w:tc>
          <w:tcPr>
            <w:tcW w:w="960" w:type="dxa"/>
            <w:tcBorders>
              <w:top w:val="nil"/>
              <w:left w:val="nil"/>
              <w:bottom w:val="single" w:color="000000" w:sz="8" w:space="0"/>
              <w:right w:val="single" w:color="000000" w:sz="8" w:space="0"/>
            </w:tcBorders>
            <w:shd w:val="clear" w:color="auto" w:fill="auto"/>
            <w:vAlign w:val="center"/>
          </w:tcPr>
          <w:p>
            <w:pPr>
              <w:jc w:val="left"/>
              <w:rPr>
                <w:rFonts w:ascii="仿宋_GB2312" w:hAnsi="宋体" w:eastAsia="仿宋_GB2312" w:cs="仿宋_GB2312"/>
                <w:color w:val="000000"/>
                <w:szCs w:val="21"/>
              </w:rPr>
            </w:pPr>
            <w:r>
              <w:rPr>
                <w:rFonts w:hint="eastAsia" w:ascii="仿宋_GB2312" w:hAnsi="宋体" w:eastAsia="仿宋_GB2312" w:cs="仿宋_GB2312"/>
                <w:color w:val="000000"/>
                <w:szCs w:val="21"/>
              </w:rPr>
              <w:t>3</w:t>
            </w:r>
          </w:p>
        </w:tc>
        <w:tc>
          <w:tcPr>
            <w:tcW w:w="960" w:type="dxa"/>
            <w:tcBorders>
              <w:top w:val="nil"/>
              <w:left w:val="nil"/>
              <w:bottom w:val="single" w:color="000000" w:sz="8" w:space="0"/>
              <w:right w:val="single" w:color="000000" w:sz="8" w:space="0"/>
            </w:tcBorders>
            <w:shd w:val="clear" w:color="auto" w:fill="auto"/>
            <w:vAlign w:val="center"/>
          </w:tcPr>
          <w:p>
            <w:pPr>
              <w:jc w:val="left"/>
              <w:rPr>
                <w:rFonts w:ascii="仿宋_GB2312" w:hAnsi="宋体" w:eastAsia="仿宋_GB2312" w:cs="仿宋_GB2312"/>
                <w:color w:val="000000"/>
                <w:szCs w:val="21"/>
              </w:rPr>
            </w:pPr>
            <w:r>
              <w:rPr>
                <w:rFonts w:hint="eastAsia" w:ascii="仿宋_GB2312" w:hAnsi="宋体" w:eastAsia="仿宋_GB2312" w:cs="仿宋_GB2312"/>
                <w:color w:val="000000"/>
                <w:szCs w:val="21"/>
              </w:rPr>
              <w:t>3</w:t>
            </w:r>
          </w:p>
        </w:tc>
        <w:tc>
          <w:tcPr>
            <w:tcW w:w="960" w:type="dxa"/>
            <w:tcBorders>
              <w:top w:val="nil"/>
              <w:left w:val="nil"/>
              <w:bottom w:val="single" w:color="000000" w:sz="8" w:space="0"/>
              <w:right w:val="single" w:color="000000" w:sz="8" w:space="0"/>
            </w:tcBorders>
            <w:shd w:val="clear" w:color="auto" w:fill="auto"/>
            <w:vAlign w:val="center"/>
          </w:tcPr>
          <w:p>
            <w:pPr>
              <w:jc w:val="left"/>
              <w:rPr>
                <w:rFonts w:ascii="仿宋_GB2312" w:hAnsi="宋体" w:eastAsia="仿宋_GB2312" w:cs="仿宋_GB2312"/>
                <w:color w:val="000000"/>
                <w:szCs w:val="21"/>
              </w:rPr>
            </w:pPr>
            <w:r>
              <w:rPr>
                <w:rFonts w:hint="eastAsia" w:ascii="仿宋_GB2312" w:hAnsi="宋体" w:eastAsia="仿宋_GB2312" w:cs="仿宋_GB2312"/>
                <w:color w:val="000000"/>
                <w:szCs w:val="21"/>
              </w:rPr>
              <w:t>8</w:t>
            </w:r>
          </w:p>
        </w:tc>
        <w:tc>
          <w:tcPr>
            <w:tcW w:w="650" w:type="dxa"/>
            <w:tcBorders>
              <w:top w:val="nil"/>
              <w:left w:val="nil"/>
              <w:bottom w:val="single" w:color="000000" w:sz="8" w:space="0"/>
              <w:right w:val="single" w:color="000000" w:sz="8" w:space="0"/>
            </w:tcBorders>
            <w:shd w:val="clear" w:color="auto" w:fill="auto"/>
            <w:vAlign w:val="center"/>
          </w:tcPr>
          <w:p>
            <w:pPr>
              <w:jc w:val="left"/>
              <w:rPr>
                <w:rFonts w:ascii="仿宋_GB2312" w:hAnsi="宋体" w:eastAsia="仿宋_GB2312" w:cs="仿宋_GB2312"/>
                <w:color w:val="000000"/>
                <w:szCs w:val="21"/>
              </w:rPr>
            </w:pPr>
            <w:r>
              <w:rPr>
                <w:rFonts w:hint="eastAsia" w:ascii="仿宋_GB2312" w:hAnsi="宋体" w:eastAsia="仿宋_GB2312" w:cs="仿宋_GB2312"/>
                <w:color w:val="000000"/>
                <w:szCs w:val="21"/>
              </w:rPr>
              <w:t>8</w:t>
            </w:r>
          </w:p>
        </w:tc>
        <w:tc>
          <w:tcPr>
            <w:tcW w:w="1984" w:type="dxa"/>
            <w:gridSpan w:val="2"/>
            <w:tcBorders>
              <w:top w:val="nil"/>
              <w:left w:val="nil"/>
              <w:bottom w:val="single" w:color="000000" w:sz="8" w:space="0"/>
              <w:right w:val="single" w:color="000000" w:sz="8" w:space="0"/>
            </w:tcBorders>
            <w:shd w:val="clear" w:color="auto" w:fill="auto"/>
            <w:vAlign w:val="center"/>
          </w:tcPr>
          <w:p>
            <w:pPr>
              <w:jc w:val="left"/>
              <w:rPr>
                <w:rFonts w:ascii="仿宋_GB2312" w:hAnsi="宋体" w:eastAsia="仿宋_GB2312" w:cs="仿宋_GB2312"/>
                <w:color w:val="000000"/>
                <w:szCs w:val="21"/>
              </w:rPr>
            </w:pPr>
          </w:p>
        </w:tc>
      </w:tr>
      <w:tr>
        <w:tblPrEx>
          <w:tblLayout w:type="fixed"/>
          <w:tblCellMar>
            <w:top w:w="0" w:type="dxa"/>
            <w:left w:w="108" w:type="dxa"/>
            <w:bottom w:w="0" w:type="dxa"/>
            <w:right w:w="108" w:type="dxa"/>
          </w:tblCellMar>
        </w:tblPrEx>
        <w:trPr>
          <w:trHeight w:val="318" w:hRule="atLeast"/>
        </w:trPr>
        <w:tc>
          <w:tcPr>
            <w:tcW w:w="96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仿宋_GB2312" w:hAnsi="宋体" w:eastAsia="仿宋_GB2312" w:cs="仿宋_GB2312"/>
                <w:color w:val="000000"/>
                <w:szCs w:val="21"/>
              </w:rPr>
            </w:pPr>
          </w:p>
        </w:tc>
        <w:tc>
          <w:tcPr>
            <w:tcW w:w="960" w:type="dxa"/>
            <w:vMerge w:val="continue"/>
            <w:tcBorders>
              <w:top w:val="nil"/>
              <w:left w:val="nil"/>
              <w:bottom w:val="single" w:color="000000" w:sz="8" w:space="0"/>
              <w:right w:val="nil"/>
            </w:tcBorders>
            <w:shd w:val="clear" w:color="auto" w:fill="auto"/>
            <w:vAlign w:val="center"/>
          </w:tcPr>
          <w:p>
            <w:pPr>
              <w:jc w:val="center"/>
              <w:rPr>
                <w:rFonts w:ascii="仿宋_GB2312" w:hAnsi="宋体" w:eastAsia="仿宋_GB2312" w:cs="仿宋_GB2312"/>
                <w:color w:val="000000"/>
                <w:szCs w:val="21"/>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Cs w:val="21"/>
              </w:rPr>
            </w:pPr>
          </w:p>
        </w:tc>
        <w:tc>
          <w:tcPr>
            <w:tcW w:w="1920" w:type="dxa"/>
            <w:gridSpan w:val="2"/>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仿宋_GB2312" w:hAnsi="宋体" w:eastAsia="仿宋_GB2312" w:cs="仿宋_GB2312"/>
                <w:color w:val="000000"/>
                <w:kern w:val="0"/>
                <w:szCs w:val="21"/>
              </w:rPr>
            </w:pPr>
            <w:r>
              <w:rPr>
                <w:rFonts w:hint="eastAsia" w:ascii="仿宋_GB2312" w:hAnsi="宋体" w:eastAsia="仿宋_GB2312" w:cs="仿宋_GB2312"/>
                <w:color w:val="000000"/>
                <w:kern w:val="0"/>
                <w:szCs w:val="21"/>
              </w:rPr>
              <w:t>资金使用要点</w:t>
            </w:r>
          </w:p>
        </w:tc>
        <w:tc>
          <w:tcPr>
            <w:tcW w:w="960" w:type="dxa"/>
            <w:tcBorders>
              <w:top w:val="nil"/>
              <w:left w:val="nil"/>
              <w:bottom w:val="single" w:color="000000" w:sz="8" w:space="0"/>
              <w:right w:val="single" w:color="000000" w:sz="8" w:space="0"/>
            </w:tcBorders>
            <w:shd w:val="clear" w:color="auto" w:fill="auto"/>
            <w:vAlign w:val="center"/>
          </w:tcPr>
          <w:p>
            <w:pPr>
              <w:jc w:val="left"/>
              <w:rPr>
                <w:rFonts w:ascii="仿宋_GB2312" w:hAnsi="宋体" w:eastAsia="仿宋_GB2312" w:cs="仿宋_GB2312"/>
                <w:color w:val="000000"/>
                <w:szCs w:val="21"/>
              </w:rPr>
            </w:pPr>
            <w:r>
              <w:rPr>
                <w:rFonts w:hint="eastAsia" w:ascii="仿宋_GB2312" w:hAnsi="宋体" w:eastAsia="仿宋_GB2312" w:cs="仿宋_GB2312"/>
                <w:color w:val="000000"/>
                <w:szCs w:val="21"/>
              </w:rPr>
              <w:t>8</w:t>
            </w:r>
          </w:p>
        </w:tc>
        <w:tc>
          <w:tcPr>
            <w:tcW w:w="960" w:type="dxa"/>
            <w:tcBorders>
              <w:top w:val="nil"/>
              <w:left w:val="nil"/>
              <w:bottom w:val="single" w:color="000000" w:sz="8" w:space="0"/>
              <w:right w:val="single" w:color="000000" w:sz="8" w:space="0"/>
            </w:tcBorders>
            <w:shd w:val="clear" w:color="auto" w:fill="auto"/>
            <w:vAlign w:val="center"/>
          </w:tcPr>
          <w:p>
            <w:pPr>
              <w:jc w:val="left"/>
              <w:rPr>
                <w:rFonts w:ascii="仿宋_GB2312" w:hAnsi="宋体" w:eastAsia="仿宋_GB2312" w:cs="仿宋_GB2312"/>
                <w:color w:val="000000"/>
                <w:szCs w:val="21"/>
              </w:rPr>
            </w:pPr>
            <w:r>
              <w:rPr>
                <w:rFonts w:hint="eastAsia" w:ascii="仿宋_GB2312" w:hAnsi="宋体" w:eastAsia="仿宋_GB2312" w:cs="仿宋_GB2312"/>
                <w:color w:val="000000"/>
                <w:szCs w:val="21"/>
              </w:rPr>
              <w:t>8</w:t>
            </w:r>
          </w:p>
        </w:tc>
        <w:tc>
          <w:tcPr>
            <w:tcW w:w="960" w:type="dxa"/>
            <w:tcBorders>
              <w:top w:val="nil"/>
              <w:left w:val="nil"/>
              <w:bottom w:val="single" w:color="000000" w:sz="8" w:space="0"/>
              <w:right w:val="single" w:color="000000" w:sz="8" w:space="0"/>
            </w:tcBorders>
            <w:shd w:val="clear" w:color="auto" w:fill="auto"/>
            <w:vAlign w:val="center"/>
          </w:tcPr>
          <w:p>
            <w:pPr>
              <w:jc w:val="left"/>
              <w:rPr>
                <w:rFonts w:ascii="仿宋_GB2312" w:hAnsi="宋体" w:eastAsia="仿宋_GB2312" w:cs="仿宋_GB2312"/>
                <w:color w:val="000000"/>
                <w:szCs w:val="21"/>
              </w:rPr>
            </w:pPr>
            <w:r>
              <w:rPr>
                <w:rFonts w:hint="eastAsia" w:ascii="仿宋_GB2312" w:hAnsi="宋体" w:eastAsia="仿宋_GB2312" w:cs="仿宋_GB2312"/>
                <w:color w:val="000000"/>
                <w:szCs w:val="21"/>
              </w:rPr>
              <w:t>8</w:t>
            </w:r>
          </w:p>
        </w:tc>
        <w:tc>
          <w:tcPr>
            <w:tcW w:w="650" w:type="dxa"/>
            <w:tcBorders>
              <w:top w:val="nil"/>
              <w:left w:val="nil"/>
              <w:bottom w:val="single" w:color="000000" w:sz="8" w:space="0"/>
              <w:right w:val="single" w:color="000000" w:sz="8" w:space="0"/>
            </w:tcBorders>
            <w:shd w:val="clear" w:color="auto" w:fill="auto"/>
            <w:vAlign w:val="center"/>
          </w:tcPr>
          <w:p>
            <w:pPr>
              <w:jc w:val="left"/>
              <w:rPr>
                <w:rFonts w:ascii="仿宋_GB2312" w:hAnsi="宋体" w:eastAsia="仿宋_GB2312" w:cs="仿宋_GB2312"/>
                <w:color w:val="000000"/>
                <w:szCs w:val="21"/>
              </w:rPr>
            </w:pPr>
            <w:r>
              <w:rPr>
                <w:rFonts w:hint="eastAsia" w:ascii="仿宋_GB2312" w:hAnsi="宋体" w:eastAsia="仿宋_GB2312" w:cs="仿宋_GB2312"/>
                <w:color w:val="000000"/>
                <w:szCs w:val="21"/>
              </w:rPr>
              <w:t>8</w:t>
            </w:r>
          </w:p>
        </w:tc>
        <w:tc>
          <w:tcPr>
            <w:tcW w:w="1984" w:type="dxa"/>
            <w:gridSpan w:val="2"/>
            <w:tcBorders>
              <w:top w:val="nil"/>
              <w:left w:val="nil"/>
              <w:bottom w:val="single" w:color="000000" w:sz="8" w:space="0"/>
              <w:right w:val="single" w:color="000000" w:sz="8" w:space="0"/>
            </w:tcBorders>
            <w:shd w:val="clear" w:color="auto" w:fill="auto"/>
            <w:vAlign w:val="center"/>
          </w:tcPr>
          <w:p>
            <w:pPr>
              <w:jc w:val="left"/>
              <w:rPr>
                <w:rFonts w:ascii="仿宋_GB2312" w:hAnsi="宋体" w:eastAsia="仿宋_GB2312" w:cs="仿宋_GB2312"/>
                <w:color w:val="000000"/>
                <w:szCs w:val="21"/>
              </w:rPr>
            </w:pPr>
          </w:p>
        </w:tc>
      </w:tr>
      <w:tr>
        <w:tblPrEx>
          <w:tblLayout w:type="fixed"/>
          <w:tblCellMar>
            <w:top w:w="0" w:type="dxa"/>
            <w:left w:w="108" w:type="dxa"/>
            <w:bottom w:w="0" w:type="dxa"/>
            <w:right w:w="108" w:type="dxa"/>
          </w:tblCellMar>
        </w:tblPrEx>
        <w:trPr>
          <w:trHeight w:val="318" w:hRule="atLeast"/>
        </w:trPr>
        <w:tc>
          <w:tcPr>
            <w:tcW w:w="96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仿宋_GB2312" w:hAnsi="宋体" w:eastAsia="仿宋_GB2312" w:cs="仿宋_GB2312"/>
                <w:color w:val="000000"/>
                <w:szCs w:val="21"/>
              </w:rPr>
            </w:pPr>
          </w:p>
        </w:tc>
        <w:tc>
          <w:tcPr>
            <w:tcW w:w="960" w:type="dxa"/>
            <w:vMerge w:val="continue"/>
            <w:tcBorders>
              <w:top w:val="nil"/>
              <w:left w:val="nil"/>
              <w:bottom w:val="single" w:color="000000" w:sz="8" w:space="0"/>
              <w:right w:val="nil"/>
            </w:tcBorders>
            <w:shd w:val="clear" w:color="auto" w:fill="auto"/>
            <w:vAlign w:val="center"/>
          </w:tcPr>
          <w:p>
            <w:pPr>
              <w:jc w:val="center"/>
              <w:rPr>
                <w:rFonts w:ascii="仿宋_GB2312" w:hAnsi="宋体" w:eastAsia="仿宋_GB2312" w:cs="仿宋_GB2312"/>
                <w:color w:val="000000"/>
                <w:szCs w:val="21"/>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Cs w:val="21"/>
              </w:rPr>
            </w:pPr>
          </w:p>
        </w:tc>
        <w:tc>
          <w:tcPr>
            <w:tcW w:w="1920" w:type="dxa"/>
            <w:gridSpan w:val="2"/>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rPr>
              <w:t>预决算公开要点</w:t>
            </w:r>
          </w:p>
        </w:tc>
        <w:tc>
          <w:tcPr>
            <w:tcW w:w="960" w:type="dxa"/>
            <w:tcBorders>
              <w:top w:val="nil"/>
              <w:left w:val="nil"/>
              <w:bottom w:val="single" w:color="000000" w:sz="8" w:space="0"/>
              <w:right w:val="single" w:color="000000" w:sz="8" w:space="0"/>
            </w:tcBorders>
            <w:shd w:val="clear" w:color="auto" w:fill="auto"/>
            <w:vAlign w:val="center"/>
          </w:tcPr>
          <w:p>
            <w:pPr>
              <w:jc w:val="left"/>
              <w:rPr>
                <w:rFonts w:ascii="仿宋_GB2312" w:hAnsi="宋体" w:eastAsia="仿宋_GB2312" w:cs="仿宋_GB2312"/>
                <w:color w:val="000000"/>
                <w:szCs w:val="21"/>
              </w:rPr>
            </w:pPr>
            <w:r>
              <w:rPr>
                <w:rFonts w:hint="eastAsia" w:ascii="仿宋_GB2312" w:hAnsi="宋体" w:eastAsia="仿宋_GB2312" w:cs="仿宋_GB2312"/>
                <w:color w:val="000000"/>
                <w:szCs w:val="21"/>
              </w:rPr>
              <w:t>4</w:t>
            </w:r>
          </w:p>
        </w:tc>
        <w:tc>
          <w:tcPr>
            <w:tcW w:w="960" w:type="dxa"/>
            <w:tcBorders>
              <w:top w:val="nil"/>
              <w:left w:val="nil"/>
              <w:bottom w:val="single" w:color="000000" w:sz="8" w:space="0"/>
              <w:right w:val="single" w:color="000000" w:sz="8" w:space="0"/>
            </w:tcBorders>
            <w:shd w:val="clear" w:color="auto" w:fill="auto"/>
            <w:vAlign w:val="center"/>
          </w:tcPr>
          <w:p>
            <w:pPr>
              <w:jc w:val="left"/>
              <w:rPr>
                <w:rFonts w:ascii="仿宋_GB2312" w:hAnsi="宋体" w:eastAsia="仿宋_GB2312" w:cs="仿宋_GB2312"/>
                <w:color w:val="000000"/>
                <w:szCs w:val="21"/>
              </w:rPr>
            </w:pPr>
            <w:r>
              <w:rPr>
                <w:rFonts w:hint="eastAsia" w:ascii="仿宋_GB2312" w:hAnsi="宋体" w:eastAsia="仿宋_GB2312" w:cs="仿宋_GB2312"/>
                <w:color w:val="000000"/>
                <w:szCs w:val="21"/>
              </w:rPr>
              <w:t>4</w:t>
            </w:r>
          </w:p>
        </w:tc>
        <w:tc>
          <w:tcPr>
            <w:tcW w:w="960" w:type="dxa"/>
            <w:tcBorders>
              <w:top w:val="nil"/>
              <w:left w:val="nil"/>
              <w:bottom w:val="single" w:color="000000" w:sz="8" w:space="0"/>
              <w:right w:val="single" w:color="000000" w:sz="8" w:space="0"/>
            </w:tcBorders>
            <w:shd w:val="clear" w:color="auto" w:fill="auto"/>
            <w:vAlign w:val="center"/>
          </w:tcPr>
          <w:p>
            <w:pPr>
              <w:jc w:val="left"/>
              <w:rPr>
                <w:rFonts w:ascii="仿宋_GB2312" w:hAnsi="宋体" w:eastAsia="仿宋_GB2312" w:cs="仿宋_GB2312"/>
                <w:color w:val="000000"/>
                <w:szCs w:val="21"/>
              </w:rPr>
            </w:pPr>
            <w:r>
              <w:rPr>
                <w:rFonts w:hint="eastAsia" w:ascii="仿宋_GB2312" w:hAnsi="宋体" w:eastAsia="仿宋_GB2312" w:cs="仿宋_GB2312"/>
                <w:color w:val="000000"/>
                <w:szCs w:val="21"/>
              </w:rPr>
              <w:t>8</w:t>
            </w:r>
          </w:p>
        </w:tc>
        <w:tc>
          <w:tcPr>
            <w:tcW w:w="650" w:type="dxa"/>
            <w:tcBorders>
              <w:top w:val="nil"/>
              <w:left w:val="nil"/>
              <w:bottom w:val="single" w:color="000000" w:sz="8" w:space="0"/>
              <w:right w:val="single" w:color="000000" w:sz="8" w:space="0"/>
            </w:tcBorders>
            <w:shd w:val="clear" w:color="auto" w:fill="auto"/>
            <w:vAlign w:val="center"/>
          </w:tcPr>
          <w:p>
            <w:pPr>
              <w:jc w:val="left"/>
              <w:rPr>
                <w:rFonts w:ascii="仿宋_GB2312" w:hAnsi="宋体" w:eastAsia="仿宋_GB2312" w:cs="仿宋_GB2312"/>
                <w:color w:val="000000"/>
                <w:szCs w:val="21"/>
              </w:rPr>
            </w:pPr>
            <w:r>
              <w:rPr>
                <w:rFonts w:hint="eastAsia" w:ascii="仿宋_GB2312" w:hAnsi="宋体" w:eastAsia="仿宋_GB2312" w:cs="仿宋_GB2312"/>
                <w:color w:val="000000"/>
                <w:szCs w:val="21"/>
              </w:rPr>
              <w:t>8</w:t>
            </w:r>
          </w:p>
        </w:tc>
        <w:tc>
          <w:tcPr>
            <w:tcW w:w="1984" w:type="dxa"/>
            <w:gridSpan w:val="2"/>
            <w:tcBorders>
              <w:top w:val="nil"/>
              <w:left w:val="nil"/>
              <w:bottom w:val="single" w:color="000000" w:sz="8" w:space="0"/>
              <w:right w:val="single" w:color="000000" w:sz="8" w:space="0"/>
            </w:tcBorders>
            <w:shd w:val="clear" w:color="auto" w:fill="auto"/>
            <w:vAlign w:val="center"/>
          </w:tcPr>
          <w:p>
            <w:pPr>
              <w:jc w:val="left"/>
              <w:rPr>
                <w:rFonts w:ascii="仿宋_GB2312" w:hAnsi="宋体" w:eastAsia="仿宋_GB2312" w:cs="仿宋_GB2312"/>
                <w:color w:val="000000"/>
                <w:szCs w:val="21"/>
              </w:rPr>
            </w:pPr>
          </w:p>
        </w:tc>
      </w:tr>
      <w:tr>
        <w:tblPrEx>
          <w:tblLayout w:type="fixed"/>
          <w:tblCellMar>
            <w:top w:w="0" w:type="dxa"/>
            <w:left w:w="108" w:type="dxa"/>
            <w:bottom w:w="0" w:type="dxa"/>
            <w:right w:w="108" w:type="dxa"/>
          </w:tblCellMar>
        </w:tblPrEx>
        <w:trPr>
          <w:trHeight w:val="591" w:hRule="atLeast"/>
        </w:trPr>
        <w:tc>
          <w:tcPr>
            <w:tcW w:w="96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仿宋_GB2312" w:hAnsi="宋体" w:eastAsia="仿宋_GB2312" w:cs="仿宋_GB2312"/>
                <w:color w:val="000000"/>
                <w:szCs w:val="21"/>
              </w:rPr>
            </w:pPr>
          </w:p>
        </w:tc>
        <w:tc>
          <w:tcPr>
            <w:tcW w:w="960" w:type="dxa"/>
            <w:vMerge w:val="restart"/>
            <w:tcBorders>
              <w:top w:val="nil"/>
              <w:left w:val="nil"/>
              <w:bottom w:val="single" w:color="000000" w:sz="8" w:space="0"/>
              <w:right w:val="nil"/>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rPr>
              <w:t>效益指标（30分）</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rPr>
              <w:t>经济效益指标</w:t>
            </w:r>
          </w:p>
        </w:tc>
        <w:tc>
          <w:tcPr>
            <w:tcW w:w="1920" w:type="dxa"/>
            <w:gridSpan w:val="2"/>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仿宋_GB2312" w:hAnsi="宋体" w:eastAsia="仿宋_GB2312" w:cs="仿宋_GB2312"/>
                <w:color w:val="000000"/>
                <w:szCs w:val="21"/>
              </w:rPr>
            </w:pPr>
            <w:r>
              <w:rPr>
                <w:rFonts w:hint="eastAsia" w:ascii="仿宋_GB2312" w:hAnsi="宋体" w:eastAsia="仿宋_GB2312" w:cs="仿宋_GB2312"/>
                <w:color w:val="000000"/>
                <w:szCs w:val="21"/>
              </w:rPr>
              <w:t>人均可支配收入</w:t>
            </w:r>
          </w:p>
        </w:tc>
        <w:tc>
          <w:tcPr>
            <w:tcW w:w="960" w:type="dxa"/>
            <w:tcBorders>
              <w:top w:val="nil"/>
              <w:left w:val="nil"/>
              <w:bottom w:val="single" w:color="000000" w:sz="8" w:space="0"/>
              <w:right w:val="single" w:color="000000" w:sz="8" w:space="0"/>
            </w:tcBorders>
            <w:shd w:val="clear" w:color="auto" w:fill="auto"/>
            <w:vAlign w:val="center"/>
          </w:tcPr>
          <w:p>
            <w:pPr>
              <w:jc w:val="left"/>
              <w:rPr>
                <w:rFonts w:ascii="仿宋_GB2312" w:hAnsi="宋体" w:eastAsia="仿宋_GB2312" w:cs="仿宋_GB2312"/>
                <w:color w:val="auto"/>
                <w:szCs w:val="21"/>
              </w:rPr>
            </w:pPr>
            <w:r>
              <w:rPr>
                <w:rFonts w:hint="eastAsia" w:ascii="仿宋_GB2312" w:hAnsi="宋体" w:eastAsia="仿宋_GB2312" w:cs="仿宋_GB2312"/>
                <w:color w:val="auto"/>
                <w:szCs w:val="21"/>
              </w:rPr>
              <w:t>1.84万元</w:t>
            </w:r>
          </w:p>
        </w:tc>
        <w:tc>
          <w:tcPr>
            <w:tcW w:w="960" w:type="dxa"/>
            <w:tcBorders>
              <w:top w:val="nil"/>
              <w:left w:val="nil"/>
              <w:bottom w:val="single" w:color="000000" w:sz="8" w:space="0"/>
              <w:right w:val="single" w:color="000000" w:sz="8" w:space="0"/>
            </w:tcBorders>
            <w:shd w:val="clear" w:color="auto" w:fill="auto"/>
            <w:vAlign w:val="center"/>
          </w:tcPr>
          <w:p>
            <w:pPr>
              <w:jc w:val="left"/>
              <w:rPr>
                <w:rFonts w:ascii="仿宋_GB2312" w:hAnsi="宋体" w:eastAsia="仿宋_GB2312" w:cs="仿宋_GB2312"/>
                <w:color w:val="auto"/>
                <w:szCs w:val="21"/>
              </w:rPr>
            </w:pPr>
            <w:r>
              <w:rPr>
                <w:rFonts w:hint="eastAsia" w:ascii="仿宋_GB2312" w:hAnsi="宋体" w:eastAsia="仿宋_GB2312" w:cs="仿宋_GB2312"/>
                <w:color w:val="auto"/>
                <w:szCs w:val="21"/>
              </w:rPr>
              <w:t>1.84万元</w:t>
            </w:r>
          </w:p>
        </w:tc>
        <w:tc>
          <w:tcPr>
            <w:tcW w:w="960" w:type="dxa"/>
            <w:tcBorders>
              <w:top w:val="nil"/>
              <w:left w:val="nil"/>
              <w:bottom w:val="single" w:color="000000" w:sz="8" w:space="0"/>
              <w:right w:val="single" w:color="000000" w:sz="8" w:space="0"/>
            </w:tcBorders>
            <w:shd w:val="clear" w:color="auto" w:fill="auto"/>
            <w:vAlign w:val="center"/>
          </w:tcPr>
          <w:p>
            <w:pPr>
              <w:jc w:val="left"/>
              <w:rPr>
                <w:rFonts w:ascii="仿宋_GB2312" w:hAnsi="宋体" w:eastAsia="仿宋_GB2312" w:cs="仿宋_GB2312"/>
                <w:color w:val="000000"/>
                <w:szCs w:val="21"/>
              </w:rPr>
            </w:pPr>
            <w:r>
              <w:rPr>
                <w:rFonts w:hint="eastAsia" w:ascii="仿宋_GB2312" w:hAnsi="宋体" w:eastAsia="仿宋_GB2312" w:cs="仿宋_GB2312"/>
                <w:color w:val="000000"/>
                <w:szCs w:val="21"/>
              </w:rPr>
              <w:t>8</w:t>
            </w:r>
          </w:p>
        </w:tc>
        <w:tc>
          <w:tcPr>
            <w:tcW w:w="650" w:type="dxa"/>
            <w:tcBorders>
              <w:top w:val="nil"/>
              <w:left w:val="nil"/>
              <w:bottom w:val="single" w:color="000000" w:sz="8" w:space="0"/>
              <w:right w:val="single" w:color="000000" w:sz="8" w:space="0"/>
            </w:tcBorders>
            <w:shd w:val="clear" w:color="auto" w:fill="auto"/>
            <w:vAlign w:val="center"/>
          </w:tcPr>
          <w:p>
            <w:pPr>
              <w:jc w:val="left"/>
              <w:rPr>
                <w:rFonts w:ascii="仿宋_GB2312" w:hAnsi="宋体" w:eastAsia="仿宋_GB2312" w:cs="仿宋_GB2312"/>
                <w:color w:val="000000"/>
                <w:szCs w:val="21"/>
              </w:rPr>
            </w:pPr>
            <w:r>
              <w:rPr>
                <w:rFonts w:hint="eastAsia" w:ascii="仿宋_GB2312" w:hAnsi="宋体" w:eastAsia="仿宋_GB2312" w:cs="仿宋_GB2312"/>
                <w:color w:val="000000"/>
                <w:szCs w:val="21"/>
              </w:rPr>
              <w:t>8</w:t>
            </w:r>
          </w:p>
        </w:tc>
        <w:tc>
          <w:tcPr>
            <w:tcW w:w="1984" w:type="dxa"/>
            <w:gridSpan w:val="2"/>
            <w:tcBorders>
              <w:top w:val="nil"/>
              <w:left w:val="nil"/>
              <w:bottom w:val="single" w:color="000000" w:sz="8" w:space="0"/>
              <w:right w:val="single" w:color="000000" w:sz="8" w:space="0"/>
            </w:tcBorders>
            <w:shd w:val="clear" w:color="auto" w:fill="auto"/>
            <w:vAlign w:val="center"/>
          </w:tcPr>
          <w:p>
            <w:pPr>
              <w:jc w:val="left"/>
              <w:rPr>
                <w:rFonts w:ascii="仿宋_GB2312" w:hAnsi="宋体" w:eastAsia="仿宋_GB2312" w:cs="仿宋_GB2312"/>
                <w:color w:val="000000"/>
                <w:szCs w:val="21"/>
                <w:highlight w:val="yellow"/>
              </w:rPr>
            </w:pPr>
          </w:p>
        </w:tc>
      </w:tr>
      <w:tr>
        <w:tblPrEx>
          <w:tblLayout w:type="fixed"/>
          <w:tblCellMar>
            <w:top w:w="0" w:type="dxa"/>
            <w:left w:w="108" w:type="dxa"/>
            <w:bottom w:w="0" w:type="dxa"/>
            <w:right w:w="108" w:type="dxa"/>
          </w:tblCellMar>
        </w:tblPrEx>
        <w:trPr>
          <w:trHeight w:val="318" w:hRule="atLeast"/>
        </w:trPr>
        <w:tc>
          <w:tcPr>
            <w:tcW w:w="96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仿宋_GB2312" w:hAnsi="宋体" w:eastAsia="仿宋_GB2312" w:cs="仿宋_GB2312"/>
                <w:color w:val="000000"/>
                <w:szCs w:val="21"/>
              </w:rPr>
            </w:pPr>
          </w:p>
        </w:tc>
        <w:tc>
          <w:tcPr>
            <w:tcW w:w="960" w:type="dxa"/>
            <w:vMerge w:val="continue"/>
            <w:tcBorders>
              <w:top w:val="nil"/>
              <w:left w:val="nil"/>
              <w:bottom w:val="single" w:color="000000" w:sz="8" w:space="0"/>
              <w:right w:val="nil"/>
            </w:tcBorders>
            <w:shd w:val="clear" w:color="auto" w:fill="auto"/>
            <w:vAlign w:val="center"/>
          </w:tcPr>
          <w:p>
            <w:pPr>
              <w:jc w:val="center"/>
              <w:rPr>
                <w:rFonts w:ascii="仿宋_GB2312" w:hAnsi="宋体" w:eastAsia="仿宋_GB2312" w:cs="仿宋_GB2312"/>
                <w:color w:val="000000"/>
                <w:szCs w:val="21"/>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Cs w:val="21"/>
              </w:rPr>
            </w:pPr>
          </w:p>
        </w:tc>
        <w:tc>
          <w:tcPr>
            <w:tcW w:w="1920" w:type="dxa"/>
            <w:gridSpan w:val="2"/>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rPr>
              <w:t>农垦企业国民生产总值</w:t>
            </w:r>
          </w:p>
        </w:tc>
        <w:tc>
          <w:tcPr>
            <w:tcW w:w="960" w:type="dxa"/>
            <w:tcBorders>
              <w:top w:val="nil"/>
              <w:left w:val="nil"/>
              <w:bottom w:val="single" w:color="000000" w:sz="8" w:space="0"/>
              <w:right w:val="single" w:color="000000" w:sz="8" w:space="0"/>
            </w:tcBorders>
            <w:shd w:val="clear" w:color="auto" w:fill="auto"/>
            <w:vAlign w:val="center"/>
          </w:tcPr>
          <w:p>
            <w:pPr>
              <w:jc w:val="left"/>
              <w:rPr>
                <w:rFonts w:ascii="仿宋_GB2312" w:hAnsi="宋体" w:eastAsia="仿宋_GB2312" w:cs="仿宋_GB2312"/>
                <w:color w:val="auto"/>
                <w:szCs w:val="21"/>
              </w:rPr>
            </w:pPr>
            <w:r>
              <w:rPr>
                <w:rFonts w:hint="eastAsia" w:ascii="仿宋_GB2312" w:hAnsi="宋体" w:eastAsia="仿宋_GB2312" w:cs="仿宋_GB2312"/>
                <w:color w:val="auto"/>
                <w:szCs w:val="21"/>
              </w:rPr>
              <w:t>336.03亿元</w:t>
            </w:r>
          </w:p>
        </w:tc>
        <w:tc>
          <w:tcPr>
            <w:tcW w:w="960" w:type="dxa"/>
            <w:tcBorders>
              <w:top w:val="nil"/>
              <w:left w:val="nil"/>
              <w:bottom w:val="single" w:color="000000" w:sz="8" w:space="0"/>
              <w:right w:val="single" w:color="000000" w:sz="8" w:space="0"/>
            </w:tcBorders>
            <w:shd w:val="clear" w:color="auto" w:fill="auto"/>
            <w:vAlign w:val="center"/>
          </w:tcPr>
          <w:p>
            <w:pPr>
              <w:jc w:val="left"/>
              <w:rPr>
                <w:rFonts w:ascii="仿宋_GB2312" w:hAnsi="宋体" w:eastAsia="仿宋_GB2312" w:cs="仿宋_GB2312"/>
                <w:color w:val="auto"/>
                <w:szCs w:val="21"/>
              </w:rPr>
            </w:pPr>
            <w:r>
              <w:rPr>
                <w:rFonts w:hint="eastAsia" w:ascii="仿宋_GB2312" w:hAnsi="宋体" w:eastAsia="仿宋_GB2312" w:cs="仿宋_GB2312"/>
                <w:color w:val="auto"/>
                <w:szCs w:val="21"/>
              </w:rPr>
              <w:t>349.53亿元</w:t>
            </w:r>
          </w:p>
        </w:tc>
        <w:tc>
          <w:tcPr>
            <w:tcW w:w="960" w:type="dxa"/>
            <w:tcBorders>
              <w:top w:val="nil"/>
              <w:left w:val="nil"/>
              <w:bottom w:val="single" w:color="000000" w:sz="8" w:space="0"/>
              <w:right w:val="single" w:color="000000" w:sz="8" w:space="0"/>
            </w:tcBorders>
            <w:shd w:val="clear" w:color="auto" w:fill="auto"/>
            <w:vAlign w:val="center"/>
          </w:tcPr>
          <w:p>
            <w:pPr>
              <w:jc w:val="left"/>
              <w:rPr>
                <w:rFonts w:ascii="仿宋_GB2312" w:hAnsi="宋体" w:eastAsia="仿宋_GB2312" w:cs="仿宋_GB2312"/>
                <w:color w:val="000000"/>
                <w:szCs w:val="21"/>
              </w:rPr>
            </w:pPr>
            <w:r>
              <w:rPr>
                <w:rFonts w:hint="eastAsia" w:ascii="仿宋_GB2312" w:hAnsi="宋体" w:eastAsia="仿宋_GB2312" w:cs="仿宋_GB2312"/>
                <w:color w:val="000000"/>
                <w:szCs w:val="21"/>
              </w:rPr>
              <w:t>8</w:t>
            </w:r>
          </w:p>
        </w:tc>
        <w:tc>
          <w:tcPr>
            <w:tcW w:w="650" w:type="dxa"/>
            <w:tcBorders>
              <w:top w:val="nil"/>
              <w:left w:val="nil"/>
              <w:bottom w:val="single" w:color="000000" w:sz="8" w:space="0"/>
              <w:right w:val="single" w:color="000000" w:sz="8" w:space="0"/>
            </w:tcBorders>
            <w:shd w:val="clear" w:color="auto" w:fill="auto"/>
            <w:vAlign w:val="center"/>
          </w:tcPr>
          <w:p>
            <w:pPr>
              <w:jc w:val="left"/>
              <w:rPr>
                <w:rFonts w:ascii="仿宋_GB2312" w:hAnsi="宋体" w:eastAsia="仿宋_GB2312" w:cs="仿宋_GB2312"/>
                <w:color w:val="000000"/>
                <w:szCs w:val="21"/>
              </w:rPr>
            </w:pPr>
            <w:r>
              <w:rPr>
                <w:rFonts w:hint="eastAsia" w:ascii="仿宋_GB2312" w:hAnsi="宋体" w:eastAsia="仿宋_GB2312" w:cs="仿宋_GB2312"/>
                <w:color w:val="000000"/>
                <w:szCs w:val="21"/>
              </w:rPr>
              <w:t>8</w:t>
            </w:r>
          </w:p>
        </w:tc>
        <w:tc>
          <w:tcPr>
            <w:tcW w:w="1984" w:type="dxa"/>
            <w:gridSpan w:val="2"/>
            <w:tcBorders>
              <w:top w:val="nil"/>
              <w:left w:val="nil"/>
              <w:bottom w:val="single" w:color="000000" w:sz="8" w:space="0"/>
              <w:right w:val="single" w:color="000000" w:sz="8" w:space="0"/>
            </w:tcBorders>
            <w:shd w:val="clear" w:color="auto" w:fill="auto"/>
            <w:vAlign w:val="center"/>
          </w:tcPr>
          <w:p>
            <w:pPr>
              <w:jc w:val="left"/>
              <w:rPr>
                <w:rFonts w:ascii="仿宋_GB2312" w:hAnsi="宋体" w:eastAsia="仿宋_GB2312" w:cs="仿宋_GB2312"/>
                <w:color w:val="000000"/>
                <w:szCs w:val="21"/>
                <w:highlight w:val="yellow"/>
              </w:rPr>
            </w:pPr>
          </w:p>
        </w:tc>
      </w:tr>
      <w:tr>
        <w:tblPrEx>
          <w:tblLayout w:type="fixed"/>
          <w:tblCellMar>
            <w:top w:w="0" w:type="dxa"/>
            <w:left w:w="108" w:type="dxa"/>
            <w:bottom w:w="0" w:type="dxa"/>
            <w:right w:w="108" w:type="dxa"/>
          </w:tblCellMar>
        </w:tblPrEx>
        <w:trPr>
          <w:trHeight w:val="318" w:hRule="atLeast"/>
        </w:trPr>
        <w:tc>
          <w:tcPr>
            <w:tcW w:w="96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仿宋_GB2312" w:hAnsi="宋体" w:eastAsia="仿宋_GB2312" w:cs="仿宋_GB2312"/>
                <w:color w:val="000000"/>
                <w:szCs w:val="21"/>
              </w:rPr>
            </w:pPr>
          </w:p>
        </w:tc>
        <w:tc>
          <w:tcPr>
            <w:tcW w:w="960" w:type="dxa"/>
            <w:vMerge w:val="continue"/>
            <w:tcBorders>
              <w:top w:val="nil"/>
              <w:left w:val="nil"/>
              <w:bottom w:val="single" w:color="000000" w:sz="8" w:space="0"/>
              <w:right w:val="nil"/>
            </w:tcBorders>
            <w:shd w:val="clear" w:color="auto" w:fill="auto"/>
            <w:vAlign w:val="center"/>
          </w:tcPr>
          <w:p>
            <w:pPr>
              <w:jc w:val="center"/>
              <w:rPr>
                <w:rFonts w:ascii="仿宋_GB2312" w:hAnsi="宋体" w:eastAsia="仿宋_GB2312" w:cs="仿宋_GB2312"/>
                <w:color w:val="000000"/>
                <w:szCs w:val="21"/>
              </w:rPr>
            </w:pP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rPr>
              <w:t>可持续影响指标</w:t>
            </w:r>
          </w:p>
        </w:tc>
        <w:tc>
          <w:tcPr>
            <w:tcW w:w="1920" w:type="dxa"/>
            <w:gridSpan w:val="2"/>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rPr>
              <w:t>农垦品牌化建设</w:t>
            </w:r>
          </w:p>
        </w:tc>
        <w:tc>
          <w:tcPr>
            <w:tcW w:w="960" w:type="dxa"/>
            <w:tcBorders>
              <w:top w:val="nil"/>
              <w:left w:val="nil"/>
              <w:bottom w:val="single" w:color="000000" w:sz="8" w:space="0"/>
              <w:right w:val="single" w:color="000000" w:sz="8" w:space="0"/>
            </w:tcBorders>
            <w:shd w:val="clear" w:color="auto" w:fill="auto"/>
            <w:vAlign w:val="center"/>
          </w:tcPr>
          <w:p>
            <w:pPr>
              <w:jc w:val="left"/>
              <w:rPr>
                <w:rFonts w:ascii="仿宋_GB2312" w:hAnsi="宋体" w:eastAsia="仿宋_GB2312" w:cs="仿宋_GB2312"/>
                <w:color w:val="000000"/>
                <w:szCs w:val="21"/>
              </w:rPr>
            </w:pPr>
            <w:r>
              <w:rPr>
                <w:rFonts w:hint="eastAsia" w:ascii="仿宋_GB2312" w:hAnsi="宋体" w:eastAsia="仿宋_GB2312" w:cs="仿宋_GB2312"/>
                <w:color w:val="000000"/>
                <w:szCs w:val="21"/>
              </w:rPr>
              <w:t>逐步强化</w:t>
            </w:r>
          </w:p>
        </w:tc>
        <w:tc>
          <w:tcPr>
            <w:tcW w:w="960" w:type="dxa"/>
            <w:tcBorders>
              <w:top w:val="nil"/>
              <w:left w:val="nil"/>
              <w:bottom w:val="single" w:color="000000" w:sz="8" w:space="0"/>
              <w:right w:val="single" w:color="000000" w:sz="8" w:space="0"/>
            </w:tcBorders>
            <w:shd w:val="clear" w:color="auto" w:fill="auto"/>
            <w:vAlign w:val="center"/>
          </w:tcPr>
          <w:p>
            <w:pPr>
              <w:jc w:val="left"/>
              <w:rPr>
                <w:rFonts w:ascii="仿宋_GB2312" w:hAnsi="宋体" w:eastAsia="仿宋_GB2312" w:cs="仿宋_GB2312"/>
                <w:color w:val="000000"/>
                <w:szCs w:val="21"/>
              </w:rPr>
            </w:pPr>
            <w:r>
              <w:rPr>
                <w:rFonts w:hint="eastAsia" w:ascii="仿宋_GB2312" w:hAnsi="宋体" w:eastAsia="仿宋_GB2312" w:cs="仿宋_GB2312"/>
                <w:color w:val="000000"/>
                <w:szCs w:val="21"/>
              </w:rPr>
              <w:t>逐步强化</w:t>
            </w:r>
          </w:p>
        </w:tc>
        <w:tc>
          <w:tcPr>
            <w:tcW w:w="960" w:type="dxa"/>
            <w:tcBorders>
              <w:top w:val="nil"/>
              <w:left w:val="nil"/>
              <w:bottom w:val="single" w:color="000000" w:sz="8" w:space="0"/>
              <w:right w:val="single" w:color="000000" w:sz="8" w:space="0"/>
            </w:tcBorders>
            <w:shd w:val="clear" w:color="auto" w:fill="auto"/>
            <w:vAlign w:val="center"/>
          </w:tcPr>
          <w:p>
            <w:pPr>
              <w:jc w:val="left"/>
              <w:rPr>
                <w:rFonts w:ascii="仿宋_GB2312" w:hAnsi="宋体" w:eastAsia="仿宋_GB2312" w:cs="仿宋_GB2312"/>
                <w:color w:val="000000"/>
                <w:szCs w:val="21"/>
              </w:rPr>
            </w:pPr>
            <w:r>
              <w:rPr>
                <w:rFonts w:hint="eastAsia" w:ascii="仿宋_GB2312" w:hAnsi="宋体" w:eastAsia="仿宋_GB2312" w:cs="仿宋_GB2312"/>
                <w:color w:val="000000"/>
                <w:szCs w:val="21"/>
              </w:rPr>
              <w:t>6</w:t>
            </w:r>
          </w:p>
        </w:tc>
        <w:tc>
          <w:tcPr>
            <w:tcW w:w="650" w:type="dxa"/>
            <w:tcBorders>
              <w:top w:val="nil"/>
              <w:left w:val="nil"/>
              <w:bottom w:val="single" w:color="000000" w:sz="8" w:space="0"/>
              <w:right w:val="single" w:color="000000" w:sz="8" w:space="0"/>
            </w:tcBorders>
            <w:shd w:val="clear" w:color="auto" w:fill="auto"/>
            <w:vAlign w:val="center"/>
          </w:tcPr>
          <w:p>
            <w:pPr>
              <w:jc w:val="left"/>
              <w:rPr>
                <w:rFonts w:ascii="仿宋_GB2312" w:hAnsi="宋体" w:eastAsia="仿宋_GB2312" w:cs="仿宋_GB2312"/>
                <w:color w:val="000000"/>
                <w:szCs w:val="21"/>
              </w:rPr>
            </w:pPr>
            <w:r>
              <w:rPr>
                <w:rFonts w:hint="eastAsia" w:ascii="仿宋_GB2312" w:hAnsi="宋体" w:eastAsia="仿宋_GB2312" w:cs="仿宋_GB2312"/>
                <w:color w:val="000000"/>
                <w:szCs w:val="21"/>
              </w:rPr>
              <w:t>5</w:t>
            </w:r>
          </w:p>
        </w:tc>
        <w:tc>
          <w:tcPr>
            <w:tcW w:w="1984" w:type="dxa"/>
            <w:gridSpan w:val="2"/>
            <w:tcBorders>
              <w:top w:val="nil"/>
              <w:left w:val="nil"/>
              <w:bottom w:val="single" w:color="000000" w:sz="8" w:space="0"/>
              <w:right w:val="single" w:color="000000" w:sz="8" w:space="0"/>
            </w:tcBorders>
            <w:shd w:val="clear" w:color="auto" w:fill="auto"/>
            <w:vAlign w:val="center"/>
          </w:tcPr>
          <w:p>
            <w:pPr>
              <w:jc w:val="left"/>
              <w:rPr>
                <w:rFonts w:ascii="仿宋_GB2312" w:hAnsi="宋体" w:eastAsia="仿宋_GB2312" w:cs="仿宋_GB2312"/>
                <w:color w:val="000000"/>
                <w:szCs w:val="21"/>
              </w:rPr>
            </w:pPr>
          </w:p>
        </w:tc>
      </w:tr>
      <w:tr>
        <w:tblPrEx>
          <w:tblLayout w:type="fixed"/>
          <w:tblCellMar>
            <w:top w:w="0" w:type="dxa"/>
            <w:left w:w="108" w:type="dxa"/>
            <w:bottom w:w="0" w:type="dxa"/>
            <w:right w:w="108" w:type="dxa"/>
          </w:tblCellMar>
        </w:tblPrEx>
        <w:trPr>
          <w:trHeight w:val="318" w:hRule="atLeast"/>
        </w:trPr>
        <w:tc>
          <w:tcPr>
            <w:tcW w:w="96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仿宋_GB2312" w:hAnsi="宋体" w:eastAsia="仿宋_GB2312" w:cs="仿宋_GB2312"/>
                <w:color w:val="000000"/>
                <w:szCs w:val="21"/>
              </w:rPr>
            </w:pPr>
          </w:p>
        </w:tc>
        <w:tc>
          <w:tcPr>
            <w:tcW w:w="960" w:type="dxa"/>
            <w:vMerge w:val="continue"/>
            <w:tcBorders>
              <w:top w:val="nil"/>
              <w:left w:val="nil"/>
              <w:bottom w:val="single" w:color="000000" w:sz="8" w:space="0"/>
              <w:right w:val="nil"/>
            </w:tcBorders>
            <w:shd w:val="clear" w:color="auto" w:fill="auto"/>
            <w:vAlign w:val="center"/>
          </w:tcPr>
          <w:p>
            <w:pPr>
              <w:jc w:val="center"/>
              <w:rPr>
                <w:rFonts w:ascii="仿宋_GB2312" w:hAnsi="宋体" w:eastAsia="仿宋_GB2312" w:cs="仿宋_GB2312"/>
                <w:color w:val="000000"/>
                <w:szCs w:val="21"/>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Cs w:val="21"/>
              </w:rPr>
            </w:pPr>
          </w:p>
        </w:tc>
        <w:tc>
          <w:tcPr>
            <w:tcW w:w="1920" w:type="dxa"/>
            <w:gridSpan w:val="2"/>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rPr>
              <w:t>垦区集团化建设</w:t>
            </w:r>
          </w:p>
        </w:tc>
        <w:tc>
          <w:tcPr>
            <w:tcW w:w="960" w:type="dxa"/>
            <w:tcBorders>
              <w:top w:val="nil"/>
              <w:left w:val="nil"/>
              <w:bottom w:val="single" w:color="000000" w:sz="8" w:space="0"/>
              <w:right w:val="single" w:color="000000" w:sz="8" w:space="0"/>
            </w:tcBorders>
            <w:shd w:val="clear" w:color="auto" w:fill="auto"/>
            <w:vAlign w:val="center"/>
          </w:tcPr>
          <w:p>
            <w:pPr>
              <w:jc w:val="left"/>
              <w:rPr>
                <w:rFonts w:ascii="仿宋_GB2312" w:hAnsi="宋体" w:eastAsia="仿宋_GB2312" w:cs="仿宋_GB2312"/>
                <w:color w:val="000000"/>
                <w:szCs w:val="21"/>
              </w:rPr>
            </w:pPr>
            <w:r>
              <w:rPr>
                <w:rFonts w:hint="eastAsia" w:ascii="仿宋_GB2312" w:hAnsi="宋体" w:eastAsia="仿宋_GB2312" w:cs="仿宋_GB2312"/>
                <w:color w:val="000000"/>
                <w:szCs w:val="21"/>
              </w:rPr>
              <w:t>逐步扩大</w:t>
            </w:r>
          </w:p>
        </w:tc>
        <w:tc>
          <w:tcPr>
            <w:tcW w:w="960" w:type="dxa"/>
            <w:tcBorders>
              <w:top w:val="nil"/>
              <w:left w:val="nil"/>
              <w:bottom w:val="single" w:color="000000" w:sz="8" w:space="0"/>
              <w:right w:val="single" w:color="000000" w:sz="8" w:space="0"/>
            </w:tcBorders>
            <w:shd w:val="clear" w:color="auto" w:fill="auto"/>
            <w:vAlign w:val="center"/>
          </w:tcPr>
          <w:p>
            <w:pPr>
              <w:jc w:val="left"/>
              <w:rPr>
                <w:rFonts w:ascii="仿宋_GB2312" w:hAnsi="宋体" w:eastAsia="仿宋_GB2312" w:cs="仿宋_GB2312"/>
                <w:color w:val="000000"/>
                <w:szCs w:val="21"/>
              </w:rPr>
            </w:pPr>
            <w:r>
              <w:rPr>
                <w:rFonts w:hint="eastAsia" w:ascii="仿宋_GB2312" w:hAnsi="宋体" w:eastAsia="仿宋_GB2312" w:cs="仿宋_GB2312"/>
                <w:color w:val="000000"/>
                <w:szCs w:val="21"/>
              </w:rPr>
              <w:t>逐步扩大</w:t>
            </w:r>
          </w:p>
        </w:tc>
        <w:tc>
          <w:tcPr>
            <w:tcW w:w="960" w:type="dxa"/>
            <w:tcBorders>
              <w:top w:val="nil"/>
              <w:left w:val="nil"/>
              <w:bottom w:val="single" w:color="000000" w:sz="8" w:space="0"/>
              <w:right w:val="single" w:color="000000" w:sz="8" w:space="0"/>
            </w:tcBorders>
            <w:shd w:val="clear" w:color="auto" w:fill="auto"/>
            <w:vAlign w:val="center"/>
          </w:tcPr>
          <w:p>
            <w:pPr>
              <w:jc w:val="left"/>
              <w:rPr>
                <w:rFonts w:ascii="仿宋_GB2312" w:hAnsi="宋体" w:eastAsia="仿宋_GB2312" w:cs="仿宋_GB2312"/>
                <w:color w:val="000000"/>
                <w:szCs w:val="21"/>
              </w:rPr>
            </w:pPr>
            <w:r>
              <w:rPr>
                <w:rFonts w:hint="eastAsia" w:ascii="仿宋_GB2312" w:hAnsi="宋体" w:eastAsia="仿宋_GB2312" w:cs="仿宋_GB2312"/>
                <w:color w:val="000000"/>
                <w:szCs w:val="21"/>
              </w:rPr>
              <w:t>8</w:t>
            </w:r>
          </w:p>
        </w:tc>
        <w:tc>
          <w:tcPr>
            <w:tcW w:w="650" w:type="dxa"/>
            <w:tcBorders>
              <w:top w:val="nil"/>
              <w:left w:val="nil"/>
              <w:bottom w:val="single" w:color="000000" w:sz="8" w:space="0"/>
              <w:right w:val="single" w:color="000000" w:sz="8" w:space="0"/>
            </w:tcBorders>
            <w:shd w:val="clear" w:color="auto" w:fill="auto"/>
            <w:vAlign w:val="center"/>
          </w:tcPr>
          <w:p>
            <w:pPr>
              <w:jc w:val="left"/>
              <w:rPr>
                <w:rFonts w:ascii="仿宋_GB2312" w:hAnsi="宋体" w:eastAsia="仿宋_GB2312" w:cs="仿宋_GB2312"/>
                <w:color w:val="000000"/>
                <w:szCs w:val="21"/>
              </w:rPr>
            </w:pPr>
            <w:r>
              <w:rPr>
                <w:rFonts w:hint="eastAsia" w:ascii="仿宋_GB2312" w:hAnsi="宋体" w:eastAsia="仿宋_GB2312" w:cs="仿宋_GB2312"/>
                <w:color w:val="000000"/>
                <w:szCs w:val="21"/>
              </w:rPr>
              <w:t>7</w:t>
            </w:r>
          </w:p>
        </w:tc>
        <w:tc>
          <w:tcPr>
            <w:tcW w:w="1984" w:type="dxa"/>
            <w:gridSpan w:val="2"/>
            <w:tcBorders>
              <w:top w:val="nil"/>
              <w:left w:val="nil"/>
              <w:bottom w:val="single" w:color="000000" w:sz="8" w:space="0"/>
              <w:right w:val="single" w:color="000000" w:sz="8" w:space="0"/>
            </w:tcBorders>
            <w:shd w:val="clear" w:color="auto" w:fill="auto"/>
            <w:vAlign w:val="center"/>
          </w:tcPr>
          <w:p>
            <w:pPr>
              <w:jc w:val="left"/>
              <w:rPr>
                <w:rFonts w:ascii="仿宋_GB2312" w:hAnsi="宋体" w:eastAsia="仿宋_GB2312" w:cs="仿宋_GB2312"/>
                <w:color w:val="000000"/>
                <w:szCs w:val="21"/>
              </w:rPr>
            </w:pPr>
            <w:r>
              <w:rPr>
                <w:rFonts w:hint="eastAsia" w:ascii="仿宋_GB2312" w:hAnsi="宋体" w:eastAsia="仿宋_GB2312" w:cs="仿宋_GB2312"/>
                <w:color w:val="000000"/>
                <w:szCs w:val="21"/>
              </w:rPr>
              <w:t>有部分农场受地域环境及经济条件的影响较大</w:t>
            </w:r>
          </w:p>
        </w:tc>
      </w:tr>
      <w:tr>
        <w:tblPrEx>
          <w:tblLayout w:type="fixed"/>
          <w:tblCellMar>
            <w:top w:w="0" w:type="dxa"/>
            <w:left w:w="108" w:type="dxa"/>
            <w:bottom w:w="0" w:type="dxa"/>
            <w:right w:w="108" w:type="dxa"/>
          </w:tblCellMar>
        </w:tblPrEx>
        <w:trPr>
          <w:trHeight w:val="318" w:hRule="atLeast"/>
        </w:trPr>
        <w:tc>
          <w:tcPr>
            <w:tcW w:w="96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仿宋_GB2312" w:hAnsi="宋体" w:eastAsia="仿宋_GB2312" w:cs="仿宋_GB2312"/>
                <w:color w:val="000000"/>
                <w:szCs w:val="21"/>
              </w:rPr>
            </w:pPr>
          </w:p>
        </w:tc>
        <w:tc>
          <w:tcPr>
            <w:tcW w:w="960" w:type="dxa"/>
            <w:vMerge w:val="restart"/>
            <w:tcBorders>
              <w:top w:val="nil"/>
              <w:left w:val="nil"/>
              <w:bottom w:val="single" w:color="000000" w:sz="8" w:space="0"/>
              <w:right w:val="nil"/>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rPr>
              <w:t>满意度指标（10分）</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rPr>
              <w:t>服务对象满意度指标</w:t>
            </w:r>
          </w:p>
        </w:tc>
        <w:tc>
          <w:tcPr>
            <w:tcW w:w="1920" w:type="dxa"/>
            <w:gridSpan w:val="2"/>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rPr>
              <w:t>农垦企业满意度</w:t>
            </w:r>
          </w:p>
        </w:tc>
        <w:tc>
          <w:tcPr>
            <w:tcW w:w="960" w:type="dxa"/>
            <w:tcBorders>
              <w:top w:val="nil"/>
              <w:left w:val="nil"/>
              <w:bottom w:val="single" w:color="000000" w:sz="8" w:space="0"/>
              <w:right w:val="single" w:color="000000" w:sz="8" w:space="0"/>
            </w:tcBorders>
            <w:shd w:val="clear" w:color="auto" w:fill="auto"/>
            <w:vAlign w:val="center"/>
          </w:tcPr>
          <w:p>
            <w:pPr>
              <w:jc w:val="left"/>
              <w:rPr>
                <w:rFonts w:ascii="仿宋_GB2312" w:hAnsi="宋体" w:eastAsia="仿宋_GB2312" w:cs="仿宋_GB2312"/>
                <w:color w:val="000000"/>
                <w:szCs w:val="21"/>
              </w:rPr>
            </w:pPr>
            <w:r>
              <w:rPr>
                <w:rFonts w:hint="eastAsia" w:ascii="仿宋_GB2312" w:hAnsi="宋体" w:eastAsia="仿宋_GB2312" w:cs="仿宋_GB2312"/>
                <w:color w:val="000000"/>
                <w:szCs w:val="21"/>
              </w:rPr>
              <w:t>90%以上</w:t>
            </w:r>
          </w:p>
        </w:tc>
        <w:tc>
          <w:tcPr>
            <w:tcW w:w="960" w:type="dxa"/>
            <w:tcBorders>
              <w:top w:val="nil"/>
              <w:left w:val="nil"/>
              <w:bottom w:val="single" w:color="000000" w:sz="8" w:space="0"/>
              <w:right w:val="single" w:color="000000" w:sz="8" w:space="0"/>
            </w:tcBorders>
            <w:shd w:val="clear" w:color="auto" w:fill="auto"/>
            <w:vAlign w:val="center"/>
          </w:tcPr>
          <w:p>
            <w:pPr>
              <w:jc w:val="left"/>
              <w:rPr>
                <w:rFonts w:ascii="仿宋_GB2312" w:hAnsi="宋体" w:eastAsia="仿宋_GB2312" w:cs="仿宋_GB2312"/>
                <w:color w:val="000000"/>
                <w:szCs w:val="21"/>
              </w:rPr>
            </w:pPr>
            <w:r>
              <w:rPr>
                <w:rFonts w:hint="eastAsia" w:ascii="仿宋_GB2312" w:hAnsi="宋体" w:eastAsia="仿宋_GB2312" w:cs="仿宋_GB2312"/>
                <w:color w:val="000000"/>
                <w:szCs w:val="21"/>
              </w:rPr>
              <w:t>90</w:t>
            </w:r>
          </w:p>
        </w:tc>
        <w:tc>
          <w:tcPr>
            <w:tcW w:w="960" w:type="dxa"/>
            <w:tcBorders>
              <w:top w:val="nil"/>
              <w:left w:val="nil"/>
              <w:bottom w:val="single" w:color="000000" w:sz="8" w:space="0"/>
              <w:right w:val="single" w:color="000000" w:sz="8" w:space="0"/>
            </w:tcBorders>
            <w:shd w:val="clear" w:color="auto" w:fill="auto"/>
            <w:vAlign w:val="center"/>
          </w:tcPr>
          <w:p>
            <w:pPr>
              <w:jc w:val="left"/>
              <w:rPr>
                <w:rFonts w:ascii="仿宋_GB2312" w:hAnsi="宋体" w:eastAsia="仿宋_GB2312" w:cs="仿宋_GB2312"/>
                <w:color w:val="000000"/>
                <w:szCs w:val="21"/>
              </w:rPr>
            </w:pPr>
            <w:r>
              <w:rPr>
                <w:rFonts w:hint="eastAsia" w:ascii="仿宋_GB2312" w:hAnsi="宋体" w:eastAsia="仿宋_GB2312" w:cs="仿宋_GB2312"/>
                <w:color w:val="000000"/>
                <w:szCs w:val="21"/>
              </w:rPr>
              <w:t>5</w:t>
            </w:r>
          </w:p>
        </w:tc>
        <w:tc>
          <w:tcPr>
            <w:tcW w:w="650" w:type="dxa"/>
            <w:tcBorders>
              <w:top w:val="nil"/>
              <w:left w:val="nil"/>
              <w:bottom w:val="single" w:color="000000" w:sz="8" w:space="0"/>
              <w:right w:val="single" w:color="000000" w:sz="8" w:space="0"/>
            </w:tcBorders>
            <w:shd w:val="clear" w:color="auto" w:fill="auto"/>
            <w:vAlign w:val="center"/>
          </w:tcPr>
          <w:p>
            <w:pPr>
              <w:jc w:val="left"/>
              <w:rPr>
                <w:rFonts w:ascii="仿宋_GB2312" w:hAnsi="宋体" w:eastAsia="仿宋_GB2312" w:cs="仿宋_GB2312"/>
                <w:color w:val="000000"/>
                <w:szCs w:val="21"/>
              </w:rPr>
            </w:pPr>
            <w:r>
              <w:rPr>
                <w:rFonts w:hint="eastAsia" w:ascii="仿宋_GB2312" w:hAnsi="宋体" w:eastAsia="仿宋_GB2312" w:cs="仿宋_GB2312"/>
                <w:color w:val="000000"/>
                <w:szCs w:val="21"/>
              </w:rPr>
              <w:t>5</w:t>
            </w:r>
          </w:p>
        </w:tc>
        <w:tc>
          <w:tcPr>
            <w:tcW w:w="1984" w:type="dxa"/>
            <w:gridSpan w:val="2"/>
            <w:tcBorders>
              <w:top w:val="nil"/>
              <w:left w:val="nil"/>
              <w:bottom w:val="single" w:color="000000" w:sz="8" w:space="0"/>
              <w:right w:val="single" w:color="000000" w:sz="8" w:space="0"/>
            </w:tcBorders>
            <w:shd w:val="clear" w:color="auto" w:fill="auto"/>
            <w:vAlign w:val="center"/>
          </w:tcPr>
          <w:p>
            <w:pPr>
              <w:jc w:val="left"/>
              <w:rPr>
                <w:rFonts w:ascii="仿宋_GB2312" w:hAnsi="宋体" w:eastAsia="仿宋_GB2312" w:cs="仿宋_GB2312"/>
                <w:color w:val="000000"/>
                <w:szCs w:val="21"/>
              </w:rPr>
            </w:pPr>
          </w:p>
        </w:tc>
      </w:tr>
      <w:tr>
        <w:tblPrEx>
          <w:tblLayout w:type="fixed"/>
          <w:tblCellMar>
            <w:top w:w="0" w:type="dxa"/>
            <w:left w:w="108" w:type="dxa"/>
            <w:bottom w:w="0" w:type="dxa"/>
            <w:right w:w="108" w:type="dxa"/>
          </w:tblCellMar>
        </w:tblPrEx>
        <w:trPr>
          <w:trHeight w:val="333" w:hRule="atLeast"/>
        </w:trPr>
        <w:tc>
          <w:tcPr>
            <w:tcW w:w="96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仿宋_GB2312" w:hAnsi="宋体" w:eastAsia="仿宋_GB2312" w:cs="仿宋_GB2312"/>
                <w:color w:val="000000"/>
                <w:szCs w:val="21"/>
              </w:rPr>
            </w:pPr>
          </w:p>
        </w:tc>
        <w:tc>
          <w:tcPr>
            <w:tcW w:w="960" w:type="dxa"/>
            <w:vMerge w:val="continue"/>
            <w:tcBorders>
              <w:top w:val="nil"/>
              <w:left w:val="nil"/>
              <w:bottom w:val="single" w:color="000000" w:sz="8" w:space="0"/>
              <w:right w:val="nil"/>
            </w:tcBorders>
            <w:shd w:val="clear" w:color="auto" w:fill="auto"/>
            <w:vAlign w:val="center"/>
          </w:tcPr>
          <w:p>
            <w:pPr>
              <w:jc w:val="center"/>
              <w:rPr>
                <w:rFonts w:ascii="仿宋_GB2312" w:hAnsi="宋体" w:eastAsia="仿宋_GB2312" w:cs="仿宋_GB2312"/>
                <w:color w:val="000000"/>
                <w:szCs w:val="21"/>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Cs w:val="21"/>
              </w:rPr>
            </w:pPr>
          </w:p>
        </w:tc>
        <w:tc>
          <w:tcPr>
            <w:tcW w:w="1920" w:type="dxa"/>
            <w:gridSpan w:val="2"/>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rPr>
              <w:t>社会公众满 意度</w:t>
            </w:r>
          </w:p>
        </w:tc>
        <w:tc>
          <w:tcPr>
            <w:tcW w:w="960" w:type="dxa"/>
            <w:tcBorders>
              <w:top w:val="nil"/>
              <w:left w:val="nil"/>
              <w:bottom w:val="single" w:color="000000" w:sz="8" w:space="0"/>
              <w:right w:val="single" w:color="000000" w:sz="8" w:space="0"/>
            </w:tcBorders>
            <w:shd w:val="clear" w:color="auto" w:fill="auto"/>
            <w:vAlign w:val="center"/>
          </w:tcPr>
          <w:p>
            <w:pPr>
              <w:jc w:val="left"/>
              <w:rPr>
                <w:rFonts w:ascii="仿宋_GB2312" w:hAnsi="宋体" w:eastAsia="仿宋_GB2312" w:cs="仿宋_GB2312"/>
                <w:color w:val="000000"/>
                <w:szCs w:val="21"/>
              </w:rPr>
            </w:pPr>
            <w:r>
              <w:rPr>
                <w:rFonts w:hint="eastAsia" w:ascii="仿宋_GB2312" w:hAnsi="宋体" w:eastAsia="仿宋_GB2312" w:cs="仿宋_GB2312"/>
                <w:color w:val="000000"/>
                <w:szCs w:val="21"/>
              </w:rPr>
              <w:t>90%以上</w:t>
            </w:r>
          </w:p>
        </w:tc>
        <w:tc>
          <w:tcPr>
            <w:tcW w:w="960" w:type="dxa"/>
            <w:tcBorders>
              <w:top w:val="nil"/>
              <w:left w:val="nil"/>
              <w:bottom w:val="single" w:color="000000" w:sz="8" w:space="0"/>
              <w:right w:val="single" w:color="000000" w:sz="8" w:space="0"/>
            </w:tcBorders>
            <w:shd w:val="clear" w:color="auto" w:fill="auto"/>
            <w:vAlign w:val="center"/>
          </w:tcPr>
          <w:p>
            <w:pPr>
              <w:jc w:val="left"/>
              <w:rPr>
                <w:rFonts w:ascii="仿宋_GB2312" w:hAnsi="宋体" w:eastAsia="仿宋_GB2312" w:cs="仿宋_GB2312"/>
                <w:color w:val="000000"/>
                <w:szCs w:val="21"/>
              </w:rPr>
            </w:pPr>
            <w:r>
              <w:rPr>
                <w:rFonts w:hint="eastAsia" w:ascii="仿宋_GB2312" w:hAnsi="宋体" w:eastAsia="仿宋_GB2312" w:cs="仿宋_GB2312"/>
                <w:color w:val="000000"/>
                <w:szCs w:val="21"/>
              </w:rPr>
              <w:t>90</w:t>
            </w:r>
          </w:p>
        </w:tc>
        <w:tc>
          <w:tcPr>
            <w:tcW w:w="960" w:type="dxa"/>
            <w:tcBorders>
              <w:top w:val="nil"/>
              <w:left w:val="nil"/>
              <w:bottom w:val="single" w:color="000000" w:sz="8" w:space="0"/>
              <w:right w:val="single" w:color="000000" w:sz="8" w:space="0"/>
            </w:tcBorders>
            <w:shd w:val="clear" w:color="auto" w:fill="auto"/>
            <w:vAlign w:val="center"/>
          </w:tcPr>
          <w:p>
            <w:pPr>
              <w:jc w:val="left"/>
              <w:rPr>
                <w:rFonts w:ascii="仿宋_GB2312" w:hAnsi="宋体" w:eastAsia="仿宋_GB2312" w:cs="仿宋_GB2312"/>
                <w:color w:val="000000"/>
                <w:szCs w:val="21"/>
              </w:rPr>
            </w:pPr>
            <w:r>
              <w:rPr>
                <w:rFonts w:hint="eastAsia" w:ascii="仿宋_GB2312" w:hAnsi="宋体" w:eastAsia="仿宋_GB2312" w:cs="仿宋_GB2312"/>
                <w:color w:val="000000"/>
                <w:szCs w:val="21"/>
              </w:rPr>
              <w:t>5</w:t>
            </w:r>
          </w:p>
        </w:tc>
        <w:tc>
          <w:tcPr>
            <w:tcW w:w="650" w:type="dxa"/>
            <w:tcBorders>
              <w:top w:val="nil"/>
              <w:left w:val="nil"/>
              <w:bottom w:val="single" w:color="000000" w:sz="8" w:space="0"/>
              <w:right w:val="single" w:color="000000" w:sz="8" w:space="0"/>
            </w:tcBorders>
            <w:shd w:val="clear" w:color="auto" w:fill="auto"/>
            <w:vAlign w:val="center"/>
          </w:tcPr>
          <w:p>
            <w:pPr>
              <w:jc w:val="left"/>
              <w:rPr>
                <w:rFonts w:ascii="仿宋_GB2312" w:hAnsi="宋体" w:eastAsia="仿宋_GB2312" w:cs="仿宋_GB2312"/>
                <w:color w:val="000000"/>
                <w:szCs w:val="21"/>
              </w:rPr>
            </w:pPr>
            <w:r>
              <w:rPr>
                <w:rFonts w:hint="eastAsia" w:ascii="仿宋_GB2312" w:hAnsi="宋体" w:eastAsia="仿宋_GB2312" w:cs="仿宋_GB2312"/>
                <w:color w:val="000000"/>
                <w:szCs w:val="21"/>
              </w:rPr>
              <w:t>5</w:t>
            </w:r>
          </w:p>
        </w:tc>
        <w:tc>
          <w:tcPr>
            <w:tcW w:w="1984" w:type="dxa"/>
            <w:gridSpan w:val="2"/>
            <w:tcBorders>
              <w:top w:val="nil"/>
              <w:left w:val="nil"/>
              <w:bottom w:val="single" w:color="000000" w:sz="8" w:space="0"/>
              <w:right w:val="single" w:color="000000" w:sz="8" w:space="0"/>
            </w:tcBorders>
            <w:shd w:val="clear" w:color="auto" w:fill="auto"/>
            <w:vAlign w:val="center"/>
          </w:tcPr>
          <w:p>
            <w:pPr>
              <w:jc w:val="left"/>
              <w:rPr>
                <w:rFonts w:ascii="仿宋_GB2312" w:hAnsi="宋体" w:eastAsia="仿宋_GB2312" w:cs="仿宋_GB2312"/>
                <w:color w:val="000000"/>
                <w:szCs w:val="21"/>
              </w:rPr>
            </w:pPr>
          </w:p>
        </w:tc>
      </w:tr>
      <w:tr>
        <w:tblPrEx>
          <w:tblLayout w:type="fixed"/>
          <w:tblCellMar>
            <w:top w:w="0" w:type="dxa"/>
            <w:left w:w="108" w:type="dxa"/>
            <w:bottom w:w="0" w:type="dxa"/>
            <w:right w:w="108" w:type="dxa"/>
          </w:tblCellMar>
        </w:tblPrEx>
        <w:trPr>
          <w:trHeight w:val="318" w:hRule="atLeast"/>
        </w:trPr>
        <w:tc>
          <w:tcPr>
            <w:tcW w:w="6720" w:type="dxa"/>
            <w:gridSpan w:val="7"/>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rPr>
              <w:t>总分</w:t>
            </w:r>
          </w:p>
        </w:tc>
        <w:tc>
          <w:tcPr>
            <w:tcW w:w="960" w:type="dxa"/>
            <w:tcBorders>
              <w:top w:val="nil"/>
              <w:left w:val="nil"/>
              <w:bottom w:val="single" w:color="000000" w:sz="8" w:space="0"/>
              <w:right w:val="single" w:color="000000" w:sz="8" w:space="0"/>
            </w:tcBorders>
            <w:shd w:val="clear" w:color="auto" w:fill="auto"/>
            <w:vAlign w:val="center"/>
          </w:tcPr>
          <w:p>
            <w:pPr>
              <w:jc w:val="center"/>
              <w:rPr>
                <w:rFonts w:ascii="仿宋_GB2312" w:hAnsi="宋体" w:eastAsia="仿宋_GB2312" w:cs="仿宋_GB2312"/>
                <w:color w:val="000000"/>
                <w:szCs w:val="21"/>
              </w:rPr>
            </w:pPr>
            <w:r>
              <w:rPr>
                <w:rFonts w:hint="eastAsia" w:ascii="仿宋_GB2312" w:hAnsi="宋体" w:eastAsia="仿宋_GB2312" w:cs="仿宋_GB2312"/>
                <w:color w:val="000000"/>
                <w:szCs w:val="21"/>
              </w:rPr>
              <w:t>100</w:t>
            </w:r>
          </w:p>
        </w:tc>
        <w:tc>
          <w:tcPr>
            <w:tcW w:w="650" w:type="dxa"/>
            <w:tcBorders>
              <w:top w:val="nil"/>
              <w:left w:val="nil"/>
              <w:bottom w:val="single" w:color="000000" w:sz="8" w:space="0"/>
              <w:right w:val="single" w:color="000000" w:sz="8" w:space="0"/>
            </w:tcBorders>
            <w:shd w:val="clear" w:color="auto" w:fill="auto"/>
            <w:vAlign w:val="center"/>
          </w:tcPr>
          <w:p>
            <w:pPr>
              <w:jc w:val="left"/>
              <w:rPr>
                <w:rFonts w:ascii="仿宋_GB2312" w:hAnsi="宋体" w:eastAsia="仿宋_GB2312" w:cs="仿宋_GB2312"/>
                <w:color w:val="000000"/>
                <w:szCs w:val="21"/>
              </w:rPr>
            </w:pPr>
            <w:r>
              <w:rPr>
                <w:rFonts w:hint="eastAsia" w:ascii="仿宋_GB2312" w:hAnsi="宋体" w:eastAsia="仿宋_GB2312" w:cs="仿宋_GB2312"/>
                <w:color w:val="000000"/>
                <w:szCs w:val="21"/>
              </w:rPr>
              <w:t>98</w:t>
            </w:r>
          </w:p>
        </w:tc>
        <w:tc>
          <w:tcPr>
            <w:tcW w:w="1984" w:type="dxa"/>
            <w:gridSpan w:val="2"/>
            <w:tcBorders>
              <w:top w:val="nil"/>
              <w:left w:val="nil"/>
              <w:bottom w:val="single" w:color="000000" w:sz="8" w:space="0"/>
              <w:right w:val="single" w:color="000000" w:sz="8" w:space="0"/>
            </w:tcBorders>
            <w:shd w:val="clear" w:color="auto" w:fill="auto"/>
            <w:vAlign w:val="center"/>
          </w:tcPr>
          <w:p>
            <w:pPr>
              <w:jc w:val="left"/>
              <w:rPr>
                <w:rFonts w:ascii="仿宋_GB2312" w:hAnsi="宋体" w:eastAsia="仿宋_GB2312" w:cs="仿宋_GB2312"/>
                <w:color w:val="000000"/>
                <w:szCs w:val="21"/>
              </w:rPr>
            </w:pPr>
          </w:p>
        </w:tc>
      </w:tr>
    </w:tbl>
    <w:p>
      <w:pPr>
        <w:pStyle w:val="14"/>
        <w:adjustRightInd/>
        <w:spacing w:line="520" w:lineRule="exact"/>
        <w:ind w:firstLine="480" w:firstLineChars="150"/>
        <w:rPr>
          <w:rFonts w:ascii="仿宋" w:hAnsi="仿宋" w:eastAsia="仿宋" w:cs="Times New Roman"/>
          <w:sz w:val="32"/>
          <w:szCs w:val="32"/>
        </w:rPr>
      </w:pPr>
      <w:r>
        <w:rPr>
          <w:rFonts w:hint="eastAsia" w:ascii="仿宋" w:hAnsi="仿宋" w:eastAsia="仿宋" w:cs="Times New Roman"/>
          <w:sz w:val="32"/>
          <w:szCs w:val="32"/>
        </w:rPr>
        <w:t>附件2         202</w:t>
      </w:r>
      <w:r>
        <w:rPr>
          <w:rFonts w:hint="eastAsia" w:ascii="仿宋" w:hAnsi="仿宋" w:eastAsia="仿宋" w:cs="Times New Roman"/>
          <w:sz w:val="32"/>
          <w:szCs w:val="32"/>
          <w:lang w:val="en-US" w:eastAsia="zh-CN"/>
        </w:rPr>
        <w:t>3</w:t>
      </w:r>
      <w:r>
        <w:rPr>
          <w:rFonts w:hint="eastAsia" w:ascii="仿宋" w:hAnsi="仿宋" w:eastAsia="仿宋" w:cs="Times New Roman"/>
          <w:sz w:val="32"/>
          <w:szCs w:val="32"/>
        </w:rPr>
        <w:t>年度部门整体支出绩效自评表</w:t>
      </w:r>
    </w:p>
    <w:p>
      <w:pPr>
        <w:jc w:val="left"/>
        <w:rPr>
          <w:rFonts w:cs="黑体" w:asciiTheme="minorEastAsia" w:hAnsiTheme="minorEastAsia"/>
          <w:color w:val="000000"/>
          <w:kern w:val="0"/>
          <w:sz w:val="32"/>
          <w:szCs w:val="32"/>
        </w:rPr>
      </w:pPr>
    </w:p>
    <w:p>
      <w:pPr>
        <w:jc w:val="left"/>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2525D2"/>
    <w:multiLevelType w:val="singleLevel"/>
    <w:tmpl w:val="C42525D2"/>
    <w:lvl w:ilvl="0" w:tentative="0">
      <w:start w:val="3"/>
      <w:numFmt w:val="decimal"/>
      <w:suff w:val="nothing"/>
      <w:lvlText w:val="%1、"/>
      <w:lvlJc w:val="left"/>
    </w:lvl>
  </w:abstractNum>
  <w:abstractNum w:abstractNumId="1">
    <w:nsid w:val="129DD1F2"/>
    <w:multiLevelType w:val="singleLevel"/>
    <w:tmpl w:val="129DD1F2"/>
    <w:lvl w:ilvl="0" w:tentative="0">
      <w:start w:val="2"/>
      <w:numFmt w:val="chineseCounting"/>
      <w:suff w:val="nothing"/>
      <w:lvlText w:val="（%1）"/>
      <w:lvlJc w:val="left"/>
      <w:rPr>
        <w:rFonts w:hint="eastAsia"/>
      </w:rPr>
    </w:lvl>
  </w:abstractNum>
  <w:abstractNum w:abstractNumId="2">
    <w:nsid w:val="36D71A44"/>
    <w:multiLevelType w:val="singleLevel"/>
    <w:tmpl w:val="36D71A44"/>
    <w:lvl w:ilvl="0" w:tentative="0">
      <w:start w:val="14"/>
      <w:numFmt w:val="chineseCounting"/>
      <w:suff w:val="nothing"/>
      <w:lvlText w:val="%1、"/>
      <w:lvlJc w:val="left"/>
      <w:rPr>
        <w:rFonts w:hint="eastAsia"/>
      </w:rPr>
    </w:lvl>
  </w:abstractNum>
  <w:abstractNum w:abstractNumId="3">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IzY2I5YTQyYjZjY2I4ZjAwOWIyMjI5OGMzYmQwMWE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6F5D50"/>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8453C02"/>
    <w:rsid w:val="08AB73AE"/>
    <w:rsid w:val="09243A15"/>
    <w:rsid w:val="120F67C0"/>
    <w:rsid w:val="17CB2963"/>
    <w:rsid w:val="1A590A57"/>
    <w:rsid w:val="1C1E0F0A"/>
    <w:rsid w:val="1D97DEFF"/>
    <w:rsid w:val="1DFF72E5"/>
    <w:rsid w:val="1EFC6F07"/>
    <w:rsid w:val="2435293A"/>
    <w:rsid w:val="2C840F01"/>
    <w:rsid w:val="2FDF85B8"/>
    <w:rsid w:val="2FFFEE04"/>
    <w:rsid w:val="319873D6"/>
    <w:rsid w:val="34DF85B0"/>
    <w:rsid w:val="355B0ECE"/>
    <w:rsid w:val="3B8F36BC"/>
    <w:rsid w:val="41074390"/>
    <w:rsid w:val="42E13A0E"/>
    <w:rsid w:val="4328443A"/>
    <w:rsid w:val="468851EE"/>
    <w:rsid w:val="491FF225"/>
    <w:rsid w:val="4D10716B"/>
    <w:rsid w:val="4F4B2A4D"/>
    <w:rsid w:val="4FFD214C"/>
    <w:rsid w:val="52B71F4D"/>
    <w:rsid w:val="53CF3722"/>
    <w:rsid w:val="5777D4F5"/>
    <w:rsid w:val="59DD8326"/>
    <w:rsid w:val="5C5818EC"/>
    <w:rsid w:val="5D98576C"/>
    <w:rsid w:val="5DEF592A"/>
    <w:rsid w:val="5FC6BB1E"/>
    <w:rsid w:val="5FF720F1"/>
    <w:rsid w:val="60BD01E2"/>
    <w:rsid w:val="61A62BF9"/>
    <w:rsid w:val="62356DF3"/>
    <w:rsid w:val="67FF5C0B"/>
    <w:rsid w:val="6C385000"/>
    <w:rsid w:val="6C417176"/>
    <w:rsid w:val="6E912218"/>
    <w:rsid w:val="6EFC0924"/>
    <w:rsid w:val="6FB74722"/>
    <w:rsid w:val="6FEF8B7E"/>
    <w:rsid w:val="71A6591B"/>
    <w:rsid w:val="736F24DF"/>
    <w:rsid w:val="737D59BA"/>
    <w:rsid w:val="77C37683"/>
    <w:rsid w:val="77F32D0B"/>
    <w:rsid w:val="79FF515B"/>
    <w:rsid w:val="7B1C6029"/>
    <w:rsid w:val="7C9245B5"/>
    <w:rsid w:val="7E9E1962"/>
    <w:rsid w:val="7E9F11B4"/>
    <w:rsid w:val="7E9F240E"/>
    <w:rsid w:val="7F37EC1E"/>
    <w:rsid w:val="7F7DCD9D"/>
    <w:rsid w:val="7F970A6F"/>
    <w:rsid w:val="7FC1FFF3"/>
    <w:rsid w:val="7FC69637"/>
    <w:rsid w:val="7FDD40A3"/>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unhideWhenUsed/>
    <w:qFormat/>
    <w:uiPriority w:val="99"/>
    <w:pPr>
      <w:ind w:firstLine="420" w:firstLineChars="200"/>
    </w:pPr>
  </w:style>
  <w:style w:type="paragraph" w:styleId="4">
    <w:name w:val="Body Text Indent"/>
    <w:basedOn w:val="1"/>
    <w:unhideWhenUsed/>
    <w:qFormat/>
    <w:uiPriority w:val="99"/>
    <w:pPr>
      <w:widowControl/>
      <w:spacing w:after="120"/>
      <w:ind w:left="420" w:leftChars="200"/>
      <w:jc w:val="left"/>
    </w:pPr>
    <w:rPr>
      <w:rFonts w:ascii="宋体" w:hAnsi="宋体" w:eastAsia="宋体" w:cs="宋体"/>
      <w:kern w:val="0"/>
      <w:sz w:val="24"/>
    </w:rPr>
  </w:style>
  <w:style w:type="paragraph" w:styleId="5">
    <w:name w:val="Body Text Indent 2"/>
    <w:basedOn w:val="1"/>
    <w:unhideWhenUsed/>
    <w:qFormat/>
    <w:uiPriority w:val="99"/>
    <w:pPr>
      <w:spacing w:before="100" w:beforeAutospacing="1" w:after="120" w:line="480" w:lineRule="auto"/>
      <w:ind w:left="200" w:leftChars="200"/>
    </w:pPr>
  </w:style>
  <w:style w:type="paragraph" w:styleId="6">
    <w:name w:val="Balloon Text"/>
    <w:basedOn w:val="1"/>
    <w:link w:val="16"/>
    <w:semiHidden/>
    <w:unhideWhenUsed/>
    <w:qFormat/>
    <w:uiPriority w:val="99"/>
    <w:rPr>
      <w:sz w:val="18"/>
      <w:szCs w:val="18"/>
    </w:rPr>
  </w:style>
  <w:style w:type="paragraph" w:styleId="7">
    <w:name w:val="footer"/>
    <w:basedOn w:val="1"/>
    <w:link w:val="13"/>
    <w:unhideWhenUsed/>
    <w:qFormat/>
    <w:uiPriority w:val="99"/>
    <w:pPr>
      <w:tabs>
        <w:tab w:val="center" w:pos="4153"/>
        <w:tab w:val="right" w:pos="8306"/>
      </w:tabs>
      <w:snapToGrid w:val="0"/>
      <w:jc w:val="left"/>
    </w:pPr>
    <w:rPr>
      <w:sz w:val="18"/>
      <w:szCs w:val="18"/>
    </w:rPr>
  </w:style>
  <w:style w:type="paragraph" w:styleId="8">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12">
    <w:name w:val="页眉 Char"/>
    <w:basedOn w:val="11"/>
    <w:link w:val="8"/>
    <w:qFormat/>
    <w:uiPriority w:val="99"/>
    <w:rPr>
      <w:sz w:val="18"/>
      <w:szCs w:val="18"/>
    </w:rPr>
  </w:style>
  <w:style w:type="character" w:customStyle="1" w:styleId="13">
    <w:name w:val="页脚 Char"/>
    <w:basedOn w:val="11"/>
    <w:link w:val="7"/>
    <w:qFormat/>
    <w:uiPriority w:val="99"/>
    <w:rPr>
      <w:sz w:val="18"/>
      <w:szCs w:val="18"/>
    </w:rPr>
  </w:style>
  <w:style w:type="paragraph" w:customStyle="1" w:styleId="14">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5">
    <w:name w:val="List Paragraph"/>
    <w:basedOn w:val="1"/>
    <w:qFormat/>
    <w:uiPriority w:val="34"/>
    <w:pPr>
      <w:ind w:firstLine="420" w:firstLineChars="200"/>
    </w:pPr>
  </w:style>
  <w:style w:type="character" w:customStyle="1" w:styleId="16">
    <w:name w:val="批注框文本 Char"/>
    <w:basedOn w:val="11"/>
    <w:link w:val="6"/>
    <w:semiHidden/>
    <w:qFormat/>
    <w:uiPriority w:val="99"/>
    <w:rPr>
      <w:sz w:val="18"/>
      <w:szCs w:val="18"/>
    </w:rPr>
  </w:style>
  <w:style w:type="character" w:customStyle="1" w:styleId="17">
    <w:name w:val="font01"/>
    <w:basedOn w:val="11"/>
    <w:qFormat/>
    <w:uiPriority w:val="0"/>
    <w:rPr>
      <w:rFonts w:hint="eastAsia" w:ascii="宋体" w:hAnsi="宋体" w:eastAsia="宋体" w:cs="宋体"/>
      <w:color w:val="000000"/>
      <w:sz w:val="22"/>
      <w:szCs w:val="22"/>
      <w:u w:val="none"/>
    </w:rPr>
  </w:style>
  <w:style w:type="character" w:customStyle="1" w:styleId="18">
    <w:name w:val="font21"/>
    <w:basedOn w:val="11"/>
    <w:qFormat/>
    <w:uiPriority w:val="0"/>
    <w:rPr>
      <w:rFonts w:hint="eastAsia" w:ascii="宋体" w:hAnsi="宋体" w:eastAsia="宋体" w:cs="宋体"/>
      <w:color w:val="000000"/>
      <w:sz w:val="24"/>
      <w:szCs w:val="24"/>
      <w:u w:val="none"/>
    </w:rPr>
  </w:style>
  <w:style w:type="character" w:customStyle="1" w:styleId="19">
    <w:name w:val="font11"/>
    <w:basedOn w:val="11"/>
    <w:qFormat/>
    <w:uiPriority w:val="0"/>
    <w:rPr>
      <w:rFonts w:hint="eastAsia" w:ascii="宋体" w:hAnsi="宋体" w:eastAsia="宋体" w:cs="宋体"/>
      <w:color w:val="000000"/>
      <w:sz w:val="24"/>
      <w:szCs w:val="24"/>
      <w:u w:val="none"/>
    </w:rPr>
  </w:style>
  <w:style w:type="character" w:customStyle="1" w:styleId="20">
    <w:name w:val="NormalCharacter"/>
    <w:link w:val="21"/>
    <w:qFormat/>
    <w:uiPriority w:val="0"/>
    <w:rPr>
      <w:rFonts w:ascii="Times New Roman" w:hAnsi="Times New Roman" w:cs="Times New Roman"/>
      <w:kern w:val="0"/>
      <w:sz w:val="20"/>
      <w:szCs w:val="20"/>
    </w:rPr>
  </w:style>
  <w:style w:type="paragraph" w:customStyle="1" w:styleId="21">
    <w:name w:val="UserStyle_0"/>
    <w:basedOn w:val="22"/>
    <w:next w:val="1"/>
    <w:link w:val="20"/>
    <w:qFormat/>
    <w:uiPriority w:val="0"/>
    <w:pPr>
      <w:widowControl/>
      <w:adjustRightInd w:val="0"/>
      <w:snapToGrid w:val="0"/>
      <w:spacing w:after="160" w:line="240" w:lineRule="exact"/>
      <w:ind w:firstLine="200" w:firstLineChars="200"/>
      <w:jc w:val="left"/>
    </w:pPr>
    <w:rPr>
      <w:rFonts w:ascii="Times New Roman" w:hAnsi="Times New Roman" w:cs="Times New Roman"/>
      <w:kern w:val="0"/>
      <w:sz w:val="20"/>
      <w:szCs w:val="20"/>
    </w:rPr>
  </w:style>
  <w:style w:type="paragraph" w:customStyle="1" w:styleId="22">
    <w:name w:val="正文 New New New New New New New New New New New New New New New New New New New New New New New New New New New New New New New New"/>
    <w:next w:val="23"/>
    <w:qFormat/>
    <w:uiPriority w:val="0"/>
    <w:pPr>
      <w:widowControl w:val="0"/>
      <w:jc w:val="both"/>
    </w:pPr>
    <w:rPr>
      <w:rFonts w:ascii="Calibri" w:hAnsi="Calibri" w:eastAsia="宋体" w:cs="宋体"/>
      <w:kern w:val="2"/>
      <w:sz w:val="21"/>
      <w:szCs w:val="24"/>
      <w:lang w:val="en-US" w:eastAsia="zh-CN" w:bidi="ar-SA"/>
    </w:rPr>
  </w:style>
  <w:style w:type="paragraph" w:customStyle="1" w:styleId="23">
    <w:name w:val="正文文本 New New New New New New New New New"/>
    <w:basedOn w:val="22"/>
    <w:next w:val="24"/>
    <w:qFormat/>
    <w:uiPriority w:val="0"/>
  </w:style>
  <w:style w:type="paragraph" w:customStyle="1" w:styleId="24">
    <w:name w:val="正文首行缩进 New New New New New New New New"/>
    <w:basedOn w:val="23"/>
    <w:qFormat/>
    <w:uiPriority w:val="0"/>
    <w:pPr>
      <w:ind w:firstLine="420" w:firstLineChars="100"/>
    </w:pPr>
  </w:style>
  <w:style w:type="character" w:customStyle="1" w:styleId="25">
    <w:name w:val="font31"/>
    <w:basedOn w:val="11"/>
    <w:qFormat/>
    <w:uiPriority w:val="0"/>
    <w:rPr>
      <w:rFonts w:hint="eastAsia" w:ascii="仿宋_GB2312" w:eastAsia="仿宋_GB2312" w:cs="仿宋_GB2312"/>
      <w:color w:val="000000"/>
      <w:sz w:val="21"/>
      <w:szCs w:val="21"/>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36</Pages>
  <Words>13696</Words>
  <Characters>16174</Characters>
  <Lines>63</Lines>
  <Paragraphs>18</Paragraphs>
  <TotalTime>1</TotalTime>
  <ScaleCrop>false</ScaleCrop>
  <LinksUpToDate>false</LinksUpToDate>
  <CharactersWithSpaces>17331</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lenovo</cp:lastModifiedBy>
  <cp:lastPrinted>2024-08-08T10:20:00Z</cp:lastPrinted>
  <dcterms:modified xsi:type="dcterms:W3CDTF">2024-09-06T07:27:21Z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6FCAD23705624DDE830728A6103E008E_13</vt:lpwstr>
  </property>
</Properties>
</file>