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2023年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湖南省农业技术推广总站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hint="eastAsia" w:eastAsia="方正小标宋_GBK"/>
          <w:b/>
          <w:bCs/>
          <w:kern w:val="0"/>
          <w:sz w:val="32"/>
          <w:szCs w:val="32"/>
          <w:lang w:eastAsia="zh-CN"/>
        </w:rPr>
        <w:t>2023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年</w:t>
      </w:r>
      <w:r>
        <w:rPr>
          <w:rFonts w:eastAsia="仿宋_GB2312"/>
          <w:b/>
          <w:bCs/>
          <w:kern w:val="0"/>
          <w:sz w:val="32"/>
          <w:szCs w:val="32"/>
        </w:rPr>
        <w:t>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第二部分 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2023年</w:t>
      </w:r>
      <w:r>
        <w:rPr>
          <w:rFonts w:eastAsia="仿宋_GB2312"/>
          <w:b/>
          <w:bCs/>
          <w:kern w:val="0"/>
          <w:sz w:val="32"/>
          <w:szCs w:val="32"/>
        </w:rPr>
        <w:t>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72" w:after="100" w:afterAutospacing="1" w:line="400" w:lineRule="exact"/>
        <w:jc w:val="center"/>
        <w:textAlignment w:val="auto"/>
        <w:outlineLvl w:val="1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72" w:after="100" w:afterAutospacing="1" w:line="400" w:lineRule="exact"/>
        <w:jc w:val="center"/>
        <w:textAlignment w:val="auto"/>
        <w:outlineLvl w:val="1"/>
        <w:rPr>
          <w:rFonts w:ascii="微软雅黑" w:hAnsi="微软雅黑" w:eastAsia="微软雅黑" w:cs="宋体"/>
          <w:b/>
          <w:bCs/>
          <w:color w:val="333333"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</w:t>
      </w:r>
      <w:r>
        <w:rPr>
          <w:rFonts w:ascii="Times New Roman" w:hAnsi="Times New Roman" w:eastAsia="方正小标宋_GBK" w:cs="Times New Roman"/>
          <w:bCs/>
          <w:kern w:val="0"/>
          <w:sz w:val="36"/>
          <w:szCs w:val="36"/>
        </w:rPr>
        <w:t xml:space="preserve">部分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2023年</w:t>
      </w:r>
      <w:r>
        <w:rPr>
          <w:rFonts w:eastAsia="方正小标宋_GBK"/>
          <w:bCs/>
          <w:kern w:val="0"/>
          <w:sz w:val="36"/>
          <w:szCs w:val="36"/>
        </w:rPr>
        <w:t>单位预算说明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/>
        <w:jc w:val="both"/>
        <w:textAlignment w:val="auto"/>
        <w:rPr>
          <w:rFonts w:ascii="微软雅黑" w:hAnsi="微软雅黑" w:eastAsia="微软雅黑"/>
          <w:color w:val="333333"/>
        </w:rPr>
      </w:pPr>
    </w:p>
    <w:p>
      <w:pPr>
        <w:pStyle w:val="7"/>
        <w:shd w:val="clear" w:color="auto" w:fill="FFFFFF"/>
        <w:spacing w:before="0" w:beforeAutospacing="0" w:after="0" w:afterAutospacing="0" w:line="480" w:lineRule="auto"/>
        <w:ind w:firstLine="480"/>
        <w:jc w:val="both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一、</w:t>
      </w: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单位</w:t>
      </w:r>
      <w:r>
        <w:rPr>
          <w:rFonts w:hint="eastAsia" w:ascii="黑体" w:hAnsi="黑体" w:eastAsia="黑体"/>
          <w:color w:val="333333"/>
          <w:sz w:val="32"/>
          <w:szCs w:val="32"/>
        </w:rPr>
        <w:t>基本概况</w:t>
      </w:r>
    </w:p>
    <w:p>
      <w:pPr>
        <w:pStyle w:val="7"/>
        <w:shd w:val="clear" w:color="auto" w:fill="FFFFFF"/>
        <w:spacing w:before="0" w:beforeAutospacing="0" w:after="0" w:afterAutospacing="0"/>
        <w:ind w:firstLine="643" w:firstLineChars="200"/>
        <w:jc w:val="both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333333"/>
          <w:sz w:val="32"/>
          <w:szCs w:val="32"/>
          <w:lang w:eastAsia="zh-CN"/>
        </w:rPr>
        <w:t>（一）职能职责：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本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站系省农业农村厅直属的具有行政管理职能的正处级参照公务员</w:t>
      </w:r>
      <w:r>
        <w:rPr>
          <w:rFonts w:hint="eastAsia" w:ascii="仿宋_GB2312" w:hAnsi="微软雅黑" w:eastAsia="仿宋_GB2312"/>
          <w:color w:val="333333"/>
          <w:sz w:val="32"/>
          <w:szCs w:val="32"/>
          <w:lang w:val="en-US" w:eastAsia="zh-CN"/>
        </w:rPr>
        <w:t>法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管理事业单位，负责全省</w:t>
      </w:r>
      <w:r>
        <w:rPr>
          <w:rFonts w:hint="eastAsia" w:ascii="仿宋_GB2312" w:hAnsi="微软雅黑" w:eastAsia="仿宋_GB2312"/>
          <w:color w:val="333333"/>
          <w:sz w:val="32"/>
          <w:szCs w:val="32"/>
          <w:lang w:eastAsia="zh-CN"/>
        </w:rPr>
        <w:t>推广种植业技术，促进农业发展，负责种植业技术试验示范，种植业技术推广体系管理，种植业技术培训，种植业技术服务等</w:t>
      </w:r>
      <w:r>
        <w:rPr>
          <w:rFonts w:hint="eastAsia" w:ascii="仿宋_GB2312" w:hAnsi="微软雅黑" w:eastAsia="仿宋_GB2312"/>
          <w:color w:val="333333"/>
          <w:sz w:val="32"/>
          <w:szCs w:val="32"/>
        </w:rPr>
        <w:t>。</w:t>
      </w:r>
    </w:p>
    <w:p>
      <w:pPr>
        <w:pStyle w:val="7"/>
        <w:shd w:val="clear" w:color="auto" w:fill="FFFFFF"/>
        <w:spacing w:before="0" w:beforeAutospacing="0" w:after="0" w:afterAutospacing="0"/>
        <w:ind w:firstLine="643" w:firstLineChars="200"/>
        <w:jc w:val="both"/>
        <w:rPr>
          <w:rFonts w:ascii="仿宋_GB2312" w:hAnsi="微软雅黑" w:eastAsia="仿宋_GB2312"/>
          <w:color w:val="333333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</w:t>
      </w:r>
      <w:r>
        <w:rPr>
          <w:rFonts w:hint="eastAsia" w:eastAsia="楷体_GB2312"/>
          <w:b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本站</w:t>
      </w:r>
      <w:r>
        <w:rPr>
          <w:rFonts w:hint="eastAsia" w:ascii="仿宋_GB2312" w:eastAsia="仿宋_GB2312"/>
          <w:sz w:val="32"/>
          <w:szCs w:val="32"/>
        </w:rPr>
        <w:t>内设综合科、</w:t>
      </w:r>
      <w:r>
        <w:rPr>
          <w:rFonts w:hint="eastAsia" w:ascii="仿宋_GB2312" w:eastAsia="仿宋_GB2312"/>
          <w:color w:val="auto"/>
          <w:sz w:val="32"/>
          <w:szCs w:val="32"/>
        </w:rPr>
        <w:t>体系建设与管理科、</w:t>
      </w:r>
      <w:r>
        <w:rPr>
          <w:rFonts w:hint="eastAsia" w:ascii="仿宋_GB2312" w:eastAsia="仿宋_GB2312"/>
          <w:sz w:val="32"/>
          <w:szCs w:val="32"/>
        </w:rPr>
        <w:t>项目管理科、新技术管理科、农业声像与宣传科和计划财务科等6个科室。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pStyle w:val="7"/>
        <w:shd w:val="clear" w:color="auto" w:fill="FFFFFF"/>
        <w:spacing w:before="0" w:beforeAutospacing="0" w:after="0" w:afterAutospacing="0" w:line="480" w:lineRule="auto"/>
        <w:ind w:firstLine="640" w:firstLineChars="200"/>
        <w:jc w:val="both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color w:val="333333"/>
          <w:sz w:val="32"/>
          <w:szCs w:val="32"/>
        </w:rPr>
        <w:t>、单位收支总体情况</w:t>
      </w:r>
    </w:p>
    <w:p>
      <w:pPr>
        <w:pStyle w:val="12"/>
        <w:ind w:firstLine="643" w:firstLineChars="200"/>
        <w:rPr>
          <w:rFonts w:ascii="仿宋_GB2312" w:hAnsi="微软雅黑" w:cs="宋体"/>
          <w:color w:val="00B0F0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hint="eastAsia"/>
          <w:sz w:val="32"/>
          <w:szCs w:val="32"/>
        </w:rPr>
        <w:t>本单位收入预算</w:t>
      </w:r>
      <w:r>
        <w:rPr>
          <w:sz w:val="32"/>
          <w:szCs w:val="32"/>
        </w:rPr>
        <w:t>包括</w:t>
      </w:r>
      <w:r>
        <w:rPr>
          <w:rFonts w:hint="eastAsia"/>
          <w:sz w:val="32"/>
          <w:szCs w:val="32"/>
          <w:lang w:eastAsia="zh-CN"/>
        </w:rPr>
        <w:t>一般公共</w:t>
      </w:r>
      <w:r>
        <w:rPr>
          <w:rFonts w:hint="eastAsia"/>
          <w:sz w:val="32"/>
          <w:szCs w:val="32"/>
        </w:rPr>
        <w:t>预算</w:t>
      </w:r>
      <w:r>
        <w:rPr>
          <w:rFonts w:hint="eastAsia"/>
          <w:sz w:val="32"/>
          <w:szCs w:val="32"/>
          <w:lang w:eastAsia="zh-CN"/>
        </w:rPr>
        <w:t>、其他收入和</w:t>
      </w:r>
      <w:r>
        <w:rPr>
          <w:rFonts w:hint="eastAsia"/>
          <w:sz w:val="32"/>
          <w:szCs w:val="32"/>
        </w:rPr>
        <w:t>上年结转结余等</w:t>
      </w:r>
      <w:r>
        <w:rPr>
          <w:sz w:val="32"/>
          <w:szCs w:val="32"/>
        </w:rPr>
        <w:t>财政拨款收入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。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2023年</w:t>
      </w:r>
      <w:r>
        <w:rPr>
          <w:rFonts w:ascii="仿宋_GB2312" w:hAnsi="微软雅黑" w:cs="宋体"/>
          <w:color w:val="333333"/>
          <w:kern w:val="0"/>
          <w:sz w:val="32"/>
          <w:szCs w:val="32"/>
        </w:rPr>
        <w:t>本单位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收入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预算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974.88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万元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，其中一般公共预算拨款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761.20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万元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上年结转结余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213.68</w:t>
      </w:r>
      <w:r>
        <w:rPr>
          <w:rFonts w:hint="eastAsia"/>
          <w:sz w:val="32"/>
          <w:szCs w:val="32"/>
        </w:rPr>
        <w:t>万元</w:t>
      </w:r>
      <w:r>
        <w:rPr>
          <w:rFonts w:ascii="仿宋_GB2312" w:hAnsi="微软雅黑" w:cs="宋体"/>
          <w:color w:val="333333"/>
          <w:kern w:val="0"/>
          <w:sz w:val="32"/>
          <w:szCs w:val="32"/>
        </w:rPr>
        <w:t>。收入较去年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532.83</w:t>
      </w:r>
      <w:r>
        <w:rPr>
          <w:rFonts w:ascii="仿宋_GB2312" w:hAnsi="微软雅黑" w:cs="宋体"/>
          <w:color w:val="333333"/>
          <w:kern w:val="0"/>
          <w:sz w:val="32"/>
          <w:szCs w:val="32"/>
        </w:rPr>
        <w:t>万元，主要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是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上年结转结余减少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。</w:t>
      </w:r>
    </w:p>
    <w:p>
      <w:pPr>
        <w:pStyle w:val="12"/>
        <w:ind w:firstLine="643" w:firstLineChars="200"/>
        <w:rPr>
          <w:rFonts w:ascii="仿宋_GB2312" w:hAnsi="微软雅黑" w:cs="宋体"/>
          <w:color w:val="00B0F0"/>
          <w:kern w:val="0"/>
          <w:sz w:val="32"/>
          <w:szCs w:val="32"/>
        </w:rPr>
      </w:pPr>
      <w:r>
        <w:rPr>
          <w:rFonts w:ascii="Calibri" w:hAnsi="Calibri" w:eastAsia="楷体_GB2312"/>
          <w:b/>
          <w:sz w:val="32"/>
          <w:szCs w:val="32"/>
        </w:rPr>
        <w:t>（二）支出预算：</w:t>
      </w:r>
      <w:r>
        <w:rPr>
          <w:rFonts w:hint="eastAsia" w:ascii="仿宋_GB2312" w:hAnsi="微软雅黑" w:eastAsia="楷体_GB2312" w:cs="宋体"/>
          <w:color w:val="333333"/>
          <w:kern w:val="0"/>
          <w:sz w:val="32"/>
          <w:szCs w:val="32"/>
          <w:lang w:eastAsia="zh-CN"/>
        </w:rPr>
        <w:t>2023年</w:t>
      </w:r>
      <w:r>
        <w:rPr>
          <w:rFonts w:ascii="仿宋_GB2312" w:hAnsi="微软雅黑" w:cs="宋体"/>
          <w:color w:val="333333"/>
          <w:kern w:val="0"/>
          <w:sz w:val="32"/>
          <w:szCs w:val="32"/>
        </w:rPr>
        <w:t>本单位支出预算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974.88</w:t>
      </w:r>
      <w:r>
        <w:rPr>
          <w:rFonts w:ascii="仿宋_GB2312" w:hAnsi="微软雅黑" w:cs="宋体"/>
          <w:color w:val="333333"/>
          <w:kern w:val="0"/>
          <w:sz w:val="32"/>
          <w:szCs w:val="32"/>
        </w:rPr>
        <w:t>万元，其中，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社会保障和就业支出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64.00</w:t>
      </w:r>
      <w:r>
        <w:rPr>
          <w:rFonts w:ascii="仿宋_GB2312" w:hAnsi="微软雅黑" w:cs="宋体"/>
          <w:color w:val="333333"/>
          <w:kern w:val="0"/>
          <w:sz w:val="32"/>
          <w:szCs w:val="32"/>
        </w:rPr>
        <w:t>万元，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农林水支出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910.88</w:t>
      </w:r>
      <w:r>
        <w:rPr>
          <w:rFonts w:ascii="仿宋_GB2312" w:hAnsi="微软雅黑" w:cs="宋体"/>
          <w:color w:val="333333"/>
          <w:kern w:val="0"/>
          <w:sz w:val="32"/>
          <w:szCs w:val="32"/>
        </w:rPr>
        <w:t>万元。支出较去年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532.83</w:t>
      </w:r>
      <w:r>
        <w:rPr>
          <w:rFonts w:ascii="仿宋_GB2312" w:hAnsi="微软雅黑" w:cs="宋体"/>
          <w:color w:val="333333"/>
          <w:kern w:val="0"/>
          <w:sz w:val="32"/>
          <w:szCs w:val="32"/>
        </w:rPr>
        <w:t>万元，主要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</w:rPr>
        <w:t>是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上年结转结余减少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  <w:lang w:eastAsia="zh-CN"/>
        </w:rPr>
        <w:t>四</w:t>
      </w:r>
      <w:r>
        <w:rPr>
          <w:rFonts w:ascii="Calibri" w:hAnsi="Calibri" w:eastAsia="黑体" w:cs="Times New Roman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2023年本单位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一般公共预算拨款支出预算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974.88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其中，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社会保障和就业支出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64.00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占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6.56%；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农林水支出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910.88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万元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，占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93.44%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。具体安排情况如下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：</w:t>
      </w:r>
    </w:p>
    <w:p>
      <w:pPr>
        <w:widowControl/>
        <w:spacing w:line="600" w:lineRule="exact"/>
        <w:ind w:firstLine="660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（一）基本支出：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2023年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本单位基本支出预算数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586.20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pStyle w:val="12"/>
        <w:ind w:firstLine="643" w:firstLineChars="200"/>
        <w:rPr>
          <w:rFonts w:hint="default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（二）项目支出：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202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年本单位项目支出预算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388.68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万元，主要是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单位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为完成特定行政工作任务或事业发展目标而发生的支出，包括有关事业发展专项、专项业务费等，其中：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其他事业发展资金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198.05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万元，主要用于优势特色产业集群建设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eastAsia="zh-CN"/>
        </w:rPr>
        <w:t>方面的经费支出；省级专项资金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190.63万元，主要用于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农业技术推广队伍的管理和培训</w:t>
      </w:r>
      <w:r>
        <w:rPr>
          <w:rFonts w:hint="eastAsia" w:ascii="仿宋_GB2312" w:hAnsi="微软雅黑" w:cs="宋体"/>
          <w:color w:val="333333"/>
          <w:kern w:val="0"/>
          <w:sz w:val="32"/>
          <w:szCs w:val="32"/>
          <w:lang w:val="en-US" w:eastAsia="zh-CN"/>
        </w:rPr>
        <w:t>,组织开展农业新技术的引进、试验、示范和推广方面。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  <w:lang w:eastAsia="zh-CN"/>
        </w:rPr>
        <w:t>五</w:t>
      </w:r>
      <w:r>
        <w:rPr>
          <w:rFonts w:ascii="Calibri" w:hAnsi="Calibri" w:eastAsia="黑体" w:cs="Times New Roman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本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单位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无政府性基金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预算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支出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  <w:lang w:eastAsia="zh-CN"/>
        </w:rPr>
        <w:t>六</w:t>
      </w:r>
      <w:r>
        <w:rPr>
          <w:rFonts w:ascii="Calibri" w:hAnsi="Calibri" w:eastAsia="黑体" w:cs="Times New Roman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（一）机关运行经费：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2023年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本单位机关运行经费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83.00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万元，比上年预算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减少了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4.91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下降了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5.59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%，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主要原因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是压减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一般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性支出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ascii="Calibri" w:hAnsi="Calibri" w:eastAsia="仿宋_GB2312" w:cs="Times New Roman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（二）</w:t>
      </w:r>
      <w:r>
        <w:rPr>
          <w:rFonts w:hint="eastAsia" w:ascii="楷体" w:hAnsi="楷体" w:eastAsia="楷体" w:cs="楷体"/>
          <w:b/>
          <w:bCs/>
          <w:color w:val="333333"/>
          <w:kern w:val="0"/>
          <w:sz w:val="32"/>
          <w:szCs w:val="32"/>
          <w:lang w:eastAsia="zh-CN"/>
        </w:rPr>
        <w:t>“</w:t>
      </w:r>
      <w:r>
        <w:rPr>
          <w:rFonts w:hint="eastAsia" w:ascii="楷体" w:hAnsi="楷体" w:eastAsia="楷体" w:cs="楷体"/>
          <w:b/>
          <w:bCs/>
          <w:color w:val="333333"/>
          <w:kern w:val="0"/>
          <w:sz w:val="32"/>
          <w:szCs w:val="32"/>
        </w:rPr>
        <w:t>三公</w:t>
      </w:r>
      <w:r>
        <w:rPr>
          <w:rFonts w:hint="eastAsia" w:ascii="楷体" w:hAnsi="楷体" w:eastAsia="楷体" w:cs="楷体"/>
          <w:b/>
          <w:bCs/>
          <w:color w:val="333333"/>
          <w:kern w:val="0"/>
          <w:sz w:val="32"/>
          <w:szCs w:val="32"/>
          <w:lang w:eastAsia="zh-CN"/>
        </w:rPr>
        <w:t>”</w:t>
      </w:r>
      <w:r>
        <w:rPr>
          <w:rFonts w:ascii="Calibri" w:hAnsi="Calibri" w:eastAsia="楷体_GB2312" w:cs="Times New Roman"/>
          <w:b/>
          <w:bCs/>
          <w:sz w:val="32"/>
          <w:szCs w:val="32"/>
        </w:rPr>
        <w:t>经费预算</w:t>
      </w:r>
      <w:r>
        <w:rPr>
          <w:rFonts w:ascii="Calibri" w:hAnsi="Calibri" w:eastAsia="楷体_GB2312" w:cs="Times New Roman"/>
          <w:b/>
          <w:sz w:val="32"/>
          <w:szCs w:val="32"/>
        </w:rPr>
        <w:t>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2023年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本单位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“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三公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”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经费预算数为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11.00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万元，其中，公务接待费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1.50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万元，公务用车运行费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4.5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万元，因公出国（境）费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万元。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2023年“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三公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”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经费预算较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2022年减少0.5万元，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主要原因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是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压减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“三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公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”经费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</w:rPr>
        <w:t>支出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hint="default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（三）一般性支出情况：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2023年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本单位会议费预算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19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</w:t>
      </w:r>
      <w:r>
        <w:rPr>
          <w:rFonts w:ascii="仿宋_GB2312" w:hAnsi="微软雅黑" w:eastAsia="仿宋_GB2312" w:cs="宋体"/>
          <w:color w:val="auto"/>
          <w:kern w:val="0"/>
          <w:sz w:val="32"/>
          <w:szCs w:val="32"/>
        </w:rPr>
        <w:t>拟召开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会议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个，合计人数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220人,</w:t>
      </w:r>
      <w:r>
        <w:rPr>
          <w:rFonts w:ascii="仿宋_GB2312" w:hAnsi="微软雅黑" w:eastAsia="仿宋_GB2312" w:cs="宋体"/>
          <w:color w:val="auto"/>
          <w:kern w:val="0"/>
          <w:sz w:val="32"/>
          <w:szCs w:val="32"/>
        </w:rPr>
        <w:t>内容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为全省农技推广工作会和农技特岗生招录（培养）工作会、特色产业高效种植模式观摩会</w:t>
      </w:r>
      <w:r>
        <w:rPr>
          <w:rFonts w:hint="default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培</w:t>
      </w:r>
      <w:r>
        <w:rPr>
          <w:rFonts w:ascii="仿宋_GB2312" w:hAnsi="微软雅黑" w:eastAsia="仿宋_GB2312" w:cs="宋体"/>
          <w:color w:val="auto"/>
          <w:kern w:val="0"/>
          <w:sz w:val="32"/>
          <w:szCs w:val="32"/>
        </w:rPr>
        <w:t>训费预算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28</w:t>
      </w:r>
      <w:r>
        <w:rPr>
          <w:rFonts w:ascii="仿宋_GB2312" w:hAnsi="微软雅黑" w:eastAsia="仿宋_GB2312" w:cs="宋体"/>
          <w:color w:val="auto"/>
          <w:kern w:val="0"/>
          <w:sz w:val="32"/>
          <w:szCs w:val="32"/>
        </w:rPr>
        <w:t>万元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eastAsia="zh-CN"/>
        </w:rPr>
        <w:t>，拟开展</w:t>
      </w:r>
      <w:r>
        <w:rPr>
          <w:rFonts w:hint="eastAsia" w:ascii="仿宋_GB2312" w:hAnsi="微软雅黑" w:eastAsia="仿宋_GB2312" w:cs="宋体"/>
          <w:color w:val="auto"/>
          <w:kern w:val="0"/>
          <w:sz w:val="32"/>
          <w:szCs w:val="32"/>
          <w:lang w:val="en-US" w:eastAsia="zh-CN"/>
        </w:rPr>
        <w:t>4次培训，人数287人，内容为2023年补助项目管理人员能力提升班、农技微视频制作技能提升培训、稻再油技术示范现场观摩培训、补助项目管理人员（种植业）培训。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（四）政府采购情况：</w:t>
      </w:r>
      <w:r>
        <w:rPr>
          <w:rFonts w:hint="eastAsia" w:ascii="Calibri" w:hAnsi="Calibri" w:eastAsia="楷体_GB2312" w:cs="Times New Roman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本部门政府采购预算总额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color w:val="auto"/>
          <w:kern w:val="0"/>
          <w:sz w:val="32"/>
          <w:szCs w:val="32"/>
          <w:u w:val="none"/>
        </w:rPr>
      </w:pPr>
      <w:r>
        <w:rPr>
          <w:rFonts w:ascii="Calibri" w:hAnsi="Calibri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color w:val="auto"/>
          <w:sz w:val="32"/>
          <w:szCs w:val="32"/>
          <w:u w:val="none"/>
        </w:rPr>
        <w:t>截至202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eastAsia="仿宋_GB2312"/>
          <w:color w:val="auto"/>
          <w:sz w:val="32"/>
          <w:szCs w:val="32"/>
          <w:u w:val="none"/>
        </w:rPr>
        <w:t>年12月底，本单位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共有公务用车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1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辆；单位价值50万元以上通用设备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台。202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年拟新增配置公务用车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 xml:space="preserve">辆；新增配备单位价值50万元以上通用设备 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 xml:space="preserve">台，单位价值100万元以上专用设备 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color w:val="auto"/>
          <w:kern w:val="0"/>
          <w:sz w:val="32"/>
          <w:szCs w:val="32"/>
          <w:u w:val="none"/>
        </w:rPr>
        <w:t xml:space="preserve"> 台。</w:t>
      </w:r>
    </w:p>
    <w:p>
      <w:pPr>
        <w:widowControl/>
        <w:spacing w:line="600" w:lineRule="exact"/>
        <w:ind w:firstLine="660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ascii="Calibri" w:hAnsi="Calibri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本单位所有支出实行绩效目标管理。纳入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2023年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单位整体支出绩效目标的金额为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974.88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万元，其中，基本支出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586.20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万元，项目支出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val="en-US" w:eastAsia="zh-CN"/>
        </w:rPr>
        <w:t>388.68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万元</w:t>
      </w:r>
      <w:r>
        <w:rPr>
          <w:rFonts w:hint="eastAsia" w:ascii="仿宋_GB2312" w:hAnsi="微软雅黑" w:eastAsia="仿宋_GB2312" w:cs="宋体"/>
          <w:color w:val="333333"/>
          <w:kern w:val="0"/>
          <w:sz w:val="32"/>
          <w:szCs w:val="32"/>
          <w:lang w:eastAsia="zh-CN"/>
        </w:rPr>
        <w:t>，具体绩效目标详见报表</w:t>
      </w: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  <w:lang w:eastAsia="zh-CN"/>
        </w:rPr>
        <w:t>七</w:t>
      </w:r>
      <w:r>
        <w:rPr>
          <w:rFonts w:ascii="Calibri" w:hAnsi="Calibri" w:eastAsia="黑体" w:cs="Times New Roman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1、机关运行经费：是指各部门的公用经费，包括办公及印刷费、邮电费、差旅费、会议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r>
        <w:rPr>
          <w:rFonts w:ascii="仿宋_GB2312" w:hAnsi="微软雅黑" w:eastAsia="仿宋_GB2312" w:cs="宋体"/>
          <w:color w:val="333333"/>
          <w:kern w:val="0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widowControl/>
        <w:spacing w:line="600" w:lineRule="exact"/>
        <w:ind w:firstLine="660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hAnsi="微软雅黑" w:eastAsia="仿宋_GB2312" w:cs="宋体"/>
          <w:color w:val="333333"/>
          <w:kern w:val="0"/>
          <w:sz w:val="32"/>
          <w:szCs w:val="32"/>
        </w:rPr>
      </w:pPr>
      <w:bookmarkStart w:id="0" w:name="_GoBack"/>
      <w:bookmarkEnd w:id="0"/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2023年</w:t>
      </w:r>
      <w:r>
        <w:rPr>
          <w:rFonts w:eastAsia="方正小标宋_GBK"/>
          <w:bCs/>
          <w:kern w:val="0"/>
          <w:sz w:val="36"/>
          <w:szCs w:val="36"/>
        </w:rPr>
        <w:t>单位预算表</w:t>
      </w:r>
    </w:p>
    <w:p>
      <w:pPr>
        <w:widowControl/>
        <w:numPr>
          <w:ilvl w:val="0"/>
          <w:numId w:val="0"/>
        </w:numPr>
        <w:spacing w:line="600" w:lineRule="exact"/>
        <w:jc w:val="both"/>
        <w:rPr>
          <w:rFonts w:eastAsia="方正小标宋_GBK"/>
          <w:bCs/>
          <w:kern w:val="0"/>
          <w:sz w:val="36"/>
          <w:szCs w:val="36"/>
        </w:rPr>
      </w:pPr>
    </w:p>
    <w:p/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sectPr>
      <w:pgSz w:w="11906" w:h="16838"/>
      <w:pgMar w:top="1553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368F27"/>
    <w:multiLevelType w:val="singleLevel"/>
    <w:tmpl w:val="E1368F27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JmOGJjZWI3OGQ4ZjM1YzRlMjUyZTg5NTJlM2ZiNzQifQ=="/>
  </w:docVars>
  <w:rsids>
    <w:rsidRoot w:val="0018394A"/>
    <w:rsid w:val="00006D3E"/>
    <w:rsid w:val="00022D50"/>
    <w:rsid w:val="00026B21"/>
    <w:rsid w:val="000312D1"/>
    <w:rsid w:val="00033A98"/>
    <w:rsid w:val="000371D8"/>
    <w:rsid w:val="000438AD"/>
    <w:rsid w:val="0004634C"/>
    <w:rsid w:val="0004649B"/>
    <w:rsid w:val="0005766E"/>
    <w:rsid w:val="00073AC2"/>
    <w:rsid w:val="00081BED"/>
    <w:rsid w:val="000A4E07"/>
    <w:rsid w:val="000B49DC"/>
    <w:rsid w:val="000C4712"/>
    <w:rsid w:val="000D3A82"/>
    <w:rsid w:val="000D46A2"/>
    <w:rsid w:val="000E0820"/>
    <w:rsid w:val="000E405A"/>
    <w:rsid w:val="000F03D9"/>
    <w:rsid w:val="00110907"/>
    <w:rsid w:val="00111122"/>
    <w:rsid w:val="001113A1"/>
    <w:rsid w:val="00116CF5"/>
    <w:rsid w:val="00121A80"/>
    <w:rsid w:val="00121AB5"/>
    <w:rsid w:val="0012321D"/>
    <w:rsid w:val="00127C58"/>
    <w:rsid w:val="001421AD"/>
    <w:rsid w:val="001457F8"/>
    <w:rsid w:val="001466B3"/>
    <w:rsid w:val="001475EA"/>
    <w:rsid w:val="001516B8"/>
    <w:rsid w:val="00172096"/>
    <w:rsid w:val="0018394A"/>
    <w:rsid w:val="0018595D"/>
    <w:rsid w:val="001A61CB"/>
    <w:rsid w:val="001A73F3"/>
    <w:rsid w:val="001A77B8"/>
    <w:rsid w:val="001D29B5"/>
    <w:rsid w:val="001E15E1"/>
    <w:rsid w:val="001E2BCB"/>
    <w:rsid w:val="001E2D7A"/>
    <w:rsid w:val="001E32DC"/>
    <w:rsid w:val="001E5F5A"/>
    <w:rsid w:val="001F4E75"/>
    <w:rsid w:val="0020624A"/>
    <w:rsid w:val="0021602F"/>
    <w:rsid w:val="00232BA0"/>
    <w:rsid w:val="0024003F"/>
    <w:rsid w:val="002464CA"/>
    <w:rsid w:val="00253DAD"/>
    <w:rsid w:val="00264722"/>
    <w:rsid w:val="00283302"/>
    <w:rsid w:val="0029265E"/>
    <w:rsid w:val="002B165B"/>
    <w:rsid w:val="002C0BF1"/>
    <w:rsid w:val="002D1558"/>
    <w:rsid w:val="002E0BE9"/>
    <w:rsid w:val="002F642E"/>
    <w:rsid w:val="002F768E"/>
    <w:rsid w:val="00316C3D"/>
    <w:rsid w:val="0032147C"/>
    <w:rsid w:val="0034036B"/>
    <w:rsid w:val="003460C2"/>
    <w:rsid w:val="0035699D"/>
    <w:rsid w:val="003577E2"/>
    <w:rsid w:val="003805C3"/>
    <w:rsid w:val="00391234"/>
    <w:rsid w:val="00391360"/>
    <w:rsid w:val="00391386"/>
    <w:rsid w:val="003B2912"/>
    <w:rsid w:val="003B44C5"/>
    <w:rsid w:val="003C1E97"/>
    <w:rsid w:val="003D388A"/>
    <w:rsid w:val="004001B4"/>
    <w:rsid w:val="004075A1"/>
    <w:rsid w:val="0041711B"/>
    <w:rsid w:val="004317FF"/>
    <w:rsid w:val="00436D8F"/>
    <w:rsid w:val="00437D6C"/>
    <w:rsid w:val="00446C8B"/>
    <w:rsid w:val="00461701"/>
    <w:rsid w:val="00462B95"/>
    <w:rsid w:val="0046554D"/>
    <w:rsid w:val="004712C3"/>
    <w:rsid w:val="004729AE"/>
    <w:rsid w:val="00472FC7"/>
    <w:rsid w:val="004B220A"/>
    <w:rsid w:val="004B414A"/>
    <w:rsid w:val="004C0EB8"/>
    <w:rsid w:val="004C214D"/>
    <w:rsid w:val="004D3DBD"/>
    <w:rsid w:val="004D6931"/>
    <w:rsid w:val="004E1F28"/>
    <w:rsid w:val="004F2CA8"/>
    <w:rsid w:val="004F3A6E"/>
    <w:rsid w:val="004F4E42"/>
    <w:rsid w:val="005047A0"/>
    <w:rsid w:val="00506923"/>
    <w:rsid w:val="00510F0F"/>
    <w:rsid w:val="00510FF4"/>
    <w:rsid w:val="00527E9E"/>
    <w:rsid w:val="00541DF2"/>
    <w:rsid w:val="0054411E"/>
    <w:rsid w:val="00550765"/>
    <w:rsid w:val="00550D94"/>
    <w:rsid w:val="0055328F"/>
    <w:rsid w:val="00560051"/>
    <w:rsid w:val="0056026C"/>
    <w:rsid w:val="00562A95"/>
    <w:rsid w:val="005A3F0A"/>
    <w:rsid w:val="005A7D7E"/>
    <w:rsid w:val="005B0ACA"/>
    <w:rsid w:val="005C1C2D"/>
    <w:rsid w:val="005D28E9"/>
    <w:rsid w:val="005D49EA"/>
    <w:rsid w:val="005D6B27"/>
    <w:rsid w:val="005E100A"/>
    <w:rsid w:val="005E583F"/>
    <w:rsid w:val="005E727D"/>
    <w:rsid w:val="005F2BFF"/>
    <w:rsid w:val="005F48F5"/>
    <w:rsid w:val="0060506E"/>
    <w:rsid w:val="006070E9"/>
    <w:rsid w:val="00610E99"/>
    <w:rsid w:val="00620588"/>
    <w:rsid w:val="006447A6"/>
    <w:rsid w:val="006532FC"/>
    <w:rsid w:val="00676530"/>
    <w:rsid w:val="00681794"/>
    <w:rsid w:val="006830F2"/>
    <w:rsid w:val="0068359A"/>
    <w:rsid w:val="00685EA5"/>
    <w:rsid w:val="0069020F"/>
    <w:rsid w:val="006912D3"/>
    <w:rsid w:val="0069631A"/>
    <w:rsid w:val="006968E0"/>
    <w:rsid w:val="006A63BE"/>
    <w:rsid w:val="006C3A55"/>
    <w:rsid w:val="006D4963"/>
    <w:rsid w:val="006E7EA2"/>
    <w:rsid w:val="00706FE5"/>
    <w:rsid w:val="00710E0D"/>
    <w:rsid w:val="00717065"/>
    <w:rsid w:val="007177CA"/>
    <w:rsid w:val="0072059E"/>
    <w:rsid w:val="00733A2F"/>
    <w:rsid w:val="007613D7"/>
    <w:rsid w:val="00775468"/>
    <w:rsid w:val="007A29AD"/>
    <w:rsid w:val="007C4AF5"/>
    <w:rsid w:val="007E2688"/>
    <w:rsid w:val="007F0079"/>
    <w:rsid w:val="007F4444"/>
    <w:rsid w:val="00800948"/>
    <w:rsid w:val="008019C1"/>
    <w:rsid w:val="00802948"/>
    <w:rsid w:val="00805E46"/>
    <w:rsid w:val="00813EB9"/>
    <w:rsid w:val="00815C05"/>
    <w:rsid w:val="00816F43"/>
    <w:rsid w:val="008250E2"/>
    <w:rsid w:val="0084148E"/>
    <w:rsid w:val="0084716B"/>
    <w:rsid w:val="00851175"/>
    <w:rsid w:val="00853345"/>
    <w:rsid w:val="008545BF"/>
    <w:rsid w:val="00862FFE"/>
    <w:rsid w:val="00872328"/>
    <w:rsid w:val="0088314C"/>
    <w:rsid w:val="008A50D4"/>
    <w:rsid w:val="008A7506"/>
    <w:rsid w:val="008B24F5"/>
    <w:rsid w:val="008C346C"/>
    <w:rsid w:val="008C7F75"/>
    <w:rsid w:val="008D545F"/>
    <w:rsid w:val="008D6243"/>
    <w:rsid w:val="008E309F"/>
    <w:rsid w:val="008E475E"/>
    <w:rsid w:val="008F1125"/>
    <w:rsid w:val="00900DB2"/>
    <w:rsid w:val="00905B6C"/>
    <w:rsid w:val="00915CCE"/>
    <w:rsid w:val="0094520F"/>
    <w:rsid w:val="00946DC1"/>
    <w:rsid w:val="0095684F"/>
    <w:rsid w:val="00964E43"/>
    <w:rsid w:val="00980378"/>
    <w:rsid w:val="00980468"/>
    <w:rsid w:val="00995EDA"/>
    <w:rsid w:val="00996C2D"/>
    <w:rsid w:val="009A48A2"/>
    <w:rsid w:val="009B44CE"/>
    <w:rsid w:val="009C06B8"/>
    <w:rsid w:val="009C1716"/>
    <w:rsid w:val="009D5A6D"/>
    <w:rsid w:val="009F1D12"/>
    <w:rsid w:val="009F1F58"/>
    <w:rsid w:val="009F278C"/>
    <w:rsid w:val="00A04309"/>
    <w:rsid w:val="00A17D03"/>
    <w:rsid w:val="00A242C9"/>
    <w:rsid w:val="00A303E9"/>
    <w:rsid w:val="00A374B9"/>
    <w:rsid w:val="00A50D4C"/>
    <w:rsid w:val="00A560FD"/>
    <w:rsid w:val="00A614F1"/>
    <w:rsid w:val="00A75D19"/>
    <w:rsid w:val="00A82A33"/>
    <w:rsid w:val="00A90550"/>
    <w:rsid w:val="00A9434E"/>
    <w:rsid w:val="00A95D11"/>
    <w:rsid w:val="00AA22BA"/>
    <w:rsid w:val="00AC282B"/>
    <w:rsid w:val="00AE26EA"/>
    <w:rsid w:val="00AF11BF"/>
    <w:rsid w:val="00AF589F"/>
    <w:rsid w:val="00B00114"/>
    <w:rsid w:val="00B03F59"/>
    <w:rsid w:val="00B2293A"/>
    <w:rsid w:val="00B24511"/>
    <w:rsid w:val="00B46EBC"/>
    <w:rsid w:val="00B50482"/>
    <w:rsid w:val="00B62CDC"/>
    <w:rsid w:val="00B73DDC"/>
    <w:rsid w:val="00B74AB4"/>
    <w:rsid w:val="00B80BA3"/>
    <w:rsid w:val="00B8184D"/>
    <w:rsid w:val="00B85D1D"/>
    <w:rsid w:val="00BA3D34"/>
    <w:rsid w:val="00BD0C29"/>
    <w:rsid w:val="00BE2765"/>
    <w:rsid w:val="00BE570A"/>
    <w:rsid w:val="00BE68EA"/>
    <w:rsid w:val="00BF124B"/>
    <w:rsid w:val="00C10029"/>
    <w:rsid w:val="00C12C69"/>
    <w:rsid w:val="00C17341"/>
    <w:rsid w:val="00C206F0"/>
    <w:rsid w:val="00C225D3"/>
    <w:rsid w:val="00C33F00"/>
    <w:rsid w:val="00C401C3"/>
    <w:rsid w:val="00C40A26"/>
    <w:rsid w:val="00C52F52"/>
    <w:rsid w:val="00C63F1B"/>
    <w:rsid w:val="00C64792"/>
    <w:rsid w:val="00C76651"/>
    <w:rsid w:val="00CA06D4"/>
    <w:rsid w:val="00CA3979"/>
    <w:rsid w:val="00CD07C5"/>
    <w:rsid w:val="00CD7592"/>
    <w:rsid w:val="00D32643"/>
    <w:rsid w:val="00D33D3C"/>
    <w:rsid w:val="00D401E9"/>
    <w:rsid w:val="00D55BB5"/>
    <w:rsid w:val="00D64085"/>
    <w:rsid w:val="00D71359"/>
    <w:rsid w:val="00D751A5"/>
    <w:rsid w:val="00D76555"/>
    <w:rsid w:val="00D94D7F"/>
    <w:rsid w:val="00DA3DF8"/>
    <w:rsid w:val="00DA52CA"/>
    <w:rsid w:val="00DC4617"/>
    <w:rsid w:val="00DC7837"/>
    <w:rsid w:val="00DE74D3"/>
    <w:rsid w:val="00DF268A"/>
    <w:rsid w:val="00E022A3"/>
    <w:rsid w:val="00E033B4"/>
    <w:rsid w:val="00E15DCA"/>
    <w:rsid w:val="00E22FCC"/>
    <w:rsid w:val="00E252B6"/>
    <w:rsid w:val="00E30AE3"/>
    <w:rsid w:val="00E56170"/>
    <w:rsid w:val="00E648B6"/>
    <w:rsid w:val="00E7795A"/>
    <w:rsid w:val="00E8109B"/>
    <w:rsid w:val="00E9098E"/>
    <w:rsid w:val="00E9722D"/>
    <w:rsid w:val="00EA1CD9"/>
    <w:rsid w:val="00EA4FD1"/>
    <w:rsid w:val="00EB2FF9"/>
    <w:rsid w:val="00EB48C7"/>
    <w:rsid w:val="00ED0B2D"/>
    <w:rsid w:val="00EE5D42"/>
    <w:rsid w:val="00EF5F9A"/>
    <w:rsid w:val="00F0620B"/>
    <w:rsid w:val="00F06C60"/>
    <w:rsid w:val="00F21125"/>
    <w:rsid w:val="00F31E22"/>
    <w:rsid w:val="00F47115"/>
    <w:rsid w:val="00F51A64"/>
    <w:rsid w:val="00F82B36"/>
    <w:rsid w:val="00F87AEB"/>
    <w:rsid w:val="00FA0906"/>
    <w:rsid w:val="00FA34B2"/>
    <w:rsid w:val="00FA34C2"/>
    <w:rsid w:val="00FB0261"/>
    <w:rsid w:val="00FB415D"/>
    <w:rsid w:val="00FB5F18"/>
    <w:rsid w:val="00FC0A85"/>
    <w:rsid w:val="00FD33CD"/>
    <w:rsid w:val="00FD51C8"/>
    <w:rsid w:val="00FD7784"/>
    <w:rsid w:val="00FE0A40"/>
    <w:rsid w:val="00FE5B8C"/>
    <w:rsid w:val="02F40DA2"/>
    <w:rsid w:val="03426A03"/>
    <w:rsid w:val="07765BFC"/>
    <w:rsid w:val="18401E6D"/>
    <w:rsid w:val="2681443F"/>
    <w:rsid w:val="294A3654"/>
    <w:rsid w:val="29A210B5"/>
    <w:rsid w:val="2C756168"/>
    <w:rsid w:val="34110F76"/>
    <w:rsid w:val="386371A5"/>
    <w:rsid w:val="3A726DB2"/>
    <w:rsid w:val="3B4823CF"/>
    <w:rsid w:val="3B9D56CF"/>
    <w:rsid w:val="4B5502E1"/>
    <w:rsid w:val="4F2556F1"/>
    <w:rsid w:val="559E552E"/>
    <w:rsid w:val="5AAC0AED"/>
    <w:rsid w:val="5E6735F7"/>
    <w:rsid w:val="65B55BFE"/>
    <w:rsid w:val="691E1407"/>
    <w:rsid w:val="701F1712"/>
    <w:rsid w:val="71EB0B59"/>
    <w:rsid w:val="776767B1"/>
    <w:rsid w:val="787A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TML Sample"/>
    <w:basedOn w:val="9"/>
    <w:qFormat/>
    <w:uiPriority w:val="0"/>
    <w:rPr>
      <w:rFonts w:ascii="Courier New" w:hAnsi="Courier New" w:cs="Courier New"/>
    </w:rPr>
  </w:style>
  <w:style w:type="character" w:customStyle="1" w:styleId="11">
    <w:name w:val="标题 2 Char"/>
    <w:basedOn w:val="9"/>
    <w:link w:val="4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2">
    <w:name w:val="Char1 Char Char Char"/>
    <w:basedOn w:val="1"/>
    <w:qFormat/>
    <w:uiPriority w:val="0"/>
    <w:rPr>
      <w:rFonts w:ascii="Tahoma" w:hAnsi="Tahoma" w:eastAsia="仿宋_GB2312" w:cs="Times New Roman"/>
      <w:sz w:val="28"/>
      <w:szCs w:val="20"/>
    </w:rPr>
  </w:style>
  <w:style w:type="character" w:customStyle="1" w:styleId="13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7</Pages>
  <Words>2279</Words>
  <Characters>2485</Characters>
  <Lines>16</Lines>
  <Paragraphs>4</Paragraphs>
  <TotalTime>0</TotalTime>
  <ScaleCrop>false</ScaleCrop>
  <LinksUpToDate>false</LinksUpToDate>
  <CharactersWithSpaces>2495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2021-02-05T02:05:00Z</dcterms:created>
  <dc:creator>Windows 用户</dc:creator>
  <cp:lastModifiedBy>周铮</cp:lastModifiedBy>
  <cp:lastPrinted>2021-03-19T02:46:00Z</cp:lastPrinted>
  <dcterms:modified xsi:type="dcterms:W3CDTF">2023-03-03T02:57:13Z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08373149C3A845909063F1D6A4B1370D</vt:lpwstr>
  </property>
</Properties>
</file>