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/>
          <w:bCs/>
          <w:color w:val="auto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ascii="Times New Roman" w:hAnsi="Times New Roman" w:eastAsia="方正小标宋_GBK"/>
          <w:bCs/>
          <w:color w:val="auto"/>
          <w:kern w:val="0"/>
          <w:sz w:val="44"/>
          <w:szCs w:val="44"/>
          <w:lang w:eastAsia="zh-CN"/>
        </w:rPr>
        <w:t>湖南省康复辅具技术指导中心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单位预算</w:t>
      </w:r>
    </w:p>
    <w:p>
      <w:pPr>
        <w:widowControl/>
        <w:spacing w:line="600" w:lineRule="exact"/>
        <w:jc w:val="both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年单位预算说明</w:t>
      </w: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一、单位基本概况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 w:firstLineChars="196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（一）职能职责。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湖南省康复辅具技术指导中心为省民政厅直属公益二类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差额拨款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事业单位，主要是为残障人及失能半失能老年人提供康复护理服务。生产假肢、轮椅车、矫形器等康复辅助器具，提供伤残康复、护理训练以及民政相关业务加工服务。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 w:firstLineChars="196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楷体_GB2312"/>
          <w:b/>
          <w:color w:val="auto"/>
          <w:sz w:val="32"/>
          <w:szCs w:val="32"/>
        </w:rPr>
        <w:t>（二）机构设置。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湖南省康复辅具技术指导中心内设党建（人事）综合部、假肢配置部、辅具配置部、事业发展部、财务部、后勤服务部、养老服务部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个职能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 w:firstLineChars="196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楷体_GB2312"/>
          <w:b/>
          <w:color w:val="auto"/>
          <w:sz w:val="32"/>
          <w:szCs w:val="32"/>
          <w:lang w:eastAsia="zh-CN"/>
        </w:rPr>
        <w:t>（三）预算单位构成。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本单位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只有本级，没有其他预算单位，因此本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预算仅含本级预算。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二、单位收支总体情况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eastAsia="zh-CN"/>
        </w:rPr>
        <w:t>本单位无下属预算单位。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7" w:firstLineChars="196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eastAsia="黑体" w:cs="Times New Roman"/>
          <w:bCs/>
          <w:kern w:val="0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、单位收支总体情况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 w:firstLineChars="196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年本单位收入预算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3688.35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708.35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万元，政府性基金预算拨款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eastAsia="zh-CN"/>
        </w:rPr>
        <w:t>事业单位经营收入</w:t>
      </w:r>
      <w:r>
        <w:rPr>
          <w:rFonts w:hint="eastAsia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248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u w:val="none"/>
          <w:lang w:val="en-US" w:eastAsia="zh-CN"/>
        </w:rPr>
        <w:t>0万元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收入较去年增加</w:t>
      </w:r>
      <w:r>
        <w:rPr>
          <w:rFonts w:hint="eastAsia" w:eastAsia="仿宋_GB2312" w:cs="Times New Roman"/>
          <w:b w:val="0"/>
          <w:bCs/>
          <w:sz w:val="32"/>
          <w:szCs w:val="32"/>
          <w:lang w:val="en-US" w:eastAsia="zh-CN"/>
        </w:rPr>
        <w:t>853.80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万元，主要是</w:t>
      </w:r>
      <w:r>
        <w:rPr>
          <w:rFonts w:ascii="Times New Roman" w:hAnsi="Times New Roman" w:eastAsia="仿宋_GB2312"/>
          <w:b w:val="0"/>
          <w:bCs/>
          <w:color w:val="auto"/>
          <w:sz w:val="32"/>
          <w:szCs w:val="32"/>
          <w:u w:val="none"/>
        </w:rPr>
        <w:t>一般公共预算拨款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u w:val="none"/>
          <w:lang w:eastAsia="zh-CN"/>
        </w:rPr>
        <w:t>减少</w:t>
      </w:r>
      <w:r>
        <w:rPr>
          <w:rFonts w:hint="eastAsia" w:ascii="Times New Roman" w:hAnsi="Times New Roman" w:eastAsia="仿宋_GB2312"/>
          <w:b w:val="0"/>
          <w:bCs/>
          <w:color w:val="auto"/>
          <w:sz w:val="32"/>
          <w:szCs w:val="32"/>
          <w:u w:val="none"/>
          <w:lang w:val="en-US" w:eastAsia="zh-CN"/>
        </w:rPr>
        <w:t>20.62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u w:val="none"/>
        </w:rPr>
        <w:t>万元</w:t>
      </w:r>
      <w:r>
        <w:rPr>
          <w:rFonts w:hint="eastAsia" w:eastAsia="仿宋_GB2312" w:cs="仿宋_GB2312"/>
          <w:b w:val="0"/>
          <w:bCs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eastAsia="仿宋_GB2312" w:cs="仿宋_GB2312"/>
          <w:b w:val="0"/>
          <w:bCs/>
          <w:color w:val="auto"/>
          <w:sz w:val="32"/>
          <w:szCs w:val="32"/>
          <w:u w:val="none"/>
          <w:lang w:val="en-US" w:eastAsia="zh-CN"/>
        </w:rPr>
        <w:t>中央政府性基金补助减少600万元，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u w:val="none"/>
          <w:lang w:eastAsia="zh-CN"/>
        </w:rPr>
        <w:t>事业单位经营收入</w:t>
      </w:r>
      <w:r>
        <w:rPr>
          <w:rFonts w:hint="eastAsia" w:eastAsia="仿宋_GB2312"/>
          <w:b w:val="0"/>
          <w:bCs/>
          <w:color w:val="auto"/>
          <w:sz w:val="32"/>
          <w:szCs w:val="32"/>
          <w:u w:val="none"/>
          <w:lang w:eastAsia="zh-CN"/>
        </w:rPr>
        <w:t>增加</w:t>
      </w:r>
      <w:r>
        <w:rPr>
          <w:rFonts w:hint="eastAsia" w:eastAsia="仿宋_GB2312"/>
          <w:b w:val="0"/>
          <w:bCs/>
          <w:color w:val="auto"/>
          <w:sz w:val="32"/>
          <w:szCs w:val="32"/>
          <w:u w:val="none"/>
          <w:lang w:val="en-US" w:eastAsia="zh-CN"/>
        </w:rPr>
        <w:t>1480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9" w:firstLineChars="196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3688.35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3030.56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卫生健康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62.91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住房保障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94.88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其他支出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500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支出较去年增加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增加</w:t>
      </w:r>
      <w:r>
        <w:rPr>
          <w:rFonts w:hint="eastAsia" w:eastAsia="仿宋_GB2312" w:cs="Times New Roman"/>
          <w:b w:val="0"/>
          <w:bCs/>
          <w:sz w:val="32"/>
          <w:szCs w:val="32"/>
          <w:lang w:val="en-US" w:eastAsia="zh-CN"/>
        </w:rPr>
        <w:t>853.80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社会保障和就业支出增加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1401.01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卫生健康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增加17.91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住房保障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增加34.88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其他支出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减少600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、一般公共预算拨款支出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年本单位一般公共预算拨款支出预算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708.35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社会保障和就业支出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28.35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88.70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 xml:space="preserve"> %；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卫生健康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30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万元，占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4.24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%；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住房保障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7.06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 xml:space="preserve"> 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。具体安排情况如下：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年本单位基本支出预算数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708.35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年本单位项目支出预算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、政府性基金预算支出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年本单位政府性基金支出预算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</w:t>
      </w:r>
      <w:r>
        <w:rPr>
          <w:rFonts w:hint="eastAsia" w:eastAsia="仿宋_GB2312" w:cs="Times New Roman"/>
          <w:sz w:val="32"/>
          <w:szCs w:val="32"/>
          <w:lang w:eastAsia="zh-CN"/>
        </w:rPr>
        <w:t>其他支出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%。具体安排情况如下：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福彩公益金助残项目500万元。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8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ascii="Times New Roman" w:hAnsi="Times New Roman" w:eastAsia="仿宋_GB2312"/>
          <w:color w:val="auto"/>
          <w:sz w:val="32"/>
          <w:szCs w:val="32"/>
        </w:rPr>
        <w:t>本单位机关运行经费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40.5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万元，比上年预算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持平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年本单位“三公”经费预算数为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万元，其中，公务接待费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万元，公务用车购置及运行费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 xml:space="preserve"> 万元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（其中公务用车购置费0万元，公务用车运行费5万元）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eastAsia="zh-CN"/>
        </w:rPr>
        <w:t>，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因公出国（境）费</w:t>
      </w:r>
      <w:r>
        <w:rPr>
          <w:rFonts w:hint="eastAsia" w:ascii="Times New Roman" w:hAnsi="Times New Roman" w:eastAsia="仿宋_GB2312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万元。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202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年“三公”经费预算比上年</w:t>
      </w:r>
      <w:r>
        <w:rPr>
          <w:rFonts w:hint="eastAsia" w:eastAsia="仿宋_GB2312"/>
          <w:color w:val="auto"/>
          <w:sz w:val="32"/>
          <w:szCs w:val="32"/>
          <w:u w:val="none"/>
          <w:lang w:eastAsia="zh-CN"/>
        </w:rPr>
        <w:t>持平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年本单位</w:t>
      </w:r>
      <w:r>
        <w:rPr>
          <w:rFonts w:ascii="Times New Roman" w:hAnsi="Times New Roman" w:eastAsia="仿宋_GB2312"/>
          <w:color w:val="auto"/>
          <w:sz w:val="32"/>
          <w:szCs w:val="32"/>
        </w:rPr>
        <w:t>本</w:t>
      </w:r>
      <w:r>
        <w:rPr>
          <w:rFonts w:hint="eastAsia" w:eastAsia="仿宋_GB2312"/>
          <w:color w:val="auto"/>
          <w:sz w:val="32"/>
          <w:szCs w:val="32"/>
          <w:lang w:eastAsia="zh-CN"/>
        </w:rPr>
        <w:t>单位未安排培训、会议、</w:t>
      </w:r>
      <w:r>
        <w:rPr>
          <w:rFonts w:eastAsia="仿宋_GB2312"/>
          <w:color w:val="auto"/>
          <w:kern w:val="0"/>
          <w:sz w:val="32"/>
          <w:szCs w:val="32"/>
        </w:rPr>
        <w:t>节庆、晚会、论坛、赛事活动</w:t>
      </w:r>
      <w:r>
        <w:rPr>
          <w:rFonts w:hint="eastAsia" w:eastAsia="仿宋_GB2312"/>
          <w:color w:val="auto"/>
          <w:kern w:val="0"/>
          <w:sz w:val="32"/>
          <w:szCs w:val="32"/>
          <w:lang w:eastAsia="zh-CN"/>
        </w:rPr>
        <w:t>，无相关经费预算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万元，其中，货物类采购预算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250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万元；工程类采购预算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万元；服务类采购预算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年12月底，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本单位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共有公务用车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辆，其中特种专业技术用车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辆；单位价值50万元以上通用设备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1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台。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eastAsia="zh-CN"/>
        </w:rPr>
        <w:t>2022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 xml:space="preserve">年拟新增配置公务用车 </w:t>
      </w:r>
      <w:r>
        <w:rPr>
          <w:rFonts w:hint="eastAsia" w:ascii="Times New Roman" w:hAnsi="Times New Roman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 xml:space="preserve"> 辆；新增配备单位价值50万元以上通用设备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台，单位价值100万元以上专用设备</w:t>
      </w:r>
      <w:r>
        <w:rPr>
          <w:rFonts w:hint="eastAsia" w:eastAsia="仿宋_GB2312"/>
          <w:bCs/>
          <w:color w:val="auto"/>
          <w:kern w:val="0"/>
          <w:sz w:val="32"/>
          <w:szCs w:val="32"/>
          <w:u w:val="none"/>
          <w:lang w:val="en-US" w:eastAsia="zh-CN"/>
        </w:rPr>
        <w:t>0</w:t>
      </w:r>
      <w:r>
        <w:rPr>
          <w:rFonts w:ascii="Times New Roman" w:hAnsi="Times New Roman" w:eastAsia="仿宋_GB2312"/>
          <w:bCs/>
          <w:color w:val="auto"/>
          <w:kern w:val="0"/>
          <w:sz w:val="32"/>
          <w:szCs w:val="32"/>
          <w:u w:val="none"/>
        </w:rPr>
        <w:t>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本单位所有支出实行绩效目标管理。纳入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年单位整体支出绩效目标的金额为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3688.35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1479.61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eastAsia="仿宋_GB2312" w:cs="Times New Roman"/>
          <w:bCs/>
          <w:kern w:val="0"/>
          <w:sz w:val="32"/>
          <w:szCs w:val="32"/>
          <w:lang w:val="en-US" w:eastAsia="zh-CN"/>
        </w:rPr>
        <w:t>2208.74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eastAsia="zh-CN"/>
        </w:rPr>
        <w:t>七</w:t>
      </w: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、名词解释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年单位预算表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xN2Q1MDIzZDdhODE1OGE2OTI1ODEzNzg5MWNlZjAifQ=="/>
  </w:docVars>
  <w:rsids>
    <w:rsidRoot w:val="00172A27"/>
    <w:rsid w:val="051F1175"/>
    <w:rsid w:val="11DD1857"/>
    <w:rsid w:val="3FCBE231"/>
    <w:rsid w:val="4BCB4C29"/>
    <w:rsid w:val="72571615"/>
    <w:rsid w:val="73B6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7</Pages>
  <Words>2190</Words>
  <Characters>2403</Characters>
  <Lines>0</Lines>
  <Paragraphs>0</Paragraphs>
  <TotalTime>0</TotalTime>
  <ScaleCrop>false</ScaleCrop>
  <LinksUpToDate>false</LinksUpToDate>
  <CharactersWithSpaces>2413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greatwall</cp:lastModifiedBy>
  <cp:lastPrinted>2023-02-20T15:18:00Z</cp:lastPrinted>
  <dcterms:modified xsi:type="dcterms:W3CDTF">2023-03-04T12:26:15Z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5C78EE08E96742BC9E2ECB7087FEE81B</vt:lpwstr>
  </property>
</Properties>
</file>