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N w:val="0"/>
        <w:spacing w:line="56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ascii="方正小标宋简体" w:hAnsi="Calibri" w:eastAsia="方正小标宋简体"/>
          <w:sz w:val="44"/>
          <w:szCs w:val="44"/>
        </w:rPr>
        <w:t>202</w:t>
      </w:r>
      <w:r>
        <w:rPr>
          <w:rFonts w:hint="eastAsia" w:ascii="方正小标宋简体" w:hAnsi="Calibri" w:eastAsia="方正小标宋简体"/>
          <w:sz w:val="44"/>
          <w:szCs w:val="44"/>
        </w:rPr>
        <w:t>2</w:t>
      </w:r>
      <w:r>
        <w:rPr>
          <w:rFonts w:ascii="方正小标宋简体" w:hAnsi="Calibri" w:eastAsia="方正小标宋简体"/>
          <w:sz w:val="44"/>
          <w:szCs w:val="44"/>
        </w:rPr>
        <w:t>年</w:t>
      </w:r>
      <w:r>
        <w:rPr>
          <w:rFonts w:hint="eastAsia" w:ascii="方正小标宋简体" w:hAnsi="Calibri" w:eastAsia="方正小标宋简体"/>
          <w:sz w:val="44"/>
          <w:szCs w:val="44"/>
        </w:rPr>
        <w:t>湖南省</w:t>
      </w:r>
      <w:r>
        <w:rPr>
          <w:rFonts w:ascii="方正小标宋简体" w:hAnsi="Calibri" w:eastAsia="方正小标宋简体"/>
          <w:sz w:val="44"/>
          <w:szCs w:val="44"/>
        </w:rPr>
        <w:t>科学技术</w:t>
      </w:r>
      <w:r>
        <w:rPr>
          <w:rFonts w:hint="eastAsia" w:ascii="方正小标宋简体" w:hAnsi="Calibri" w:eastAsia="方正小标宋简体"/>
          <w:sz w:val="44"/>
          <w:szCs w:val="44"/>
        </w:rPr>
        <w:t>咨询中心单位</w:t>
      </w:r>
      <w:r>
        <w:rPr>
          <w:rFonts w:ascii="方正小标宋简体" w:hAnsi="Calibri" w:eastAsia="方正小标宋简体"/>
          <w:sz w:val="44"/>
          <w:szCs w:val="44"/>
        </w:rPr>
        <w:t>预算</w:t>
      </w:r>
    </w:p>
    <w:p>
      <w:pPr>
        <w:widowControl/>
        <w:autoSpaceDN w:val="0"/>
        <w:spacing w:line="56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目录</w:t>
      </w:r>
    </w:p>
    <w:p>
      <w:pPr>
        <w:widowControl/>
        <w:autoSpaceDN w:val="0"/>
        <w:spacing w:line="56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ind w:firstLine="643" w:firstLineChars="200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hint="eastAsia" w:eastAsia="仿宋_GB2312"/>
          <w:b/>
          <w:bCs/>
          <w:kern w:val="0"/>
          <w:sz w:val="32"/>
          <w:szCs w:val="32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预算说明</w:t>
      </w:r>
    </w:p>
    <w:p>
      <w:pPr>
        <w:widowControl/>
        <w:autoSpaceDN w:val="0"/>
        <w:spacing w:line="56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hint="eastAsia" w:eastAsia="仿宋_GB2312"/>
          <w:b/>
          <w:bCs/>
          <w:kern w:val="0"/>
          <w:sz w:val="32"/>
          <w:szCs w:val="32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autoSpaceDN w:val="0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autoSpaceDN w:val="0"/>
        <w:spacing w:line="56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无相关收支情况。</w:t>
      </w:r>
    </w:p>
    <w:p>
      <w:pPr>
        <w:widowControl/>
        <w:autoSpaceDN w:val="0"/>
        <w:spacing w:line="56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autoSpaceDN w:val="0"/>
        <w:spacing w:line="560" w:lineRule="exact"/>
        <w:rPr>
          <w:rFonts w:eastAsia="仿宋_GB2312"/>
          <w:bCs/>
          <w:kern w:val="0"/>
          <w:sz w:val="32"/>
          <w:szCs w:val="32"/>
        </w:rPr>
      </w:pPr>
    </w:p>
    <w:p>
      <w:pPr>
        <w:autoSpaceDN w:val="0"/>
        <w:spacing w:line="56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pStyle w:val="2"/>
        <w:spacing w:line="560" w:lineRule="exact"/>
        <w:ind w:left="0" w:firstLine="640" w:firstLineChars="200"/>
        <w:jc w:val="both"/>
        <w:rPr>
          <w:rFonts w:ascii="黑体" w:eastAsia="黑体"/>
        </w:rPr>
      </w:pPr>
    </w:p>
    <w:p>
      <w:pPr>
        <w:autoSpaceDN w:val="0"/>
        <w:spacing w:line="560" w:lineRule="exact"/>
        <w:ind w:firstLine="640" w:firstLineChars="200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</w:rPr>
        <w:t>单位</w:t>
      </w:r>
      <w:r>
        <w:rPr>
          <w:rFonts w:eastAsia="黑体"/>
          <w:bCs/>
          <w:kern w:val="0"/>
          <w:sz w:val="32"/>
          <w:szCs w:val="32"/>
        </w:rPr>
        <w:t>基本概况</w:t>
      </w:r>
    </w:p>
    <w:p>
      <w:pPr>
        <w:autoSpaceDN w:val="0"/>
        <w:spacing w:line="56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（一）职能职责</w:t>
      </w:r>
    </w:p>
    <w:p>
      <w:pPr>
        <w:pStyle w:val="2"/>
        <w:spacing w:line="560" w:lineRule="exact"/>
        <w:ind w:left="0" w:firstLine="640" w:firstLineChars="200"/>
        <w:jc w:val="both"/>
        <w:rPr>
          <w:rFonts w:ascii="仿宋_GB2312" w:hAnsi="仿宋" w:eastAsia="仿宋_GB2312" w:cs="Times New Roman"/>
          <w:kern w:val="2"/>
          <w:szCs w:val="20"/>
          <w:lang w:val="en-US" w:bidi="ar-SA"/>
        </w:rPr>
      </w:pPr>
      <w:r>
        <w:rPr>
          <w:rFonts w:hint="eastAsia" w:ascii="仿宋_GB2312" w:hAnsi="仿宋" w:eastAsia="仿宋_GB2312" w:cs="Times New Roman"/>
          <w:kern w:val="2"/>
          <w:szCs w:val="20"/>
          <w:lang w:val="en-US" w:bidi="ar-SA"/>
        </w:rPr>
        <w:t>湖南省科学技术咨询中心是1983年按省编委[1983]106号文件批准成立的非赢利性事业咨询机构（公益性事业单位），隶属于湖南省科协的差额事业单位。其业务工作是：为经济、科技、社会发展提供信息与咨询服务。接受委托，承担建设项目、技改项目可行性研究和评估，区域性、行业类、综合性规划与论证，工程、管理、质量认证、司法鉴定、开展各种技术开发、转让、培训等，承建全省科技咨询网络，组织科技人员国内外科技考察，提供信息咨询服务。</w:t>
      </w:r>
    </w:p>
    <w:p>
      <w:pPr>
        <w:pStyle w:val="2"/>
        <w:spacing w:line="560" w:lineRule="exact"/>
        <w:ind w:left="0" w:firstLine="640" w:firstLineChars="200"/>
        <w:jc w:val="both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（二）机构设置</w:t>
      </w:r>
    </w:p>
    <w:p>
      <w:pPr>
        <w:autoSpaceDN w:val="0"/>
        <w:spacing w:line="560" w:lineRule="exact"/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湖南</w:t>
      </w:r>
      <w:r>
        <w:rPr>
          <w:rFonts w:hint="eastAsia" w:ascii="仿宋_GB2312" w:hAnsi="仿宋" w:eastAsia="仿宋_GB2312"/>
          <w:sz w:val="32"/>
        </w:rPr>
        <w:t>省科技咨询中心设有主任办、副主任办和5个职能科室，科室分别为：办公室、决策咨询服务部、司法鉴定项目部、企业创新服务部、专利信息服务部，编制8人，年末实有人数8人。</w:t>
      </w:r>
    </w:p>
    <w:p>
      <w:pPr>
        <w:numPr>
          <w:ilvl w:val="0"/>
          <w:numId w:val="0"/>
        </w:numPr>
        <w:autoSpaceDN w:val="0"/>
        <w:spacing w:line="560" w:lineRule="exact"/>
        <w:ind w:firstLine="640" w:firstLineChars="200"/>
        <w:rPr>
          <w:rFonts w:hint="default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  <w:t>二、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部门预算单位构成</w:t>
      </w:r>
    </w:p>
    <w:p>
      <w:pPr>
        <w:autoSpaceDN w:val="0"/>
        <w:spacing w:line="560" w:lineRule="exact"/>
        <w:ind w:firstLine="640" w:firstLineChars="200"/>
        <w:rPr>
          <w:rFonts w:hint="default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湖南</w:t>
      </w:r>
      <w:r>
        <w:rPr>
          <w:rFonts w:hint="eastAsia" w:ascii="仿宋_GB2312" w:hAnsi="仿宋" w:eastAsia="仿宋_GB2312"/>
          <w:sz w:val="32"/>
        </w:rPr>
        <w:t>省</w:t>
      </w:r>
      <w:r>
        <w:rPr>
          <w:rFonts w:hint="eastAsia" w:ascii="仿宋_GB2312" w:hAnsi="仿宋" w:eastAsia="仿宋_GB2312"/>
          <w:sz w:val="32"/>
          <w:lang w:val="en-US" w:eastAsia="zh-CN"/>
        </w:rPr>
        <w:t>科学技术</w:t>
      </w:r>
      <w:r>
        <w:rPr>
          <w:rFonts w:hint="eastAsia" w:ascii="仿宋_GB2312" w:hAnsi="仿宋" w:eastAsia="仿宋_GB2312"/>
          <w:sz w:val="32"/>
        </w:rPr>
        <w:t>咨询中心</w:t>
      </w:r>
      <w:r>
        <w:rPr>
          <w:rFonts w:hint="eastAsia" w:ascii="仿宋_GB2312" w:hAnsi="仿宋" w:eastAsia="仿宋_GB2312"/>
          <w:sz w:val="32"/>
          <w:lang w:val="en-US" w:eastAsia="zh-CN"/>
        </w:rPr>
        <w:t>只有本级，没有其他预算单位，因此本部门预算仅含本级预算。</w:t>
      </w:r>
    </w:p>
    <w:p>
      <w:pPr>
        <w:autoSpaceDN w:val="0"/>
        <w:spacing w:line="560" w:lineRule="exact"/>
        <w:ind w:firstLine="640" w:firstLineChars="200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部门</w:t>
      </w:r>
      <w:r>
        <w:rPr>
          <w:rFonts w:eastAsia="黑体"/>
          <w:bCs/>
          <w:kern w:val="0"/>
          <w:sz w:val="32"/>
          <w:szCs w:val="32"/>
        </w:rPr>
        <w:t>收支总体情况</w:t>
      </w:r>
      <w:bookmarkStart w:id="0" w:name="_GoBack"/>
      <w:bookmarkEnd w:id="0"/>
    </w:p>
    <w:p>
      <w:pPr>
        <w:widowControl/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ascii="仿宋_GB2312" w:eastAsia="仿宋_GB2312"/>
          <w:sz w:val="32"/>
          <w:szCs w:val="32"/>
        </w:rPr>
        <w:t>2022年本单位收入预算349.49万元，其中，一般公共预算拨款296.54万元，上级财政补助收入0万元，事业收入0万元，事业单位经营收入40万元，其他收入2万元，上年结转结余10.95万元。收入较上年年初预算批</w:t>
      </w:r>
      <w:r>
        <w:rPr>
          <w:rFonts w:ascii="仿宋_GB2312" w:eastAsia="仿宋_GB2312"/>
          <w:sz w:val="32"/>
          <w:szCs w:val="32"/>
        </w:rPr>
        <w:t>复数</w:t>
      </w:r>
      <w:r>
        <w:rPr>
          <w:rFonts w:hint="eastAsia" w:ascii="仿宋_GB2312" w:eastAsia="仿宋_GB2312"/>
          <w:sz w:val="32"/>
          <w:szCs w:val="32"/>
        </w:rPr>
        <w:t>减少202.05</w:t>
      </w:r>
      <w:r>
        <w:rPr>
          <w:rFonts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主要原因是</w:t>
      </w:r>
      <w:r>
        <w:rPr>
          <w:rFonts w:hint="eastAsia" w:ascii="仿宋_GB2312" w:eastAsia="仿宋_GB2312"/>
          <w:sz w:val="32"/>
          <w:szCs w:val="32"/>
        </w:rPr>
        <w:t>2022年的上年结转结余较上年少114.35万元，经营收入减少90万元，主要本单位2019年承办了中国科协全国创新方法大赛，部分资金2020年才到位，未能及时支出，结转至2021年作全口径预算，而2022年预算无全国创新方法大赛项目。</w:t>
      </w:r>
    </w:p>
    <w:p>
      <w:pPr>
        <w:widowControl/>
        <w:autoSpaceDN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（二）支出预算：</w:t>
      </w:r>
      <w:r>
        <w:rPr>
          <w:rFonts w:hint="eastAsia" w:ascii="仿宋_GB2312" w:hAnsi="仿宋" w:eastAsia="仿宋_GB2312"/>
          <w:sz w:val="32"/>
          <w:szCs w:val="32"/>
        </w:rPr>
        <w:t>2022年</w:t>
      </w:r>
      <w:r>
        <w:rPr>
          <w:rFonts w:hint="eastAsia" w:ascii="仿宋_GB2312" w:eastAsia="仿宋_GB2312"/>
          <w:sz w:val="32"/>
          <w:szCs w:val="32"/>
        </w:rPr>
        <w:t>本单位支出预算349.49万元，</w:t>
      </w:r>
      <w:r>
        <w:rPr>
          <w:rFonts w:hint="eastAsia" w:ascii="仿宋_GB2312" w:hAnsi="仿宋" w:eastAsia="仿宋_GB2312"/>
          <w:sz w:val="32"/>
          <w:szCs w:val="32"/>
        </w:rPr>
        <w:t>其中，科学技术支出329.49万元，住房保障支出20万元。支出较上年年初预算批复数</w:t>
      </w:r>
      <w:r>
        <w:rPr>
          <w:rFonts w:hint="eastAsia" w:ascii="仿宋_GB2312" w:eastAsia="仿宋_GB2312"/>
          <w:sz w:val="32"/>
          <w:szCs w:val="32"/>
        </w:rPr>
        <w:t>减少202.05</w:t>
      </w:r>
      <w:r>
        <w:rPr>
          <w:rFonts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主要原因是</w:t>
      </w:r>
      <w:r>
        <w:rPr>
          <w:rFonts w:hint="eastAsia" w:ascii="仿宋_GB2312" w:eastAsia="仿宋_GB2312"/>
          <w:sz w:val="32"/>
          <w:szCs w:val="32"/>
        </w:rPr>
        <w:t>2022年预算无承办中国创新方法大赛总决赛活动，支出相应减少。</w:t>
      </w:r>
    </w:p>
    <w:p>
      <w:pPr>
        <w:autoSpaceDN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四、一般公共预算拨款支出</w:t>
      </w:r>
    </w:p>
    <w:p>
      <w:pPr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2022年一般公共预算拨款支出307.49万元（含上年结转资金10.95万元），其中，科学技术支出287.49万元，占93.50%；住房保障支出20万元，占6.50%。具体安排情况如下：</w:t>
      </w:r>
    </w:p>
    <w:p>
      <w:pPr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（一）基本支出：</w:t>
      </w:r>
      <w:r>
        <w:rPr>
          <w:rFonts w:hint="eastAsia" w:ascii="仿宋_GB2312" w:eastAsia="仿宋_GB2312"/>
          <w:sz w:val="32"/>
          <w:szCs w:val="32"/>
        </w:rPr>
        <w:t>2022年基本支出预算数190.79万元，主要是为保障部门正常运转、完成日常工作任务而发生的各项支出，</w:t>
      </w:r>
      <w:r>
        <w:rPr>
          <w:rFonts w:hint="eastAsia" w:ascii="仿宋_GB2312" w:hAnsi="仿宋" w:eastAsia="仿宋_GB2312"/>
          <w:sz w:val="32"/>
          <w:szCs w:val="32"/>
        </w:rPr>
        <w:t>基本工资、津贴补贴等人员经费以及办公费、差旅费、水电费、物业管理费、公务用车运行费等日常公用经费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autoSpaceDN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（二）项目支出：</w:t>
      </w:r>
      <w:r>
        <w:rPr>
          <w:rFonts w:hint="eastAsia" w:ascii="仿宋_GB2312" w:eastAsia="仿宋_GB2312"/>
          <w:sz w:val="32"/>
          <w:szCs w:val="32"/>
        </w:rPr>
        <w:t>2022年项目支出预算数116.70万元，</w:t>
      </w:r>
      <w:r>
        <w:rPr>
          <w:rFonts w:hint="eastAsia" w:ascii="仿宋_GB2312" w:hAnsi="仿宋" w:eastAsia="仿宋_GB2312"/>
          <w:sz w:val="32"/>
          <w:szCs w:val="32"/>
        </w:rPr>
        <w:t>是指单位为完成特定行政工作任务或事业发展目标而发生的支出，包括有关事业发展、业务工作和用于科普资源采集等其他方面的专项经费等。其中：业务工作经费支出</w:t>
      </w:r>
      <w:r>
        <w:rPr>
          <w:rFonts w:hint="eastAsia" w:ascii="仿宋_GB2312" w:eastAsia="仿宋_GB2312"/>
          <w:sz w:val="32"/>
          <w:szCs w:val="32"/>
        </w:rPr>
        <w:t>115.95</w:t>
      </w:r>
      <w:r>
        <w:rPr>
          <w:rFonts w:hint="eastAsia" w:ascii="仿宋_GB2312" w:hAnsi="仿宋" w:eastAsia="仿宋_GB2312"/>
          <w:sz w:val="32"/>
          <w:szCs w:val="32"/>
        </w:rPr>
        <w:t>万元，主要用于乡村振兴评估、湖南省创新方法大赛、院士专家工作站建设、科普日活动项目；运行维护经费支出0.75万元，主要用于采购财务用笔记本电脑一台。</w:t>
      </w:r>
    </w:p>
    <w:p>
      <w:pPr>
        <w:widowControl/>
        <w:autoSpaceDN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五、政府性基金预算支出</w:t>
      </w:r>
    </w:p>
    <w:p>
      <w:pPr>
        <w:autoSpaceDN w:val="0"/>
        <w:spacing w:line="560" w:lineRule="exact"/>
        <w:ind w:firstLine="640" w:firstLineChars="200"/>
      </w:pPr>
      <w:r>
        <w:rPr>
          <w:rFonts w:hint="eastAsia" w:ascii="仿宋_GB2312" w:hAnsi="仿宋" w:eastAsia="仿宋_GB2312"/>
          <w:sz w:val="32"/>
          <w:szCs w:val="32"/>
        </w:rPr>
        <w:t>2022年本部门无政府性基金安排的支出。</w:t>
      </w:r>
    </w:p>
    <w:p>
      <w:pPr>
        <w:autoSpaceDN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六、其他重要事项的情况说明</w:t>
      </w:r>
    </w:p>
    <w:p>
      <w:pPr>
        <w:widowControl/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（一）机关运行经费：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年本</w:t>
      </w:r>
      <w:r>
        <w:rPr>
          <w:rFonts w:hint="eastAsia" w:ascii="仿宋_GB2312" w:eastAsia="仿宋_GB2312"/>
          <w:sz w:val="32"/>
          <w:szCs w:val="32"/>
        </w:rPr>
        <w:t>单位机关运行经费56.51</w:t>
      </w:r>
      <w:r>
        <w:rPr>
          <w:rFonts w:ascii="仿宋_GB2312" w:eastAsia="仿宋_GB2312"/>
          <w:sz w:val="32"/>
          <w:szCs w:val="32"/>
        </w:rPr>
        <w:t>万元，比上年预算</w:t>
      </w:r>
      <w:r>
        <w:rPr>
          <w:rFonts w:hint="eastAsia" w:ascii="仿宋_GB2312" w:eastAsia="仿宋_GB2312"/>
          <w:sz w:val="32"/>
          <w:szCs w:val="32"/>
        </w:rPr>
        <w:t>增加27.23</w:t>
      </w:r>
      <w:r>
        <w:rPr>
          <w:rFonts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上升32.52</w:t>
      </w:r>
      <w:r>
        <w:rPr>
          <w:rFonts w:ascii="仿宋_GB2312" w:eastAsia="仿宋_GB2312"/>
          <w:sz w:val="32"/>
          <w:szCs w:val="32"/>
        </w:rPr>
        <w:t>%，主要是</w:t>
      </w:r>
      <w:r>
        <w:rPr>
          <w:rFonts w:hint="eastAsia" w:ascii="仿宋_GB2312" w:eastAsia="仿宋_GB2312"/>
          <w:sz w:val="32"/>
          <w:szCs w:val="32"/>
        </w:rPr>
        <w:t>增加劳务费、办公费、差旅费等</w:t>
      </w:r>
      <w:r>
        <w:rPr>
          <w:rFonts w:ascii="仿宋_GB2312" w:eastAsia="仿宋_GB2312"/>
          <w:sz w:val="32"/>
          <w:szCs w:val="32"/>
        </w:rPr>
        <w:t>开支。</w:t>
      </w:r>
    </w:p>
    <w:p>
      <w:pPr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（二）“三公”经费预算：</w:t>
      </w:r>
      <w:r>
        <w:rPr>
          <w:rFonts w:hint="eastAsia" w:ascii="仿宋_GB2312" w:eastAsia="仿宋_GB2312"/>
          <w:sz w:val="32"/>
          <w:szCs w:val="32"/>
        </w:rPr>
        <w:t>2022年本单位“三公”经费预算数为3万元，其中，公务接待费1万元，公务用车购置及运行费2万元（其中，公务用车购置费0万元，公务用车运行费2万元），因公出国（境）费0万元。2022年“三公”经费预算较2021年减少1.5万元，主要是公务用车运行费减少0.5万元，公务接待费减少1万元。</w:t>
      </w:r>
    </w:p>
    <w:p>
      <w:pPr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（三）一般性支出情况：</w:t>
      </w:r>
      <w:r>
        <w:rPr>
          <w:rFonts w:hint="eastAsia" w:ascii="仿宋_GB2312" w:eastAsia="仿宋_GB2312"/>
          <w:kern w:val="0"/>
          <w:sz w:val="32"/>
          <w:szCs w:val="32"/>
        </w:rPr>
        <w:t>2022年会议费预算0万元；培训费预算0万元</w:t>
      </w:r>
      <w:r>
        <w:rPr>
          <w:rFonts w:hint="eastAsia" w:ascii="仿宋_GB2312" w:eastAsia="仿宋_GB2312"/>
          <w:sz w:val="32"/>
          <w:szCs w:val="32"/>
        </w:rPr>
        <w:t>；拟举办湖南省创新方法大赛，经费预算30万元。</w:t>
      </w:r>
    </w:p>
    <w:p>
      <w:pPr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（四）政府采购情况：</w:t>
      </w:r>
      <w:r>
        <w:rPr>
          <w:rFonts w:hint="eastAsia" w:ascii="仿宋_GB2312" w:eastAsia="仿宋_GB2312"/>
          <w:sz w:val="32"/>
          <w:szCs w:val="32"/>
        </w:rPr>
        <w:t>2022年政府采购预算总额0.75万元，其中，货物类采购预算0.75万元；工程类采购预算0万元；服务类采购预算0万元。</w:t>
      </w:r>
    </w:p>
    <w:p>
      <w:pPr>
        <w:widowControl/>
        <w:autoSpaceDN w:val="0"/>
        <w:spacing w:line="560" w:lineRule="exact"/>
        <w:ind w:firstLine="640" w:firstLineChars="200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eastAsia="楷体_GB2312"/>
          <w:sz w:val="32"/>
          <w:szCs w:val="32"/>
        </w:rPr>
        <w:t>（五）国有资产占用使用及新增资产配置情况：</w:t>
      </w:r>
      <w:r>
        <w:rPr>
          <w:rFonts w:hint="eastAsia" w:ascii="仿宋_GB2312" w:eastAsia="仿宋_GB2312"/>
          <w:sz w:val="32"/>
          <w:szCs w:val="32"/>
        </w:rPr>
        <w:t>截至2021年12月底，本单位共有公务用车1辆，其中，机要通信用车0辆，应急保障用车0辆，执法执勤用车0辆，特种专业技术用车0辆，其他按照规定配备的公务用车1辆；</w:t>
      </w:r>
      <w:r>
        <w:rPr>
          <w:rFonts w:hint="eastAsia" w:ascii="仿宋_GB2312" w:eastAsia="仿宋_GB2312"/>
          <w:bCs/>
          <w:kern w:val="0"/>
          <w:sz w:val="32"/>
          <w:szCs w:val="32"/>
        </w:rPr>
        <w:t>单位价值50万元以上通用设备0台，单位价值100万元以上专用设备0台。2022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autoSpaceDN w:val="0"/>
        <w:spacing w:line="560" w:lineRule="exact"/>
        <w:ind w:firstLine="640" w:firstLineChars="200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（六）预算绩效目标说明：</w:t>
      </w:r>
      <w:r>
        <w:rPr>
          <w:rFonts w:hint="eastAsia" w:ascii="仿宋_GB2312" w:eastAsia="仿宋_GB2312"/>
          <w:bCs/>
          <w:kern w:val="0"/>
          <w:sz w:val="32"/>
          <w:szCs w:val="32"/>
        </w:rPr>
        <w:t>本部门所有支出实行绩效目标管理。纳入2022年部门整体支出绩效目标的金额为349.49万元，其中，基本支出232.79万元，项目支出</w:t>
      </w:r>
      <w:r>
        <w:rPr>
          <w:rFonts w:hint="eastAsia" w:ascii="仿宋_GB2312" w:eastAsia="仿宋_GB2312"/>
          <w:sz w:val="32"/>
          <w:szCs w:val="32"/>
        </w:rPr>
        <w:t>116.70</w:t>
      </w:r>
      <w:r>
        <w:rPr>
          <w:rFonts w:hint="eastAsia" w:ascii="仿宋_GB2312" w:eastAsia="仿宋_GB2312"/>
          <w:bCs/>
          <w:kern w:val="0"/>
          <w:sz w:val="32"/>
          <w:szCs w:val="32"/>
        </w:rPr>
        <w:t>万元，具体绩效目标详见报表。</w:t>
      </w:r>
    </w:p>
    <w:p>
      <w:pPr>
        <w:autoSpaceDN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七、名词解释</w:t>
      </w:r>
    </w:p>
    <w:p>
      <w:pPr>
        <w:autoSpaceDN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（一）机关运行经费：</w:t>
      </w:r>
      <w:r>
        <w:rPr>
          <w:rFonts w:hint="eastAsia" w:ascii="仿宋_GB2312" w:eastAsia="仿宋_GB2312"/>
          <w:sz w:val="32"/>
          <w:szCs w:val="32"/>
        </w:rPr>
        <w:t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autoSpaceDN w:val="0"/>
        <w:spacing w:line="560" w:lineRule="exact"/>
        <w:ind w:firstLine="640" w:firstLineChars="200"/>
      </w:pPr>
      <w:r>
        <w:rPr>
          <w:rFonts w:hint="eastAsia" w:ascii="楷体_GB2312" w:eastAsia="楷体_GB2312"/>
          <w:sz w:val="32"/>
          <w:szCs w:val="32"/>
        </w:rPr>
        <w:t>（二）“三公”经费：</w:t>
      </w:r>
      <w:r>
        <w:rPr>
          <w:rFonts w:hint="eastAsia" w:ascii="仿宋_GB2312" w:eastAsia="仿宋_GB2312"/>
          <w:sz w:val="32"/>
          <w:szCs w:val="32"/>
        </w:rPr>
        <w:t>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sectPr>
      <w:footerReference r:id="rId3" w:type="default"/>
      <w:footerReference r:id="rId4" w:type="even"/>
      <w:pgSz w:w="11906" w:h="16838"/>
      <w:pgMar w:top="1985" w:right="1474" w:bottom="1701" w:left="1588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015895"/>
    </w:sdtPr>
    <w:sdtContent>
      <w:p>
        <w:pPr>
          <w:pStyle w:val="4"/>
          <w:jc w:val="right"/>
        </w:pP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 PAGE   \* MERGEFORMAT 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7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</w:p>
    </w:sdtContent>
  </w:sdt>
  <w:p>
    <w:pPr>
      <w:pStyle w:val="2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015896"/>
    </w:sdtPr>
    <w:sdtContent>
      <w:p>
        <w:pPr>
          <w:pStyle w:val="4"/>
        </w:pP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 PAGE   \* MERGEFORMAT 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6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</w:p>
    </w:sdtContent>
  </w:sdt>
  <w:p>
    <w:pPr>
      <w:pStyle w:val="2"/>
      <w:spacing w:line="14" w:lineRule="auto"/>
      <w:ind w:left="0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evenAndOddHeaders w:val="1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2IzMjJiZjkzZWQ3NjQ5MDA3N2E3ZmI4OTkxZTIifQ=="/>
  </w:docVars>
  <w:rsids>
    <w:rsidRoot w:val="00CD374A"/>
    <w:rsid w:val="00056D06"/>
    <w:rsid w:val="001468F7"/>
    <w:rsid w:val="00161B1D"/>
    <w:rsid w:val="00177B72"/>
    <w:rsid w:val="001D65D3"/>
    <w:rsid w:val="001E31CF"/>
    <w:rsid w:val="00226218"/>
    <w:rsid w:val="002551E8"/>
    <w:rsid w:val="00270C37"/>
    <w:rsid w:val="002F6F16"/>
    <w:rsid w:val="0030043E"/>
    <w:rsid w:val="0034282C"/>
    <w:rsid w:val="003B6698"/>
    <w:rsid w:val="00402A10"/>
    <w:rsid w:val="00403D02"/>
    <w:rsid w:val="00406125"/>
    <w:rsid w:val="00411DA3"/>
    <w:rsid w:val="00413D62"/>
    <w:rsid w:val="004224B0"/>
    <w:rsid w:val="00447DEA"/>
    <w:rsid w:val="004A7C44"/>
    <w:rsid w:val="004D7DD7"/>
    <w:rsid w:val="004E0809"/>
    <w:rsid w:val="004E6BF5"/>
    <w:rsid w:val="005321E4"/>
    <w:rsid w:val="00535C42"/>
    <w:rsid w:val="005A00AD"/>
    <w:rsid w:val="005D13EF"/>
    <w:rsid w:val="005D5D40"/>
    <w:rsid w:val="00631A97"/>
    <w:rsid w:val="006815F1"/>
    <w:rsid w:val="006941E5"/>
    <w:rsid w:val="006D7FEA"/>
    <w:rsid w:val="007404A0"/>
    <w:rsid w:val="0077152E"/>
    <w:rsid w:val="00790096"/>
    <w:rsid w:val="008405BF"/>
    <w:rsid w:val="00870BD0"/>
    <w:rsid w:val="008E75F5"/>
    <w:rsid w:val="00914F89"/>
    <w:rsid w:val="00923594"/>
    <w:rsid w:val="00954CE5"/>
    <w:rsid w:val="00965818"/>
    <w:rsid w:val="00977F65"/>
    <w:rsid w:val="0098423F"/>
    <w:rsid w:val="0098792B"/>
    <w:rsid w:val="009879D7"/>
    <w:rsid w:val="00994A47"/>
    <w:rsid w:val="009B42E3"/>
    <w:rsid w:val="009C45AE"/>
    <w:rsid w:val="009E1CFF"/>
    <w:rsid w:val="00A351E8"/>
    <w:rsid w:val="00A73832"/>
    <w:rsid w:val="00A86DAD"/>
    <w:rsid w:val="00A90284"/>
    <w:rsid w:val="00AC13AF"/>
    <w:rsid w:val="00B135B3"/>
    <w:rsid w:val="00B41E59"/>
    <w:rsid w:val="00B519C3"/>
    <w:rsid w:val="00BC766B"/>
    <w:rsid w:val="00C235BB"/>
    <w:rsid w:val="00C4038E"/>
    <w:rsid w:val="00C82221"/>
    <w:rsid w:val="00CA5546"/>
    <w:rsid w:val="00CB2887"/>
    <w:rsid w:val="00CD374A"/>
    <w:rsid w:val="00CF7495"/>
    <w:rsid w:val="00D36963"/>
    <w:rsid w:val="00D91574"/>
    <w:rsid w:val="00DD6C1E"/>
    <w:rsid w:val="00DF05D4"/>
    <w:rsid w:val="00DF523B"/>
    <w:rsid w:val="00DF58AB"/>
    <w:rsid w:val="00E13058"/>
    <w:rsid w:val="00E2345E"/>
    <w:rsid w:val="00E44D04"/>
    <w:rsid w:val="00E51664"/>
    <w:rsid w:val="00EB14DB"/>
    <w:rsid w:val="00EB4018"/>
    <w:rsid w:val="00F35E77"/>
    <w:rsid w:val="00FE390E"/>
    <w:rsid w:val="081663F9"/>
    <w:rsid w:val="11922424"/>
    <w:rsid w:val="11D14DD8"/>
    <w:rsid w:val="16784F33"/>
    <w:rsid w:val="17752661"/>
    <w:rsid w:val="3DF33BDA"/>
    <w:rsid w:val="63A673D0"/>
    <w:rsid w:val="67D37F35"/>
    <w:rsid w:val="769457CA"/>
    <w:rsid w:val="78417669"/>
    <w:rsid w:val="7D3E5D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ind w:left="229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D39EB-B311-41A9-9293-B1C6619BF4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425</Words>
  <Characters>2426</Characters>
  <Lines>20</Lines>
  <Paragraphs>5</Paragraphs>
  <TotalTime>4</TotalTime>
  <ScaleCrop>false</ScaleCrop>
  <LinksUpToDate>false</LinksUpToDate>
  <CharactersWithSpaces>2846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2022-02-11T02:38:00Z</dcterms:created>
  <dc:creator>ADMIN</dc:creator>
  <cp:lastModifiedBy>大伟</cp:lastModifiedBy>
  <cp:lastPrinted>2022-02-28T08:57:00Z</cp:lastPrinted>
  <dcterms:modified xsi:type="dcterms:W3CDTF">2023-10-09T03:05:12Z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CA78F4B3BD8748539887DF0CE5956F2B_13</vt:lpwstr>
  </property>
</Properties>
</file>