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2021年度</w:t>
      </w:r>
    </w:p>
    <w:p>
      <w:pPr>
        <w:pStyle w:val="10"/>
        <w:jc w:val="center"/>
        <w:rPr>
          <w:sz w:val="84"/>
          <w:szCs w:val="84"/>
        </w:rPr>
      </w:pPr>
      <w:r>
        <w:rPr>
          <w:rFonts w:hint="eastAsia"/>
          <w:sz w:val="84"/>
          <w:szCs w:val="84"/>
        </w:rPr>
        <w:t>湖南省科学技术咨询中心</w:t>
      </w:r>
    </w:p>
    <w:p>
      <w:pPr>
        <w:pStyle w:val="10"/>
        <w:jc w:val="center"/>
        <w:rPr>
          <w:sz w:val="84"/>
          <w:szCs w:val="84"/>
        </w:rPr>
      </w:pP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第一部分咨询中心单位概况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黑体"/>
          <w:b/>
          <w:color w:val="000000"/>
          <w:kern w:val="0"/>
          <w:sz w:val="28"/>
          <w:szCs w:val="28"/>
        </w:rPr>
        <w:sectPr>
          <w:pgSz w:w="11906" w:h="16838"/>
          <w:pgMar w:top="720" w:right="720" w:bottom="720" w:left="720" w:header="851" w:footer="992" w:gutter="0"/>
          <w:cols w:space="425" w:num="1"/>
          <w:docGrid w:type="lines" w:linePitch="312" w:charSpace="0"/>
        </w:sectPr>
      </w:pPr>
      <w:r>
        <w:rPr>
          <w:rFonts w:hint="eastAsia" w:ascii="黑体" w:hAnsi="黑体" w:eastAsia="黑体" w:cs="黑体"/>
          <w:b/>
          <w:color w:val="000000"/>
          <w:kern w:val="0"/>
          <w:sz w:val="28"/>
          <w:szCs w:val="28"/>
        </w:rPr>
        <w:t>第五部分附件</w:t>
      </w:r>
    </w:p>
    <w:p>
      <w:pPr>
        <w:autoSpaceDE w:val="0"/>
        <w:autoSpaceDN w:val="0"/>
        <w:adjustRightInd w:val="0"/>
        <w:spacing w:line="500" w:lineRule="exact"/>
        <w:jc w:val="left"/>
        <w:rPr>
          <w:rFonts w:ascii="黑体" w:hAnsi="黑体" w:eastAsia="黑体" w:cs="黑体"/>
          <w:b/>
          <w:color w:val="000000"/>
          <w:kern w:val="0"/>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rPr>
        <w:t>湖南省科学技术咨询中心</w:t>
      </w:r>
    </w:p>
    <w:p>
      <w:pPr>
        <w:pStyle w:val="10"/>
        <w:jc w:val="center"/>
        <w:rPr>
          <w:sz w:val="84"/>
          <w:szCs w:val="84"/>
        </w:rPr>
      </w:pP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asciiTheme="minorEastAsia" w:hAnsiTheme="minorEastAsia"/>
          <w:sz w:val="32"/>
          <w:szCs w:val="32"/>
        </w:rPr>
      </w:pPr>
      <w:r>
        <w:rPr>
          <w:rFonts w:hint="eastAsia" w:asciiTheme="minorEastAsia" w:hAnsiTheme="minorEastAsia"/>
          <w:sz w:val="32"/>
          <w:szCs w:val="32"/>
        </w:rPr>
        <w:t>湖南省科学技术咨询中心是1983 年按省编委(1983)106 号文</w:t>
      </w:r>
    </w:p>
    <w:p>
      <w:pPr>
        <w:widowControl/>
        <w:spacing w:line="600" w:lineRule="exact"/>
        <w:rPr>
          <w:rFonts w:asciiTheme="minorEastAsia" w:hAnsiTheme="minorEastAsia"/>
          <w:sz w:val="32"/>
          <w:szCs w:val="32"/>
        </w:rPr>
      </w:pPr>
      <w:r>
        <w:rPr>
          <w:rFonts w:hint="eastAsia" w:asciiTheme="minorEastAsia" w:hAnsiTheme="minorEastAsia"/>
          <w:sz w:val="32"/>
          <w:szCs w:val="32"/>
        </w:rPr>
        <w:t>件批准成立的，隶属于湖南省科协的差额事业单位。其业务工作</w:t>
      </w:r>
    </w:p>
    <w:p>
      <w:pPr>
        <w:widowControl/>
        <w:spacing w:line="600" w:lineRule="exact"/>
        <w:rPr>
          <w:rFonts w:asciiTheme="minorEastAsia" w:hAnsiTheme="minorEastAsia"/>
          <w:sz w:val="32"/>
          <w:szCs w:val="32"/>
        </w:rPr>
      </w:pPr>
      <w:r>
        <w:rPr>
          <w:rFonts w:hint="eastAsia" w:asciiTheme="minorEastAsia" w:hAnsiTheme="minorEastAsia"/>
          <w:sz w:val="32"/>
          <w:szCs w:val="32"/>
        </w:rPr>
        <w:t>是：接受委托，承担建设项目、技改项目可行性研究和评估，区</w:t>
      </w:r>
    </w:p>
    <w:p>
      <w:pPr>
        <w:widowControl/>
        <w:spacing w:line="600" w:lineRule="exact"/>
        <w:rPr>
          <w:rFonts w:asciiTheme="minorEastAsia" w:hAnsiTheme="minorEastAsia"/>
          <w:sz w:val="32"/>
          <w:szCs w:val="32"/>
        </w:rPr>
      </w:pPr>
      <w:r>
        <w:rPr>
          <w:rFonts w:hint="eastAsia" w:asciiTheme="minorEastAsia" w:hAnsiTheme="minorEastAsia"/>
          <w:sz w:val="32"/>
          <w:szCs w:val="32"/>
        </w:rPr>
        <w:t>域性、行业类、综合性规划与论证，工程、管理、质量认证、司</w:t>
      </w:r>
    </w:p>
    <w:p>
      <w:pPr>
        <w:widowControl/>
        <w:spacing w:line="600" w:lineRule="exact"/>
        <w:rPr>
          <w:rFonts w:asciiTheme="minorEastAsia" w:hAnsiTheme="minorEastAsia"/>
          <w:sz w:val="32"/>
          <w:szCs w:val="32"/>
        </w:rPr>
      </w:pPr>
      <w:r>
        <w:rPr>
          <w:rFonts w:hint="eastAsia" w:asciiTheme="minorEastAsia" w:hAnsiTheme="minorEastAsia"/>
          <w:sz w:val="32"/>
          <w:szCs w:val="32"/>
        </w:rPr>
        <w:t>法鉴定、开展各种技术开发、转让培训等技术服务。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ind w:firstLine="640" w:firstLineChars="200"/>
        <w:jc w:val="left"/>
        <w:rPr>
          <w:rFonts w:asciiTheme="minorEastAsia" w:hAnsiTheme="minorEastAsia"/>
          <w:bCs/>
          <w:kern w:val="0"/>
          <w:sz w:val="32"/>
          <w:szCs w:val="32"/>
        </w:rPr>
      </w:pPr>
      <w:r>
        <w:rPr>
          <w:rFonts w:hint="eastAsia" w:asciiTheme="minorEastAsia" w:hAnsiTheme="minorEastAsia"/>
          <w:bCs/>
          <w:kern w:val="0"/>
          <w:sz w:val="32"/>
          <w:szCs w:val="32"/>
        </w:rPr>
        <w:t>（一）内设机构设置。本单位内设 5 个职能处室；内设机构</w:t>
      </w:r>
    </w:p>
    <w:p>
      <w:pPr>
        <w:jc w:val="left"/>
        <w:rPr>
          <w:rFonts w:asciiTheme="minorEastAsia" w:hAnsiTheme="minorEastAsia"/>
          <w:bCs/>
          <w:kern w:val="0"/>
          <w:sz w:val="32"/>
          <w:szCs w:val="32"/>
        </w:rPr>
      </w:pPr>
      <w:r>
        <w:rPr>
          <w:rFonts w:hint="eastAsia" w:asciiTheme="minorEastAsia" w:hAnsiTheme="minorEastAsia"/>
          <w:bCs/>
          <w:kern w:val="0"/>
          <w:sz w:val="32"/>
          <w:szCs w:val="32"/>
        </w:rPr>
        <w:t>包括：办公室、决策咨询部、司法鉴定项目部、企业创新服务部、</w:t>
      </w:r>
    </w:p>
    <w:p>
      <w:pPr>
        <w:jc w:val="left"/>
        <w:rPr>
          <w:rFonts w:asciiTheme="minorEastAsia" w:hAnsiTheme="minorEastAsia"/>
          <w:bCs/>
          <w:kern w:val="0"/>
          <w:sz w:val="32"/>
          <w:szCs w:val="32"/>
        </w:rPr>
      </w:pPr>
      <w:r>
        <w:rPr>
          <w:rFonts w:hint="eastAsia" w:asciiTheme="minorEastAsia" w:hAnsiTheme="minorEastAsia"/>
          <w:bCs/>
          <w:kern w:val="0"/>
          <w:sz w:val="32"/>
          <w:szCs w:val="32"/>
        </w:rPr>
        <w:t>专利信息部。</w:t>
      </w:r>
    </w:p>
    <w:p>
      <w:pPr>
        <w:ind w:firstLine="640" w:firstLineChars="200"/>
        <w:jc w:val="left"/>
        <w:rPr>
          <w:rFonts w:asciiTheme="minorEastAsia" w:hAnsiTheme="minorEastAsia"/>
          <w:bCs/>
          <w:kern w:val="0"/>
          <w:sz w:val="32"/>
          <w:szCs w:val="32"/>
        </w:rPr>
      </w:pPr>
      <w:r>
        <w:rPr>
          <w:rFonts w:hint="eastAsia" w:asciiTheme="minorEastAsia" w:hAnsiTheme="minorEastAsia"/>
          <w:bCs/>
          <w:kern w:val="0"/>
          <w:sz w:val="32"/>
          <w:szCs w:val="32"/>
        </w:rPr>
        <w:t>（二）决算单位构成。湖南省科学技术咨询中心 2020 年部门</w:t>
      </w:r>
    </w:p>
    <w:p>
      <w:pPr>
        <w:jc w:val="left"/>
        <w:rPr>
          <w:rFonts w:ascii="仿宋_GB2312" w:hAnsiTheme="minorEastAsia"/>
          <w:sz w:val="28"/>
          <w:szCs w:val="32"/>
        </w:rPr>
      </w:pPr>
      <w:r>
        <w:rPr>
          <w:rFonts w:hint="eastAsia" w:asciiTheme="minorEastAsia" w:hAnsiTheme="minorEastAsia"/>
          <w:bCs/>
          <w:kern w:val="0"/>
          <w:sz w:val="32"/>
          <w:szCs w:val="32"/>
        </w:rPr>
        <w:t>决算汇总公开单位构成包括：湖南省科学技术咨询中心本级。</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5"/>
        <w:tblW w:w="14081" w:type="dxa"/>
        <w:tblInd w:w="93" w:type="dxa"/>
        <w:tblLayout w:type="fixed"/>
        <w:tblCellMar>
          <w:top w:w="0" w:type="dxa"/>
          <w:left w:w="108" w:type="dxa"/>
          <w:bottom w:w="0" w:type="dxa"/>
          <w:right w:w="108" w:type="dxa"/>
        </w:tblCellMar>
      </w:tblPr>
      <w:tblGrid>
        <w:gridCol w:w="4066"/>
        <w:gridCol w:w="444"/>
        <w:gridCol w:w="716"/>
        <w:gridCol w:w="780"/>
        <w:gridCol w:w="236"/>
        <w:gridCol w:w="3416"/>
        <w:gridCol w:w="836"/>
        <w:gridCol w:w="1439"/>
        <w:gridCol w:w="651"/>
        <w:gridCol w:w="1497"/>
      </w:tblGrid>
      <w:tr>
        <w:tblPrEx>
          <w:tblCellMar>
            <w:top w:w="0" w:type="dxa"/>
            <w:left w:w="108" w:type="dxa"/>
            <w:bottom w:w="0" w:type="dxa"/>
            <w:right w:w="108" w:type="dxa"/>
          </w:tblCellMar>
        </w:tblPrEx>
        <w:trPr>
          <w:trHeight w:val="360" w:hRule="atLeast"/>
        </w:trPr>
        <w:tc>
          <w:tcPr>
            <w:tcW w:w="1408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28"/>
                <w:szCs w:val="28"/>
              </w:rPr>
            </w:pPr>
            <w:r>
              <w:rPr>
                <w:rFonts w:hint="eastAsia" w:ascii="华文中宋" w:hAnsi="华文中宋" w:eastAsia="华文中宋" w:cs="宋体"/>
                <w:color w:val="000000"/>
                <w:kern w:val="0"/>
                <w:sz w:val="28"/>
                <w:szCs w:val="28"/>
              </w:rPr>
              <w:t>收入支出决算总表</w:t>
            </w:r>
          </w:p>
        </w:tc>
      </w:tr>
      <w:tr>
        <w:tblPrEx>
          <w:tblCellMar>
            <w:top w:w="0" w:type="dxa"/>
            <w:left w:w="108" w:type="dxa"/>
            <w:bottom w:w="0" w:type="dxa"/>
            <w:right w:w="108" w:type="dxa"/>
          </w:tblCellMar>
        </w:tblPrEx>
        <w:trPr>
          <w:trHeight w:val="199" w:hRule="atLeast"/>
        </w:trPr>
        <w:tc>
          <w:tcPr>
            <w:tcW w:w="5229"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78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5692"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65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49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公开01表</w:t>
            </w:r>
          </w:p>
        </w:tc>
      </w:tr>
      <w:tr>
        <w:tblPrEx>
          <w:tblCellMar>
            <w:top w:w="0" w:type="dxa"/>
            <w:left w:w="108" w:type="dxa"/>
            <w:bottom w:w="0" w:type="dxa"/>
            <w:right w:w="108" w:type="dxa"/>
          </w:tblCellMar>
        </w:tblPrEx>
        <w:trPr>
          <w:trHeight w:val="300" w:hRule="atLeast"/>
        </w:trPr>
        <w:tc>
          <w:tcPr>
            <w:tcW w:w="5229"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部门：湖南省科学技术咨询中心</w:t>
            </w:r>
          </w:p>
        </w:tc>
        <w:tc>
          <w:tcPr>
            <w:tcW w:w="78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5692"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65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1497"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18"/>
                <w:szCs w:val="18"/>
              </w:rPr>
            </w:pPr>
            <w:r>
              <w:rPr>
                <w:rFonts w:hint="eastAsia" w:ascii="宋体" w:hAnsi="宋体" w:eastAsia="宋体" w:cs="宋体"/>
                <w:color w:val="000000"/>
                <w:kern w:val="0"/>
                <w:sz w:val="18"/>
                <w:szCs w:val="18"/>
              </w:rPr>
              <w:t>单位：万元</w:t>
            </w:r>
          </w:p>
        </w:tc>
      </w:tr>
      <w:tr>
        <w:tblPrEx>
          <w:tblCellMar>
            <w:top w:w="0" w:type="dxa"/>
            <w:left w:w="108" w:type="dxa"/>
            <w:bottom w:w="0" w:type="dxa"/>
            <w:right w:w="108" w:type="dxa"/>
          </w:tblCellMar>
        </w:tblPrEx>
        <w:trPr>
          <w:trHeight w:val="340" w:hRule="atLeast"/>
        </w:trPr>
        <w:tc>
          <w:tcPr>
            <w:tcW w:w="6241" w:type="dxa"/>
            <w:gridSpan w:val="5"/>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收入</w:t>
            </w:r>
          </w:p>
        </w:tc>
        <w:tc>
          <w:tcPr>
            <w:tcW w:w="7840" w:type="dxa"/>
            <w:gridSpan w:val="5"/>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支出</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项    目</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行次</w:t>
            </w:r>
          </w:p>
        </w:tc>
        <w:tc>
          <w:tcPr>
            <w:tcW w:w="172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决算数</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项    目</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行次</w:t>
            </w:r>
          </w:p>
        </w:tc>
        <w:tc>
          <w:tcPr>
            <w:tcW w:w="3587"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决算数</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栏    次</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72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栏    次</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3587"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一、一般公共预算财政拨款收入</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default" w:ascii="宋体" w:hAnsi="宋体" w:eastAsia="宋体" w:cs="宋体"/>
                <w:kern w:val="0"/>
                <w:szCs w:val="21"/>
                <w:lang w:val="en-US" w:eastAsia="zh-CN"/>
              </w:rPr>
            </w:pPr>
            <w:r>
              <w:rPr>
                <w:rFonts w:hint="eastAsia" w:ascii="宋体" w:hAnsi="宋体" w:eastAsia="宋体" w:cs="宋体"/>
                <w:color w:val="000000"/>
                <w:kern w:val="0"/>
                <w:sz w:val="18"/>
                <w:szCs w:val="18"/>
              </w:rPr>
              <w:t>296</w:t>
            </w:r>
            <w:r>
              <w:rPr>
                <w:rFonts w:hint="eastAsia" w:ascii="宋体" w:hAnsi="宋体" w:eastAsia="宋体" w:cs="宋体"/>
                <w:color w:val="000000"/>
                <w:kern w:val="0"/>
                <w:sz w:val="18"/>
                <w:szCs w:val="18"/>
                <w:lang w:val="en-US" w:eastAsia="zh-CN"/>
              </w:rPr>
              <w:t>.24</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一、一般公共服务支出</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14</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二、政府性基金预算财政拨款收入</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18"/>
                <w:szCs w:val="18"/>
              </w:rPr>
              <w:t>0.00</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二、外交支出</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15</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三、国有资本经营预算财政拨款收入</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3</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18"/>
                <w:szCs w:val="18"/>
              </w:rPr>
              <w:t>0.00</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三、国防支出</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16</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四、上级补助收入</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4</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18"/>
                <w:szCs w:val="18"/>
              </w:rPr>
              <w:t>0.00</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四、公共安全支出</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17</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五、事业收入</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5</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18"/>
                <w:szCs w:val="18"/>
              </w:rPr>
              <w:t>0.00</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五、教育支出</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18</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47"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六、经营收入</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6</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default" w:ascii="宋体" w:hAnsi="宋体" w:eastAsia="宋体" w:cs="宋体"/>
                <w:kern w:val="0"/>
                <w:szCs w:val="21"/>
                <w:lang w:val="en-US" w:eastAsia="zh-CN"/>
              </w:rPr>
            </w:pPr>
            <w:r>
              <w:rPr>
                <w:rFonts w:hint="eastAsia" w:ascii="宋体" w:hAnsi="宋体" w:eastAsia="宋体" w:cs="宋体"/>
                <w:color w:val="000000"/>
                <w:kern w:val="0"/>
                <w:sz w:val="18"/>
                <w:szCs w:val="18"/>
              </w:rPr>
              <w:t>52</w:t>
            </w:r>
            <w:r>
              <w:rPr>
                <w:rFonts w:hint="eastAsia" w:ascii="宋体" w:hAnsi="宋体" w:eastAsia="宋体" w:cs="宋体"/>
                <w:color w:val="000000"/>
                <w:kern w:val="0"/>
                <w:sz w:val="18"/>
                <w:szCs w:val="18"/>
                <w:lang w:val="en-US" w:eastAsia="zh-CN"/>
              </w:rPr>
              <w:t>.60</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六、科学技术支出</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19</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467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63</w:t>
            </w:r>
          </w:p>
        </w:tc>
      </w:tr>
      <w:tr>
        <w:tblPrEx>
          <w:tblCellMar>
            <w:top w:w="0" w:type="dxa"/>
            <w:left w:w="108" w:type="dxa"/>
            <w:bottom w:w="0" w:type="dxa"/>
            <w:right w:w="108" w:type="dxa"/>
          </w:tblCellMar>
        </w:tblPrEx>
        <w:trPr>
          <w:trHeight w:val="363"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七、附属单位上缴收入</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7</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18"/>
                <w:szCs w:val="18"/>
              </w:rPr>
              <w:t>0.00</w:t>
            </w:r>
          </w:p>
        </w:tc>
        <w:tc>
          <w:tcPr>
            <w:tcW w:w="3417"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0"/>
                <w:szCs w:val="20"/>
              </w:rPr>
              <w:t>七、文化旅游体育与传媒支出</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20</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八、其他收入</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8</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default" w:ascii="宋体" w:hAnsi="宋体" w:eastAsia="宋体" w:cs="宋体"/>
                <w:kern w:val="0"/>
                <w:szCs w:val="21"/>
                <w:lang w:val="en-US" w:eastAsia="zh-CN"/>
              </w:rPr>
            </w:pPr>
            <w:r>
              <w:rPr>
                <w:rFonts w:hint="eastAsia" w:ascii="宋体" w:hAnsi="宋体" w:eastAsia="宋体" w:cs="宋体"/>
                <w:color w:val="000000"/>
                <w:kern w:val="0"/>
                <w:sz w:val="18"/>
                <w:szCs w:val="18"/>
              </w:rPr>
              <w:t>78</w:t>
            </w:r>
            <w:r>
              <w:rPr>
                <w:rFonts w:hint="eastAsia" w:ascii="宋体" w:hAnsi="宋体" w:eastAsia="宋体" w:cs="宋体"/>
                <w:color w:val="000000"/>
                <w:kern w:val="0"/>
                <w:sz w:val="18"/>
                <w:szCs w:val="18"/>
                <w:lang w:val="en-US" w:eastAsia="zh-CN"/>
              </w:rPr>
              <w:t>.61</w:t>
            </w:r>
          </w:p>
        </w:tc>
        <w:tc>
          <w:tcPr>
            <w:tcW w:w="3417"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Cs w:val="21"/>
              </w:rPr>
            </w:pPr>
            <w:r>
              <w:rPr>
                <w:rFonts w:hint="eastAsia" w:ascii="宋体" w:hAnsi="宋体" w:eastAsia="宋体" w:cs="宋体"/>
                <w:color w:val="000000"/>
                <w:kern w:val="0"/>
                <w:sz w:val="20"/>
                <w:szCs w:val="20"/>
              </w:rPr>
              <w:t>八、社会保障和就业支出</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21</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21.00</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18"/>
                <w:szCs w:val="18"/>
              </w:rPr>
            </w:pPr>
            <w:r>
              <w:rPr>
                <w:rFonts w:hint="eastAsia" w:ascii="宋体" w:hAnsi="宋体" w:eastAsia="宋体" w:cs="宋体"/>
                <w:kern w:val="0"/>
                <w:sz w:val="18"/>
                <w:szCs w:val="18"/>
              </w:rPr>
              <w:t>　</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9</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Cs w:val="21"/>
              </w:rPr>
            </w:pPr>
            <w:r>
              <w:rPr>
                <w:rFonts w:hint="eastAsia" w:ascii="宋体" w:hAnsi="宋体" w:eastAsia="宋体" w:cs="宋体"/>
                <w:kern w:val="0"/>
                <w:szCs w:val="21"/>
              </w:rPr>
              <w:t>　</w:t>
            </w:r>
          </w:p>
        </w:tc>
        <w:tc>
          <w:tcPr>
            <w:tcW w:w="34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18"/>
                <w:szCs w:val="18"/>
              </w:rPr>
            </w:pPr>
            <w:r>
              <w:rPr>
                <w:rFonts w:hint="eastAsia" w:ascii="宋体" w:hAnsi="宋体" w:eastAsia="宋体" w:cs="宋体"/>
                <w:kern w:val="0"/>
                <w:sz w:val="22"/>
              </w:rPr>
              <w:t>……</w:t>
            </w:r>
            <w:r>
              <w:rPr>
                <w:rFonts w:hint="eastAsia" w:ascii="宋体" w:hAnsi="宋体" w:eastAsia="宋体" w:cs="宋体"/>
                <w:kern w:val="0"/>
                <w:sz w:val="18"/>
                <w:szCs w:val="18"/>
              </w:rPr>
              <w:t>　</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22</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b/>
                <w:bCs/>
                <w:kern w:val="0"/>
                <w:szCs w:val="21"/>
              </w:rPr>
            </w:pPr>
            <w:r>
              <w:rPr>
                <w:rFonts w:hint="eastAsia" w:ascii="宋体" w:hAnsi="宋体" w:eastAsia="宋体" w:cs="宋体"/>
                <w:color w:val="000000"/>
                <w:kern w:val="0"/>
                <w:sz w:val="20"/>
                <w:szCs w:val="20"/>
              </w:rPr>
              <w:t>　0.00</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本年收入合计</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10</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default" w:ascii="宋体" w:hAnsi="宋体" w:eastAsia="宋体" w:cs="宋体"/>
                <w:kern w:val="0"/>
                <w:szCs w:val="21"/>
                <w:lang w:val="en-US" w:eastAsia="zh-CN"/>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27.45</w:t>
            </w:r>
          </w:p>
        </w:tc>
        <w:tc>
          <w:tcPr>
            <w:tcW w:w="3417"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本年支出合计</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23</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488</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63</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 xml:space="preserve">         使用非财政拨款结余</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11</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Cs w:val="21"/>
              </w:rPr>
            </w:pPr>
            <w:r>
              <w:rPr>
                <w:rFonts w:hint="eastAsia" w:ascii="宋体" w:hAnsi="宋体" w:eastAsia="宋体" w:cs="宋体"/>
                <w:color w:val="000000"/>
                <w:kern w:val="0"/>
                <w:sz w:val="20"/>
                <w:szCs w:val="20"/>
              </w:rPr>
              <w:t>0.00</w:t>
            </w:r>
          </w:p>
        </w:tc>
        <w:tc>
          <w:tcPr>
            <w:tcW w:w="34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 xml:space="preserve">                结余分配</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24</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　</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 xml:space="preserve">         年初结转和结余</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12</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kern w:val="0"/>
                <w:szCs w:val="21"/>
                <w:lang w:val="en-US" w:eastAsia="zh-CN"/>
              </w:rPr>
            </w:pPr>
            <w:r>
              <w:rPr>
                <w:rFonts w:hint="eastAsia" w:ascii="宋体" w:hAnsi="宋体" w:eastAsia="宋体" w:cs="宋体"/>
                <w:color w:val="000000"/>
                <w:kern w:val="0"/>
                <w:sz w:val="20"/>
                <w:szCs w:val="20"/>
              </w:rPr>
              <w:t>125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6</w:t>
            </w:r>
          </w:p>
        </w:tc>
        <w:tc>
          <w:tcPr>
            <w:tcW w:w="341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Cs w:val="21"/>
              </w:rPr>
            </w:pPr>
            <w:r>
              <w:rPr>
                <w:rFonts w:hint="eastAsia" w:ascii="宋体" w:hAnsi="宋体" w:eastAsia="宋体" w:cs="宋体"/>
                <w:kern w:val="0"/>
                <w:szCs w:val="21"/>
              </w:rPr>
              <w:t xml:space="preserve">                年末结转和结余</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25</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08</w:t>
            </w:r>
          </w:p>
        </w:tc>
      </w:tr>
      <w:tr>
        <w:tblPrEx>
          <w:tblCellMar>
            <w:top w:w="0" w:type="dxa"/>
            <w:left w:w="108" w:type="dxa"/>
            <w:bottom w:w="0" w:type="dxa"/>
            <w:right w:w="108" w:type="dxa"/>
          </w:tblCellMar>
        </w:tblPrEx>
        <w:trPr>
          <w:trHeight w:val="340" w:hRule="atLeast"/>
        </w:trPr>
        <w:tc>
          <w:tcPr>
            <w:tcW w:w="4068"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总计</w:t>
            </w:r>
          </w:p>
        </w:tc>
        <w:tc>
          <w:tcPr>
            <w:tcW w:w="4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13</w:t>
            </w:r>
          </w:p>
        </w:tc>
        <w:tc>
          <w:tcPr>
            <w:tcW w:w="1728"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552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71</w:t>
            </w:r>
          </w:p>
        </w:tc>
        <w:tc>
          <w:tcPr>
            <w:tcW w:w="3417"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总计</w:t>
            </w:r>
          </w:p>
        </w:tc>
        <w:tc>
          <w:tcPr>
            <w:tcW w:w="8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Cs w:val="21"/>
              </w:rPr>
            </w:pPr>
            <w:r>
              <w:rPr>
                <w:rFonts w:hint="eastAsia" w:ascii="宋体" w:hAnsi="宋体" w:eastAsia="宋体" w:cs="宋体"/>
                <w:kern w:val="0"/>
                <w:szCs w:val="21"/>
              </w:rPr>
              <w:t>26</w:t>
            </w:r>
          </w:p>
        </w:tc>
        <w:tc>
          <w:tcPr>
            <w:tcW w:w="3587" w:type="dxa"/>
            <w:gridSpan w:val="3"/>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rPr>
              <w:t>552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71</w:t>
            </w:r>
          </w:p>
        </w:tc>
      </w:tr>
      <w:tr>
        <w:tblPrEx>
          <w:tblCellMar>
            <w:top w:w="0" w:type="dxa"/>
            <w:left w:w="108" w:type="dxa"/>
            <w:bottom w:w="0" w:type="dxa"/>
            <w:right w:w="108" w:type="dxa"/>
          </w:tblCellMar>
        </w:tblPrEx>
        <w:trPr>
          <w:trHeight w:val="1020" w:hRule="atLeast"/>
        </w:trPr>
        <w:tc>
          <w:tcPr>
            <w:tcW w:w="1408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注：1.本表反映部门本年度的总收支和年末结转结余情况。</w:t>
            </w:r>
            <w:r>
              <w:rPr>
                <w:rFonts w:hint="eastAsia" w:ascii="宋体" w:hAnsi="宋体" w:eastAsia="宋体" w:cs="宋体"/>
                <w:kern w:val="0"/>
                <w:sz w:val="22"/>
              </w:rPr>
              <w:br w:type="textWrapping"/>
            </w:r>
            <w:r>
              <w:rPr>
                <w:rFonts w:hint="eastAsia" w:ascii="宋体" w:hAnsi="宋体" w:eastAsia="宋体" w:cs="宋体"/>
                <w:kern w:val="0"/>
                <w:sz w:val="22"/>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W w:w="15069" w:type="dxa"/>
        <w:tblInd w:w="0" w:type="dxa"/>
        <w:tblLayout w:type="fixed"/>
        <w:tblCellMar>
          <w:top w:w="0" w:type="dxa"/>
          <w:left w:w="0" w:type="dxa"/>
          <w:bottom w:w="0" w:type="dxa"/>
          <w:right w:w="0" w:type="dxa"/>
        </w:tblCellMar>
      </w:tblPr>
      <w:tblGrid>
        <w:gridCol w:w="366"/>
        <w:gridCol w:w="365"/>
        <w:gridCol w:w="2209"/>
        <w:gridCol w:w="1557"/>
        <w:gridCol w:w="1457"/>
        <w:gridCol w:w="1347"/>
        <w:gridCol w:w="1758"/>
        <w:gridCol w:w="1758"/>
        <w:gridCol w:w="1758"/>
        <w:gridCol w:w="2494"/>
      </w:tblGrid>
      <w:tr>
        <w:tblPrEx>
          <w:tblCellMar>
            <w:top w:w="0" w:type="dxa"/>
            <w:left w:w="0" w:type="dxa"/>
            <w:bottom w:w="0" w:type="dxa"/>
            <w:right w:w="0" w:type="dxa"/>
          </w:tblCellMar>
        </w:tblPrEx>
        <w:trPr>
          <w:trHeight w:val="435" w:hRule="atLeast"/>
        </w:trPr>
        <w:tc>
          <w:tcPr>
            <w:tcW w:w="15069"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366"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6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209"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55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5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47"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5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5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5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49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800" w:hRule="atLeast"/>
        </w:trPr>
        <w:tc>
          <w:tcPr>
            <w:tcW w:w="5954" w:type="dxa"/>
            <w:gridSpan w:val="5"/>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color w:val="000000"/>
                <w:sz w:val="20"/>
                <w:szCs w:val="20"/>
              </w:rPr>
              <w:t>部门：湖南省科学技术咨询中心</w:t>
            </w:r>
            <w:r>
              <w:rPr>
                <w:rFonts w:hint="eastAsia"/>
              </w:rPr>
              <w:t>　　</w:t>
            </w:r>
          </w:p>
        </w:tc>
        <w:tc>
          <w:tcPr>
            <w:tcW w:w="1347" w:type="dxa"/>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175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5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58"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2494"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294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55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457"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34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75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75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758"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494"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731"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2209"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55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5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5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5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5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49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731"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209"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55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5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47"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5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5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58"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2494"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2940"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55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45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347"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75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75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758"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2494"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2940"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427</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4</w:t>
            </w:r>
            <w:r>
              <w:rPr>
                <w:rFonts w:hint="eastAsia" w:ascii="宋体" w:hAnsi="宋体" w:eastAsia="宋体" w:cs="宋体"/>
                <w:b/>
                <w:bCs/>
                <w:color w:val="000000"/>
                <w:kern w:val="0"/>
                <w:sz w:val="20"/>
                <w:szCs w:val="20"/>
                <w:lang w:val="en-US" w:eastAsia="zh-CN"/>
              </w:rPr>
              <w:t>5</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296</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24</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52</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60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hint="eastAsia" w:ascii="宋体" w:hAnsi="宋体" w:eastAsia="宋体" w:cs="宋体"/>
                <w:sz w:val="24"/>
                <w:szCs w:val="24"/>
                <w:lang w:eastAsia="zh-CN"/>
              </w:rPr>
            </w:pPr>
            <w:r>
              <w:rPr>
                <w:rFonts w:hint="eastAsia" w:ascii="宋体" w:hAnsi="宋体" w:eastAsia="宋体" w:cs="宋体"/>
                <w:b/>
                <w:bCs/>
                <w:color w:val="000000"/>
                <w:kern w:val="0"/>
                <w:sz w:val="20"/>
                <w:szCs w:val="20"/>
              </w:rPr>
              <w:t>78</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6</w:t>
            </w:r>
            <w:r>
              <w:rPr>
                <w:rFonts w:hint="eastAsia" w:ascii="宋体" w:hAnsi="宋体" w:eastAsia="宋体" w:cs="宋体"/>
                <w:b/>
                <w:bCs/>
                <w:color w:val="000000"/>
                <w:kern w:val="0"/>
                <w:sz w:val="20"/>
                <w:szCs w:val="20"/>
                <w:lang w:val="en-US" w:eastAsia="zh-CN"/>
              </w:rPr>
              <w:t>1</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b/>
                <w:bCs/>
                <w:color w:val="000000"/>
                <w:kern w:val="0"/>
                <w:sz w:val="20"/>
                <w:szCs w:val="20"/>
              </w:rPr>
              <w:t>206</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b/>
                <w:bCs/>
                <w:color w:val="000000"/>
                <w:kern w:val="0"/>
                <w:sz w:val="20"/>
                <w:szCs w:val="20"/>
              </w:rPr>
              <w:t>科学技术支出</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406</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4</w:t>
            </w:r>
            <w:r>
              <w:rPr>
                <w:rFonts w:hint="eastAsia" w:ascii="宋体" w:hAnsi="宋体" w:eastAsia="宋体" w:cs="宋体"/>
                <w:b/>
                <w:bCs/>
                <w:color w:val="000000"/>
                <w:kern w:val="0"/>
                <w:sz w:val="20"/>
                <w:szCs w:val="20"/>
                <w:lang w:val="en-US" w:eastAsia="zh-CN"/>
              </w:rPr>
              <w:t>5</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275</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24</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52</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60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hint="eastAsia" w:ascii="宋体" w:hAnsi="宋体" w:eastAsia="宋体" w:cs="宋体"/>
                <w:sz w:val="24"/>
                <w:szCs w:val="24"/>
                <w:lang w:eastAsia="zh-CN"/>
              </w:rPr>
            </w:pPr>
            <w:r>
              <w:rPr>
                <w:rFonts w:hint="eastAsia" w:ascii="宋体" w:hAnsi="宋体" w:eastAsia="宋体" w:cs="宋体"/>
                <w:b/>
                <w:bCs/>
                <w:color w:val="000000"/>
                <w:kern w:val="0"/>
                <w:sz w:val="20"/>
                <w:szCs w:val="20"/>
              </w:rPr>
              <w:t>78</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6</w:t>
            </w:r>
            <w:r>
              <w:rPr>
                <w:rFonts w:hint="eastAsia" w:ascii="宋体" w:hAnsi="宋体" w:eastAsia="宋体" w:cs="宋体"/>
                <w:b/>
                <w:bCs/>
                <w:color w:val="000000"/>
                <w:kern w:val="0"/>
                <w:sz w:val="20"/>
                <w:szCs w:val="20"/>
                <w:lang w:val="en-US" w:eastAsia="zh-CN"/>
              </w:rPr>
              <w:t>1</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b/>
                <w:bCs/>
                <w:color w:val="000000"/>
                <w:kern w:val="0"/>
                <w:sz w:val="20"/>
                <w:szCs w:val="20"/>
              </w:rPr>
              <w:t>20607</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b/>
                <w:bCs/>
                <w:color w:val="000000"/>
                <w:kern w:val="0"/>
                <w:sz w:val="20"/>
                <w:szCs w:val="20"/>
              </w:rPr>
              <w:t>科学技术普及</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hint="eastAsia" w:ascii="华文中宋" w:hAnsi="华文中宋" w:eastAsia="宋体" w:cs="宋体"/>
                <w:sz w:val="24"/>
                <w:szCs w:val="24"/>
                <w:lang w:val="en-US" w:eastAsia="zh-CN"/>
              </w:rPr>
            </w:pPr>
            <w:r>
              <w:rPr>
                <w:rFonts w:hint="eastAsia" w:ascii="宋体" w:hAnsi="宋体" w:eastAsia="宋体" w:cs="宋体"/>
                <w:b/>
                <w:bCs/>
                <w:color w:val="000000"/>
                <w:kern w:val="0"/>
                <w:sz w:val="20"/>
                <w:szCs w:val="20"/>
              </w:rPr>
              <w:t>406</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4</w:t>
            </w:r>
            <w:r>
              <w:rPr>
                <w:rFonts w:hint="eastAsia" w:ascii="宋体" w:hAnsi="宋体" w:eastAsia="宋体" w:cs="宋体"/>
                <w:b/>
                <w:bCs/>
                <w:color w:val="000000"/>
                <w:kern w:val="0"/>
                <w:sz w:val="20"/>
                <w:szCs w:val="20"/>
                <w:lang w:val="en-US" w:eastAsia="zh-CN"/>
              </w:rPr>
              <w:t>5</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275</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2</w:t>
            </w:r>
            <w:r>
              <w:rPr>
                <w:rFonts w:hint="eastAsia" w:ascii="宋体" w:hAnsi="宋体" w:eastAsia="宋体" w:cs="宋体"/>
                <w:b/>
                <w:bCs/>
                <w:color w:val="000000"/>
                <w:kern w:val="0"/>
                <w:sz w:val="20"/>
                <w:szCs w:val="20"/>
                <w:lang w:val="en-US" w:eastAsia="zh-CN"/>
              </w:rPr>
              <w:t>4</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52</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60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b/>
                <w:bCs/>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hint="default" w:ascii="宋体" w:hAnsi="宋体" w:eastAsia="宋体" w:cs="宋体"/>
                <w:sz w:val="24"/>
                <w:szCs w:val="24"/>
                <w:lang w:val="en-US" w:eastAsia="zh-CN"/>
              </w:rPr>
            </w:pPr>
            <w:r>
              <w:rPr>
                <w:rFonts w:hint="eastAsia" w:ascii="宋体" w:hAnsi="宋体" w:eastAsia="宋体" w:cs="宋体"/>
                <w:b/>
                <w:bCs/>
                <w:color w:val="000000"/>
                <w:kern w:val="0"/>
                <w:sz w:val="20"/>
                <w:szCs w:val="20"/>
              </w:rPr>
              <w:t>78</w:t>
            </w:r>
            <w:r>
              <w:rPr>
                <w:rFonts w:hint="eastAsia" w:ascii="宋体" w:hAnsi="宋体" w:eastAsia="宋体" w:cs="宋体"/>
                <w:b/>
                <w:bCs/>
                <w:color w:val="000000"/>
                <w:kern w:val="0"/>
                <w:sz w:val="20"/>
                <w:szCs w:val="20"/>
                <w:lang w:val="en-US" w:eastAsia="zh-CN"/>
              </w:rPr>
              <w:t>.61</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0"/>
                <w:szCs w:val="20"/>
              </w:rPr>
              <w:t>2060701</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0"/>
                <w:szCs w:val="20"/>
              </w:rPr>
              <w:t xml:space="preserve">  机构运行</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170</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4</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170</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24</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0"/>
                <w:szCs w:val="20"/>
              </w:rPr>
              <w:t>2060702</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0"/>
                <w:szCs w:val="20"/>
              </w:rPr>
              <w:t xml:space="preserve">  科普活动</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45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45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0"/>
                <w:szCs w:val="20"/>
              </w:rPr>
              <w:t>2060704</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0"/>
                <w:szCs w:val="20"/>
              </w:rPr>
              <w:t xml:space="preserve">  学术交流活动</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60</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60</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0"/>
                <w:szCs w:val="20"/>
              </w:rPr>
              <w:t>2060799</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0"/>
                <w:szCs w:val="20"/>
              </w:rPr>
              <w:t xml:space="preserve">  其他科学技术普及支出</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hint="default" w:ascii="宋体" w:hAnsi="宋体" w:eastAsia="宋体" w:cs="宋体"/>
                <w:sz w:val="24"/>
                <w:szCs w:val="24"/>
                <w:lang w:val="en-US"/>
              </w:rPr>
            </w:pPr>
            <w:r>
              <w:rPr>
                <w:rFonts w:hint="eastAsia" w:ascii="宋体" w:hAnsi="宋体" w:eastAsia="宋体" w:cs="宋体"/>
                <w:color w:val="000000"/>
                <w:kern w:val="0"/>
                <w:sz w:val="20"/>
                <w:szCs w:val="20"/>
              </w:rPr>
              <w:t>131</w:t>
            </w:r>
            <w:r>
              <w:rPr>
                <w:rFonts w:hint="eastAsia" w:ascii="宋体" w:hAnsi="宋体" w:eastAsia="宋体" w:cs="宋体"/>
                <w:color w:val="000000"/>
                <w:kern w:val="0"/>
                <w:sz w:val="20"/>
                <w:szCs w:val="20"/>
                <w:lang w:val="en-US" w:eastAsia="zh-CN"/>
              </w:rPr>
              <w:t>.21</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52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60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sz w:val="24"/>
                <w:szCs w:val="24"/>
              </w:rPr>
            </w:pPr>
            <w:r>
              <w:rPr>
                <w:rFonts w:hint="eastAsia" w:ascii="宋体" w:hAnsi="宋体" w:eastAsia="宋体" w:cs="宋体"/>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hint="default" w:ascii="宋体" w:hAnsi="宋体" w:eastAsia="宋体" w:cs="宋体"/>
                <w:sz w:val="24"/>
                <w:szCs w:val="24"/>
                <w:lang w:val="en-US"/>
              </w:rPr>
            </w:pPr>
            <w:r>
              <w:rPr>
                <w:rFonts w:hint="eastAsia" w:ascii="宋体" w:hAnsi="宋体" w:eastAsia="宋体" w:cs="宋体"/>
                <w:color w:val="000000"/>
                <w:kern w:val="0"/>
                <w:sz w:val="20"/>
                <w:szCs w:val="20"/>
              </w:rPr>
              <w:t>78</w:t>
            </w:r>
            <w:r>
              <w:rPr>
                <w:rFonts w:hint="eastAsia" w:ascii="宋体" w:hAnsi="宋体" w:eastAsia="宋体" w:cs="宋体"/>
                <w:color w:val="000000"/>
                <w:kern w:val="0"/>
                <w:sz w:val="20"/>
                <w:szCs w:val="20"/>
                <w:lang w:val="en-US" w:eastAsia="zh-CN"/>
              </w:rPr>
              <w:t>.61</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208</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社会保障和就业支出</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20805</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行政事业单位养老支出</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0.00</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2080505</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机关事业单位基本养老保险缴费支出</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450" w:hRule="atLeast"/>
        </w:trPr>
        <w:tc>
          <w:tcPr>
            <w:tcW w:w="731"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2080506</w:t>
            </w:r>
          </w:p>
        </w:tc>
        <w:tc>
          <w:tcPr>
            <w:tcW w:w="2209"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机关事业单位职业年金缴费支出</w:t>
            </w:r>
          </w:p>
        </w:tc>
        <w:tc>
          <w:tcPr>
            <w:tcW w:w="15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45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347"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1758"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c>
          <w:tcPr>
            <w:tcW w:w="2494"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0.00</w:t>
            </w:r>
          </w:p>
        </w:tc>
      </w:tr>
      <w:tr>
        <w:tblPrEx>
          <w:tblCellMar>
            <w:top w:w="0" w:type="dxa"/>
            <w:left w:w="0" w:type="dxa"/>
            <w:bottom w:w="0" w:type="dxa"/>
            <w:right w:w="0" w:type="dxa"/>
          </w:tblCellMar>
        </w:tblPrEx>
        <w:trPr>
          <w:trHeight w:val="615" w:hRule="atLeast"/>
        </w:trPr>
        <w:tc>
          <w:tcPr>
            <w:tcW w:w="15069"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p>
    <w:tbl>
      <w:tblPr>
        <w:tblStyle w:val="5"/>
        <w:tblW w:w="15048" w:type="dxa"/>
        <w:tblInd w:w="98" w:type="dxa"/>
        <w:tblLayout w:type="fixed"/>
        <w:tblCellMar>
          <w:top w:w="0" w:type="dxa"/>
          <w:left w:w="108" w:type="dxa"/>
          <w:bottom w:w="0" w:type="dxa"/>
          <w:right w:w="108" w:type="dxa"/>
        </w:tblCellMar>
      </w:tblPr>
      <w:tblGrid>
        <w:gridCol w:w="1261"/>
        <w:gridCol w:w="308"/>
        <w:gridCol w:w="254"/>
        <w:gridCol w:w="3592"/>
        <w:gridCol w:w="1771"/>
        <w:gridCol w:w="1477"/>
        <w:gridCol w:w="1554"/>
        <w:gridCol w:w="1446"/>
        <w:gridCol w:w="1546"/>
        <w:gridCol w:w="1839"/>
      </w:tblGrid>
      <w:tr>
        <w:tblPrEx>
          <w:tblCellMar>
            <w:top w:w="0" w:type="dxa"/>
            <w:left w:w="108" w:type="dxa"/>
            <w:bottom w:w="0" w:type="dxa"/>
            <w:right w:w="108" w:type="dxa"/>
          </w:tblCellMar>
        </w:tblPrEx>
        <w:trPr>
          <w:trHeight w:val="375" w:hRule="atLeast"/>
        </w:trPr>
        <w:tc>
          <w:tcPr>
            <w:tcW w:w="15048" w:type="dxa"/>
            <w:gridSpan w:val="10"/>
            <w:tcBorders>
              <w:top w:val="nil"/>
              <w:left w:val="nil"/>
              <w:bottom w:val="nil"/>
              <w:right w:val="single" w:color="808080" w:sz="4" w:space="0"/>
            </w:tcBorders>
            <w:shd w:val="clear" w:color="auto" w:fill="auto"/>
            <w:noWrap/>
            <w:vAlign w:val="center"/>
          </w:tcPr>
          <w:p>
            <w:pPr>
              <w:jc w:val="center"/>
              <w:rPr>
                <w:rFonts w:ascii="宋体" w:hAnsi="宋体" w:eastAsia="宋体" w:cs="宋体"/>
                <w:color w:val="000000"/>
                <w:sz w:val="18"/>
                <w:szCs w:val="18"/>
              </w:rPr>
            </w:pPr>
            <w:r>
              <w:rPr>
                <w:rFonts w:hint="eastAsia" w:ascii="黑体" w:hAnsi="宋体" w:eastAsia="黑体" w:cs="黑体"/>
                <w:color w:val="000000"/>
                <w:kern w:val="0"/>
                <w:sz w:val="30"/>
                <w:szCs w:val="30"/>
              </w:rPr>
              <w:t>支出决算表</w:t>
            </w:r>
          </w:p>
        </w:tc>
      </w:tr>
      <w:tr>
        <w:tblPrEx>
          <w:tblCellMar>
            <w:top w:w="0" w:type="dxa"/>
            <w:left w:w="108" w:type="dxa"/>
            <w:bottom w:w="0" w:type="dxa"/>
            <w:right w:w="108" w:type="dxa"/>
          </w:tblCellMar>
        </w:tblPrEx>
        <w:trPr>
          <w:trHeight w:val="300" w:hRule="atLeast"/>
        </w:trPr>
        <w:tc>
          <w:tcPr>
            <w:tcW w:w="1261"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308"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254"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3592"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1771"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1477"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1554"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1446"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1546" w:type="dxa"/>
            <w:tcBorders>
              <w:top w:val="nil"/>
              <w:left w:val="nil"/>
              <w:bottom w:val="nil"/>
              <w:right w:val="nil"/>
            </w:tcBorders>
            <w:shd w:val="clear" w:color="auto" w:fill="auto"/>
            <w:noWrap/>
            <w:vAlign w:val="center"/>
          </w:tcPr>
          <w:p>
            <w:pPr>
              <w:jc w:val="left"/>
              <w:rPr>
                <w:rFonts w:ascii="宋体" w:hAnsi="宋体" w:eastAsia="宋体" w:cs="宋体"/>
                <w:color w:val="000000"/>
                <w:sz w:val="18"/>
                <w:szCs w:val="18"/>
              </w:rPr>
            </w:pPr>
          </w:p>
        </w:tc>
        <w:tc>
          <w:tcPr>
            <w:tcW w:w="1839" w:type="dxa"/>
            <w:tcBorders>
              <w:top w:val="nil"/>
              <w:left w:val="nil"/>
              <w:bottom w:val="nil"/>
              <w:right w:val="single" w:color="808080" w:sz="4"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公开03表</w:t>
            </w:r>
          </w:p>
        </w:tc>
      </w:tr>
      <w:tr>
        <w:tblPrEx>
          <w:tblCellMar>
            <w:top w:w="0" w:type="dxa"/>
            <w:left w:w="108" w:type="dxa"/>
            <w:bottom w:w="0" w:type="dxa"/>
            <w:right w:w="108" w:type="dxa"/>
          </w:tblCellMar>
        </w:tblPrEx>
        <w:trPr>
          <w:trHeight w:val="300" w:hRule="atLeast"/>
        </w:trPr>
        <w:tc>
          <w:tcPr>
            <w:tcW w:w="5415" w:type="dxa"/>
            <w:gridSpan w:val="4"/>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rPr>
              <w:t>部门：湖南省科学技术咨询中心</w:t>
            </w:r>
          </w:p>
        </w:tc>
        <w:tc>
          <w:tcPr>
            <w:tcW w:w="1771" w:type="dxa"/>
            <w:tcBorders>
              <w:top w:val="nil"/>
              <w:left w:val="nil"/>
              <w:bottom w:val="single" w:color="808080" w:sz="4" w:space="0"/>
              <w:right w:val="nil"/>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2021年度</w:t>
            </w:r>
          </w:p>
        </w:tc>
        <w:tc>
          <w:tcPr>
            <w:tcW w:w="1477"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1554"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1446"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1546" w:type="dxa"/>
            <w:tcBorders>
              <w:top w:val="nil"/>
              <w:left w:val="nil"/>
              <w:bottom w:val="single" w:color="808080" w:sz="4" w:space="0"/>
              <w:right w:val="nil"/>
            </w:tcBorders>
            <w:shd w:val="clear" w:color="auto" w:fill="auto"/>
            <w:noWrap/>
            <w:vAlign w:val="center"/>
          </w:tcPr>
          <w:p>
            <w:pPr>
              <w:jc w:val="left"/>
              <w:rPr>
                <w:rFonts w:ascii="宋体" w:hAnsi="宋体" w:eastAsia="宋体" w:cs="宋体"/>
                <w:color w:val="000000"/>
                <w:sz w:val="18"/>
                <w:szCs w:val="18"/>
              </w:rPr>
            </w:pPr>
          </w:p>
        </w:tc>
        <w:tc>
          <w:tcPr>
            <w:tcW w:w="1839" w:type="dxa"/>
            <w:tcBorders>
              <w:top w:val="nil"/>
              <w:left w:val="nil"/>
              <w:bottom w:val="single" w:color="808080" w:sz="4" w:space="0"/>
              <w:right w:val="single" w:color="808080" w:sz="4" w:space="0"/>
            </w:tcBorders>
            <w:shd w:val="clear" w:color="auto" w:fill="auto"/>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w:t>
            </w:r>
            <w:r>
              <w:rPr>
                <w:rFonts w:hint="eastAsia" w:ascii="宋体" w:hAnsi="宋体" w:eastAsia="宋体" w:cs="宋体"/>
                <w:color w:val="000000"/>
                <w:kern w:val="0"/>
                <w:sz w:val="22"/>
                <w:lang w:eastAsia="zh-CN"/>
              </w:rPr>
              <w:t>万</w:t>
            </w:r>
            <w:bookmarkStart w:id="3" w:name="_GoBack"/>
            <w:bookmarkEnd w:id="3"/>
            <w:r>
              <w:rPr>
                <w:rFonts w:hint="eastAsia" w:ascii="宋体" w:hAnsi="宋体" w:eastAsia="宋体" w:cs="宋体"/>
                <w:color w:val="000000"/>
                <w:kern w:val="0"/>
                <w:sz w:val="22"/>
              </w:rPr>
              <w:t>元</w:t>
            </w:r>
          </w:p>
        </w:tc>
      </w:tr>
      <w:tr>
        <w:tblPrEx>
          <w:tblCellMar>
            <w:top w:w="0" w:type="dxa"/>
            <w:left w:w="108" w:type="dxa"/>
            <w:bottom w:w="0" w:type="dxa"/>
            <w:right w:w="108" w:type="dxa"/>
          </w:tblCellMar>
        </w:tblPrEx>
        <w:trPr>
          <w:trHeight w:val="300" w:hRule="atLeast"/>
        </w:trPr>
        <w:tc>
          <w:tcPr>
            <w:tcW w:w="541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w:t>
            </w:r>
          </w:p>
        </w:tc>
        <w:tc>
          <w:tcPr>
            <w:tcW w:w="1771"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本年支出合计</w:t>
            </w:r>
          </w:p>
        </w:tc>
        <w:tc>
          <w:tcPr>
            <w:tcW w:w="1477"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基本支出</w:t>
            </w:r>
          </w:p>
        </w:tc>
        <w:tc>
          <w:tcPr>
            <w:tcW w:w="1554"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项目支出</w:t>
            </w:r>
          </w:p>
        </w:tc>
        <w:tc>
          <w:tcPr>
            <w:tcW w:w="1446"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上缴上级支出</w:t>
            </w:r>
          </w:p>
        </w:tc>
        <w:tc>
          <w:tcPr>
            <w:tcW w:w="1546"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经营支出</w:t>
            </w:r>
          </w:p>
        </w:tc>
        <w:tc>
          <w:tcPr>
            <w:tcW w:w="1839" w:type="dxa"/>
            <w:vMerge w:val="restart"/>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对附属单位补助支出</w:t>
            </w:r>
          </w:p>
        </w:tc>
      </w:tr>
      <w:tr>
        <w:tblPrEx>
          <w:tblCellMar>
            <w:top w:w="0" w:type="dxa"/>
            <w:left w:w="108" w:type="dxa"/>
            <w:bottom w:w="0" w:type="dxa"/>
            <w:right w:w="108" w:type="dxa"/>
          </w:tblCellMar>
        </w:tblPrEx>
        <w:trPr>
          <w:trHeight w:val="312" w:hRule="atLeast"/>
        </w:trPr>
        <w:tc>
          <w:tcPr>
            <w:tcW w:w="1823" w:type="dxa"/>
            <w:gridSpan w:val="3"/>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功能分类科目编码</w:t>
            </w:r>
          </w:p>
        </w:tc>
        <w:tc>
          <w:tcPr>
            <w:tcW w:w="3592" w:type="dxa"/>
            <w:vMerge w:val="restart"/>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科目名称</w:t>
            </w:r>
          </w:p>
        </w:tc>
        <w:tc>
          <w:tcPr>
            <w:tcW w:w="177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4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554"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44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54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839"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1823"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592" w:type="dxa"/>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77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4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554"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44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54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839"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1823" w:type="dxa"/>
            <w:gridSpan w:val="3"/>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3592" w:type="dxa"/>
            <w:vMerge w:val="continue"/>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1771"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477"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554"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44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546"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c>
          <w:tcPr>
            <w:tcW w:w="1839" w:type="dxa"/>
            <w:vMerge w:val="continue"/>
            <w:tcBorders>
              <w:top w:val="nil"/>
              <w:left w:val="nil"/>
              <w:bottom w:val="single" w:color="000000" w:sz="4" w:space="0"/>
              <w:right w:val="single" w:color="000000" w:sz="4" w:space="0"/>
            </w:tcBorders>
            <w:shd w:val="clear" w:color="auto" w:fill="auto"/>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541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栏次</w:t>
            </w:r>
          </w:p>
        </w:tc>
        <w:tc>
          <w:tcPr>
            <w:tcW w:w="1771"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477"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554"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446"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546"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839" w:type="dxa"/>
            <w:tcBorders>
              <w:top w:val="nil"/>
              <w:left w:val="nil"/>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r>
      <w:tr>
        <w:tblPrEx>
          <w:tblCellMar>
            <w:top w:w="0" w:type="dxa"/>
            <w:left w:w="108" w:type="dxa"/>
            <w:bottom w:w="0" w:type="dxa"/>
            <w:right w:w="108" w:type="dxa"/>
          </w:tblCellMar>
        </w:tblPrEx>
        <w:trPr>
          <w:trHeight w:val="300" w:hRule="atLeast"/>
        </w:trPr>
        <w:tc>
          <w:tcPr>
            <w:tcW w:w="541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hint="eastAsia" w:ascii="宋体" w:hAnsi="宋体" w:eastAsia="宋体" w:cs="宋体"/>
                <w:b/>
                <w:bCs/>
                <w:color w:val="000000"/>
                <w:sz w:val="20"/>
                <w:szCs w:val="20"/>
                <w:lang w:val="en-US" w:eastAsia="zh-CN"/>
              </w:rPr>
            </w:pPr>
            <w:r>
              <w:rPr>
                <w:rFonts w:hint="eastAsia" w:ascii="宋体" w:hAnsi="宋体" w:eastAsia="宋体" w:cs="宋体"/>
                <w:b/>
                <w:bCs/>
                <w:color w:val="000000"/>
                <w:kern w:val="0"/>
                <w:sz w:val="20"/>
                <w:szCs w:val="20"/>
              </w:rPr>
              <w:t>488</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6</w:t>
            </w:r>
            <w:r>
              <w:rPr>
                <w:rFonts w:hint="eastAsia" w:ascii="宋体" w:hAnsi="宋体" w:eastAsia="宋体" w:cs="宋体"/>
                <w:b/>
                <w:bCs/>
                <w:color w:val="000000"/>
                <w:kern w:val="0"/>
                <w:sz w:val="20"/>
                <w:szCs w:val="20"/>
                <w:lang w:val="en-US" w:eastAsia="zh-CN"/>
              </w:rPr>
              <w:t>3</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hint="eastAsia" w:ascii="宋体" w:hAnsi="宋体" w:eastAsia="宋体" w:cs="宋体"/>
                <w:b/>
                <w:bCs/>
                <w:color w:val="000000"/>
                <w:sz w:val="20"/>
                <w:szCs w:val="20"/>
                <w:lang w:eastAsia="zh-CN"/>
              </w:rPr>
            </w:pPr>
            <w:r>
              <w:rPr>
                <w:rFonts w:hint="eastAsia" w:ascii="宋体" w:hAnsi="宋体" w:eastAsia="宋体" w:cs="宋体"/>
                <w:b/>
                <w:bCs/>
                <w:color w:val="000000"/>
                <w:kern w:val="0"/>
                <w:sz w:val="20"/>
                <w:szCs w:val="20"/>
              </w:rPr>
              <w:t>222</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w:t>
            </w:r>
            <w:r>
              <w:rPr>
                <w:rFonts w:hint="eastAsia" w:ascii="宋体" w:hAnsi="宋体" w:eastAsia="宋体" w:cs="宋体"/>
                <w:b/>
                <w:bCs/>
                <w:color w:val="000000"/>
                <w:kern w:val="0"/>
                <w:sz w:val="20"/>
                <w:szCs w:val="20"/>
                <w:lang w:val="en-US" w:eastAsia="zh-CN"/>
              </w:rPr>
              <w:t>8</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95</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w:t>
            </w:r>
            <w:r>
              <w:rPr>
                <w:rFonts w:hint="eastAsia" w:ascii="宋体" w:hAnsi="宋体" w:eastAsia="宋体" w:cs="宋体"/>
                <w:b/>
                <w:bCs/>
                <w:color w:val="000000"/>
                <w:kern w:val="0"/>
                <w:sz w:val="20"/>
                <w:szCs w:val="20"/>
                <w:lang w:val="en-US" w:eastAsia="zh-CN"/>
              </w:rPr>
              <w:t>.6</w:t>
            </w:r>
            <w:r>
              <w:rPr>
                <w:rFonts w:hint="eastAsia" w:ascii="宋体" w:hAnsi="宋体" w:eastAsia="宋体" w:cs="宋体"/>
                <w:b/>
                <w:bCs/>
                <w:color w:val="000000"/>
                <w:kern w:val="0"/>
                <w:sz w:val="20"/>
                <w:szCs w:val="20"/>
              </w:rPr>
              <w:t>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科学技术支出</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hint="eastAsia" w:ascii="宋体" w:hAnsi="宋体" w:eastAsia="宋体" w:cs="宋体"/>
                <w:b/>
                <w:bCs/>
                <w:color w:val="000000"/>
                <w:sz w:val="20"/>
                <w:szCs w:val="20"/>
                <w:lang w:val="en-US" w:eastAsia="zh-CN"/>
              </w:rPr>
            </w:pPr>
            <w:r>
              <w:rPr>
                <w:rFonts w:hint="eastAsia" w:ascii="宋体" w:hAnsi="宋体" w:eastAsia="宋体" w:cs="宋体"/>
                <w:b/>
                <w:bCs/>
                <w:color w:val="000000"/>
                <w:kern w:val="0"/>
                <w:sz w:val="20"/>
                <w:szCs w:val="20"/>
              </w:rPr>
              <w:t>467</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6</w:t>
            </w:r>
            <w:r>
              <w:rPr>
                <w:rFonts w:hint="eastAsia" w:ascii="宋体" w:hAnsi="宋体" w:eastAsia="宋体" w:cs="宋体"/>
                <w:b/>
                <w:bCs/>
                <w:color w:val="000000"/>
                <w:kern w:val="0"/>
                <w:sz w:val="20"/>
                <w:szCs w:val="20"/>
                <w:lang w:val="en-US" w:eastAsia="zh-CN"/>
              </w:rPr>
              <w:t>3</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hint="eastAsia" w:ascii="宋体" w:hAnsi="宋体" w:eastAsia="宋体" w:cs="宋体"/>
                <w:b/>
                <w:bCs/>
                <w:color w:val="000000"/>
                <w:sz w:val="20"/>
                <w:szCs w:val="20"/>
                <w:lang w:eastAsia="zh-CN"/>
              </w:rPr>
            </w:pPr>
            <w:r>
              <w:rPr>
                <w:rFonts w:hint="eastAsia" w:ascii="宋体" w:hAnsi="宋体" w:eastAsia="宋体" w:cs="宋体"/>
                <w:b/>
                <w:bCs/>
                <w:color w:val="000000"/>
                <w:kern w:val="0"/>
                <w:sz w:val="20"/>
                <w:szCs w:val="20"/>
              </w:rPr>
              <w:t>201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w:t>
            </w:r>
            <w:r>
              <w:rPr>
                <w:rFonts w:hint="eastAsia" w:ascii="宋体" w:hAnsi="宋体" w:eastAsia="宋体" w:cs="宋体"/>
                <w:b/>
                <w:bCs/>
                <w:color w:val="000000"/>
                <w:kern w:val="0"/>
                <w:sz w:val="20"/>
                <w:szCs w:val="20"/>
                <w:lang w:val="en-US" w:eastAsia="zh-CN"/>
              </w:rPr>
              <w:t>8</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95</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60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20607</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科学技术普及</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hint="default" w:ascii="宋体" w:hAnsi="宋体" w:eastAsia="宋体" w:cs="宋体"/>
                <w:b/>
                <w:bCs/>
                <w:color w:val="000000"/>
                <w:sz w:val="20"/>
                <w:szCs w:val="20"/>
                <w:lang w:val="en-US" w:eastAsia="zh-CN"/>
              </w:rPr>
            </w:pPr>
            <w:r>
              <w:rPr>
                <w:rFonts w:hint="eastAsia" w:ascii="宋体" w:hAnsi="宋体" w:eastAsia="宋体" w:cs="宋体"/>
                <w:b/>
                <w:bCs/>
                <w:color w:val="000000"/>
                <w:kern w:val="0"/>
                <w:sz w:val="20"/>
                <w:szCs w:val="20"/>
              </w:rPr>
              <w:t>347</w:t>
            </w:r>
            <w:r>
              <w:rPr>
                <w:rFonts w:hint="eastAsia" w:ascii="宋体" w:hAnsi="宋体" w:eastAsia="宋体" w:cs="宋体"/>
                <w:b/>
                <w:bCs/>
                <w:color w:val="000000"/>
                <w:kern w:val="0"/>
                <w:sz w:val="20"/>
                <w:szCs w:val="20"/>
                <w:lang w:val="en-US" w:eastAsia="zh-CN"/>
              </w:rPr>
              <w:t>.80</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hint="eastAsia" w:ascii="宋体" w:hAnsi="宋体" w:eastAsia="宋体" w:cs="宋体"/>
                <w:b/>
                <w:bCs/>
                <w:color w:val="000000"/>
                <w:sz w:val="20"/>
                <w:szCs w:val="20"/>
                <w:lang w:eastAsia="zh-CN"/>
              </w:rPr>
            </w:pPr>
            <w:r>
              <w:rPr>
                <w:rFonts w:hint="eastAsia" w:ascii="宋体" w:hAnsi="宋体" w:eastAsia="宋体" w:cs="宋体"/>
                <w:b/>
                <w:bCs/>
                <w:color w:val="000000"/>
                <w:kern w:val="0"/>
                <w:sz w:val="20"/>
                <w:szCs w:val="20"/>
              </w:rPr>
              <w:t>201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w:t>
            </w:r>
            <w:r>
              <w:rPr>
                <w:rFonts w:hint="eastAsia" w:ascii="宋体" w:hAnsi="宋体" w:eastAsia="宋体" w:cs="宋体"/>
                <w:b/>
                <w:bCs/>
                <w:color w:val="000000"/>
                <w:kern w:val="0"/>
                <w:sz w:val="20"/>
                <w:szCs w:val="20"/>
                <w:lang w:val="en-US" w:eastAsia="zh-CN"/>
              </w:rPr>
              <w:t>8</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94</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12</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w:t>
            </w:r>
            <w:r>
              <w:rPr>
                <w:rFonts w:hint="eastAsia" w:ascii="宋体" w:hAnsi="宋体" w:eastAsia="宋体" w:cs="宋体"/>
                <w:b/>
                <w:bCs/>
                <w:color w:val="000000"/>
                <w:kern w:val="0"/>
                <w:sz w:val="20"/>
                <w:szCs w:val="20"/>
                <w:lang w:val="en-US" w:eastAsia="zh-CN"/>
              </w:rPr>
              <w:t>.6</w:t>
            </w:r>
            <w:r>
              <w:rPr>
                <w:rFonts w:hint="eastAsia" w:ascii="宋体" w:hAnsi="宋体" w:eastAsia="宋体" w:cs="宋体"/>
                <w:b/>
                <w:bCs/>
                <w:color w:val="000000"/>
                <w:kern w:val="0"/>
                <w:sz w:val="20"/>
                <w:szCs w:val="20"/>
              </w:rPr>
              <w:t>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2060701</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机构运行</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03</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03</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2060702</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科普活动</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2060704</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学术交流活动</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49</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12</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49</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12</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2060799</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其他科学技术普及支出</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rPr>
              <w:t>89</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6</w:t>
            </w:r>
            <w:r>
              <w:rPr>
                <w:rFonts w:hint="eastAsia" w:ascii="宋体" w:hAnsi="宋体" w:eastAsia="宋体" w:cs="宋体"/>
                <w:color w:val="000000"/>
                <w:kern w:val="0"/>
                <w:sz w:val="20"/>
                <w:szCs w:val="20"/>
                <w:lang w:val="en-US" w:eastAsia="zh-CN"/>
              </w:rPr>
              <w:t>5</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rPr>
              <w:t>37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w:t>
            </w:r>
            <w:r>
              <w:rPr>
                <w:rFonts w:hint="eastAsia" w:ascii="宋体" w:hAnsi="宋体" w:eastAsia="宋体" w:cs="宋体"/>
                <w:color w:val="000000"/>
                <w:kern w:val="0"/>
                <w:sz w:val="20"/>
                <w:szCs w:val="20"/>
                <w:lang w:val="en-US" w:eastAsia="zh-CN"/>
              </w:rPr>
              <w:t>5</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60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20699</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其他科学技术支出</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119</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83</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119</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83</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2069999</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其他科学技术支出</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119</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83</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119</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83</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社会保障和就业支出</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20805</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行政事业单位养老支出</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2080505</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机关事业单位基本养老保险缴费支出</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23" w:type="dxa"/>
            <w:gridSpan w:val="3"/>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2080506</w:t>
            </w:r>
          </w:p>
        </w:tc>
        <w:tc>
          <w:tcPr>
            <w:tcW w:w="3592"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机关事业单位职业年金缴费支出</w:t>
            </w:r>
          </w:p>
        </w:tc>
        <w:tc>
          <w:tcPr>
            <w:tcW w:w="1771"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477"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554"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4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46"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839"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5048" w:type="dxa"/>
            <w:gridSpan w:val="10"/>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注：本表反映部门本年度各项支出情况。</w:t>
            </w:r>
          </w:p>
        </w:tc>
      </w:tr>
    </w:tbl>
    <w:p>
      <w:pPr>
        <w:widowControl/>
        <w:rPr>
          <w:rFonts w:ascii="Times New Roman" w:hAnsi="Times New Roman" w:eastAsia="方正小标宋_GBK" w:cs="Times New Roman"/>
          <w:color w:val="000000"/>
          <w:kern w:val="0"/>
          <w:sz w:val="36"/>
          <w:szCs w:val="36"/>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5521" w:type="dxa"/>
        <w:tblInd w:w="93" w:type="dxa"/>
        <w:tblLayout w:type="fixed"/>
        <w:tblCellMar>
          <w:top w:w="0" w:type="dxa"/>
          <w:left w:w="108" w:type="dxa"/>
          <w:bottom w:w="0" w:type="dxa"/>
          <w:right w:w="108" w:type="dxa"/>
        </w:tblCellMar>
      </w:tblPr>
      <w:tblGrid>
        <w:gridCol w:w="3595"/>
        <w:gridCol w:w="436"/>
        <w:gridCol w:w="1483"/>
        <w:gridCol w:w="3006"/>
        <w:gridCol w:w="632"/>
        <w:gridCol w:w="435"/>
        <w:gridCol w:w="1573"/>
        <w:gridCol w:w="1394"/>
        <w:gridCol w:w="1394"/>
        <w:gridCol w:w="1573"/>
      </w:tblGrid>
      <w:tr>
        <w:tblPrEx>
          <w:tblCellMar>
            <w:top w:w="0" w:type="dxa"/>
            <w:left w:w="108" w:type="dxa"/>
            <w:bottom w:w="0" w:type="dxa"/>
            <w:right w:w="108" w:type="dxa"/>
          </w:tblCellMar>
        </w:tblPrEx>
        <w:trPr>
          <w:trHeight w:val="360" w:hRule="atLeast"/>
        </w:trPr>
        <w:tc>
          <w:tcPr>
            <w:tcW w:w="15521" w:type="dxa"/>
            <w:gridSpan w:val="10"/>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bookmarkStart w:id="0" w:name="RANGE!A1:I22"/>
            <w:bookmarkEnd w:id="0"/>
            <w:bookmarkStart w:id="1" w:name="RANGE!A1:F16"/>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8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63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部门：湖南省科学技术咨询中心</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8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638"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514"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007"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48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00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48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00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296</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24</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kern w:val="0"/>
                <w:sz w:val="22"/>
                <w:lang w:val="en-US" w:eastAsia="zh-CN"/>
              </w:rPr>
            </w:pPr>
            <w:r>
              <w:rPr>
                <w:rFonts w:hint="eastAsia" w:ascii="宋体" w:hAnsi="宋体" w:eastAsia="宋体" w:cs="宋体"/>
                <w:color w:val="000000"/>
                <w:kern w:val="0"/>
                <w:sz w:val="20"/>
                <w:szCs w:val="20"/>
              </w:rPr>
              <w:t>377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9</w:t>
            </w:r>
            <w:r>
              <w:rPr>
                <w:rFonts w:hint="eastAsia" w:ascii="宋体" w:hAnsi="宋体" w:eastAsia="宋体" w:cs="宋体"/>
                <w:color w:val="000000"/>
                <w:kern w:val="0"/>
                <w:sz w:val="20"/>
                <w:szCs w:val="20"/>
                <w:lang w:val="en-US" w:eastAsia="zh-CN"/>
              </w:rPr>
              <w:t>9</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0"/>
                <w:szCs w:val="20"/>
              </w:rPr>
              <w:t>七、文化旅游体育与传媒支出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48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0"/>
                <w:szCs w:val="20"/>
              </w:rPr>
              <w:t>八、社会保障和就业支出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21</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296</w:t>
            </w: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4</w:t>
            </w:r>
          </w:p>
        </w:tc>
        <w:tc>
          <w:tcPr>
            <w:tcW w:w="300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kern w:val="0"/>
                <w:sz w:val="22"/>
                <w:lang w:val="en-US" w:eastAsia="zh-CN"/>
              </w:rPr>
            </w:pPr>
            <w:r>
              <w:rPr>
                <w:rFonts w:hint="eastAsia" w:ascii="宋体" w:hAnsi="宋体" w:eastAsia="宋体" w:cs="宋体"/>
                <w:color w:val="000000"/>
                <w:kern w:val="0"/>
                <w:sz w:val="20"/>
                <w:szCs w:val="20"/>
              </w:rPr>
              <w:t>398</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9</w:t>
            </w:r>
            <w:r>
              <w:rPr>
                <w:rFonts w:hint="eastAsia" w:ascii="宋体" w:hAnsi="宋体" w:eastAsia="宋体" w:cs="宋体"/>
                <w:color w:val="000000"/>
                <w:kern w:val="0"/>
                <w:sz w:val="20"/>
                <w:szCs w:val="20"/>
                <w:lang w:val="en-US" w:eastAsia="zh-CN"/>
              </w:rPr>
              <w:t>9</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125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26</w:t>
            </w:r>
          </w:p>
        </w:tc>
        <w:tc>
          <w:tcPr>
            <w:tcW w:w="300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kern w:val="0"/>
                <w:sz w:val="22"/>
                <w:lang w:val="en-US" w:eastAsia="zh-CN"/>
              </w:rPr>
            </w:pPr>
            <w:r>
              <w:rPr>
                <w:rFonts w:hint="eastAsia" w:ascii="宋体" w:hAnsi="宋体" w:eastAsia="宋体" w:cs="宋体"/>
                <w:color w:val="000000"/>
                <w:kern w:val="0"/>
                <w:sz w:val="20"/>
                <w:szCs w:val="20"/>
              </w:rPr>
              <w:t>22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5</w:t>
            </w:r>
            <w:r>
              <w:rPr>
                <w:rFonts w:hint="eastAsia" w:ascii="宋体" w:hAnsi="宋体" w:eastAsia="宋体" w:cs="宋体"/>
                <w:color w:val="000000"/>
                <w:kern w:val="0"/>
                <w:sz w:val="20"/>
                <w:szCs w:val="20"/>
                <w:lang w:val="en-US" w:eastAsia="zh-CN"/>
              </w:rPr>
              <w:t>1</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125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26</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0"/>
                <w:szCs w:val="20"/>
              </w:rPr>
              <w:t>0.00</w:t>
            </w:r>
          </w:p>
        </w:tc>
        <w:tc>
          <w:tcPr>
            <w:tcW w:w="300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48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421</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50</w:t>
            </w:r>
          </w:p>
        </w:tc>
        <w:tc>
          <w:tcPr>
            <w:tcW w:w="300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right"/>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rPr>
              <w:t>421</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5</w:t>
            </w:r>
            <w:r>
              <w:rPr>
                <w:rFonts w:hint="eastAsia" w:ascii="宋体" w:hAnsi="宋体" w:eastAsia="宋体" w:cs="宋体"/>
                <w:color w:val="000000"/>
                <w:kern w:val="0"/>
                <w:sz w:val="20"/>
                <w:szCs w:val="20"/>
                <w:lang w:val="en-US" w:eastAsia="zh-CN"/>
              </w:rPr>
              <w:t>0</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0"/>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hint="eastAsia" w:ascii="宋体" w:hAnsi="宋体" w:eastAsia="宋体" w:cs="宋体"/>
          <w:color w:val="000000"/>
          <w:kern w:val="0"/>
          <w:sz w:val="20"/>
          <w:szCs w:val="20"/>
        </w:rPr>
        <w:t>部门：湖南省科学技术咨询中心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5"/>
        <w:tblW w:w="14219" w:type="dxa"/>
        <w:jc w:val="center"/>
        <w:tblLayout w:type="autofit"/>
        <w:tblCellMar>
          <w:top w:w="0" w:type="dxa"/>
          <w:left w:w="108" w:type="dxa"/>
          <w:bottom w:w="0" w:type="dxa"/>
          <w:right w:w="108" w:type="dxa"/>
        </w:tblCellMar>
      </w:tblPr>
      <w:tblGrid>
        <w:gridCol w:w="1200"/>
        <w:gridCol w:w="4422"/>
        <w:gridCol w:w="2105"/>
        <w:gridCol w:w="3492"/>
        <w:gridCol w:w="3000"/>
      </w:tblGrid>
      <w:tr>
        <w:tblPrEx>
          <w:tblCellMar>
            <w:top w:w="0" w:type="dxa"/>
            <w:left w:w="108" w:type="dxa"/>
            <w:bottom w:w="0" w:type="dxa"/>
            <w:right w:w="108" w:type="dxa"/>
          </w:tblCellMar>
        </w:tblPrEx>
        <w:trPr>
          <w:trHeight w:val="405" w:hRule="atLeast"/>
          <w:jc w:val="center"/>
        </w:trPr>
        <w:tc>
          <w:tcPr>
            <w:tcW w:w="5622"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8597"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4422"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10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42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105"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4422"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2105"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5622"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105"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5622"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105"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hint="eastAsia" w:ascii="Times New Roman" w:hAnsi="Times New Roman" w:eastAsia="宋体" w:cs="Times New Roman"/>
                <w:kern w:val="0"/>
                <w:szCs w:val="21"/>
                <w:lang w:val="en-US" w:eastAsia="zh-CN"/>
              </w:rPr>
            </w:pPr>
            <w:r>
              <w:rPr>
                <w:rFonts w:hint="eastAsia" w:ascii="宋体" w:hAnsi="宋体" w:eastAsia="宋体" w:cs="宋体"/>
                <w:b/>
                <w:bCs/>
                <w:color w:val="000000"/>
                <w:kern w:val="0"/>
                <w:sz w:val="20"/>
                <w:szCs w:val="20"/>
              </w:rPr>
              <w:t>398</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9</w:t>
            </w:r>
            <w:r>
              <w:rPr>
                <w:rFonts w:hint="eastAsia" w:ascii="宋体" w:hAnsi="宋体" w:eastAsia="宋体" w:cs="宋体"/>
                <w:b/>
                <w:bCs/>
                <w:color w:val="000000"/>
                <w:kern w:val="0"/>
                <w:sz w:val="20"/>
                <w:szCs w:val="20"/>
                <w:lang w:val="en-US" w:eastAsia="zh-CN"/>
              </w:rPr>
              <w:t>8</w:t>
            </w:r>
          </w:p>
        </w:tc>
        <w:tc>
          <w:tcPr>
            <w:tcW w:w="3492"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185</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03</w:t>
            </w:r>
          </w:p>
        </w:tc>
        <w:tc>
          <w:tcPr>
            <w:tcW w:w="3000"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3.</w:t>
            </w:r>
            <w:r>
              <w:rPr>
                <w:rFonts w:hint="eastAsia" w:ascii="宋体" w:hAnsi="宋体" w:eastAsia="宋体" w:cs="宋体"/>
                <w:b/>
                <w:bCs/>
                <w:color w:val="000000"/>
                <w:kern w:val="0"/>
                <w:sz w:val="20"/>
                <w:szCs w:val="20"/>
              </w:rPr>
              <w:t>95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206</w:t>
            </w:r>
          </w:p>
        </w:tc>
        <w:tc>
          <w:tcPr>
            <w:tcW w:w="4422"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科学技术支出</w:t>
            </w:r>
          </w:p>
        </w:tc>
        <w:tc>
          <w:tcPr>
            <w:tcW w:w="2105"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hint="eastAsia" w:ascii="Times New Roman" w:hAnsi="Times New Roman" w:eastAsia="宋体" w:cs="Times New Roman"/>
                <w:kern w:val="0"/>
                <w:szCs w:val="21"/>
                <w:lang w:val="en-US" w:eastAsia="zh-CN"/>
              </w:rPr>
            </w:pPr>
            <w:r>
              <w:rPr>
                <w:rFonts w:hint="eastAsia" w:ascii="宋体" w:hAnsi="宋体" w:eastAsia="宋体" w:cs="宋体"/>
                <w:b/>
                <w:bCs/>
                <w:color w:val="000000"/>
                <w:kern w:val="0"/>
                <w:sz w:val="20"/>
                <w:szCs w:val="20"/>
              </w:rPr>
              <w:t>377</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9</w:t>
            </w:r>
            <w:r>
              <w:rPr>
                <w:rFonts w:hint="eastAsia" w:ascii="宋体" w:hAnsi="宋体" w:eastAsia="宋体" w:cs="宋体"/>
                <w:b/>
                <w:bCs/>
                <w:color w:val="000000"/>
                <w:kern w:val="0"/>
                <w:sz w:val="20"/>
                <w:szCs w:val="20"/>
                <w:lang w:val="en-US" w:eastAsia="zh-CN"/>
              </w:rPr>
              <w:t>8</w:t>
            </w:r>
          </w:p>
        </w:tc>
        <w:tc>
          <w:tcPr>
            <w:tcW w:w="3492"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164</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03</w:t>
            </w:r>
          </w:p>
        </w:tc>
        <w:tc>
          <w:tcPr>
            <w:tcW w:w="3000"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213</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95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20607</w:t>
            </w:r>
          </w:p>
        </w:tc>
        <w:tc>
          <w:tcPr>
            <w:tcW w:w="4422"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科学技术普及</w:t>
            </w:r>
          </w:p>
        </w:tc>
        <w:tc>
          <w:tcPr>
            <w:tcW w:w="2105"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hint="eastAsia" w:ascii="Times New Roman" w:hAnsi="Times New Roman" w:eastAsia="宋体" w:cs="Times New Roman"/>
                <w:kern w:val="0"/>
                <w:szCs w:val="21"/>
                <w:lang w:val="en-US" w:eastAsia="zh-CN"/>
              </w:rPr>
            </w:pPr>
            <w:r>
              <w:rPr>
                <w:rFonts w:hint="eastAsia" w:ascii="宋体" w:hAnsi="宋体" w:eastAsia="宋体" w:cs="宋体"/>
                <w:b/>
                <w:bCs/>
                <w:color w:val="000000"/>
                <w:kern w:val="0"/>
                <w:sz w:val="20"/>
                <w:szCs w:val="20"/>
              </w:rPr>
              <w:t>258</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1</w:t>
            </w:r>
            <w:r>
              <w:rPr>
                <w:rFonts w:hint="eastAsia" w:ascii="宋体" w:hAnsi="宋体" w:eastAsia="宋体" w:cs="宋体"/>
                <w:b/>
                <w:bCs/>
                <w:color w:val="000000"/>
                <w:kern w:val="0"/>
                <w:sz w:val="20"/>
                <w:szCs w:val="20"/>
                <w:lang w:val="en-US" w:eastAsia="zh-CN"/>
              </w:rPr>
              <w:t>5</w:t>
            </w:r>
          </w:p>
        </w:tc>
        <w:tc>
          <w:tcPr>
            <w:tcW w:w="3492"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164</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03</w:t>
            </w:r>
          </w:p>
        </w:tc>
        <w:tc>
          <w:tcPr>
            <w:tcW w:w="3000"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94</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12</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2060701</w:t>
            </w:r>
          </w:p>
        </w:tc>
        <w:tc>
          <w:tcPr>
            <w:tcW w:w="4422"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机构运行</w:t>
            </w:r>
          </w:p>
        </w:tc>
        <w:tc>
          <w:tcPr>
            <w:tcW w:w="2105"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164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03</w:t>
            </w:r>
          </w:p>
        </w:tc>
        <w:tc>
          <w:tcPr>
            <w:tcW w:w="3492"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164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03</w:t>
            </w:r>
          </w:p>
        </w:tc>
        <w:tc>
          <w:tcPr>
            <w:tcW w:w="3000"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2060702</w:t>
            </w:r>
          </w:p>
        </w:tc>
        <w:tc>
          <w:tcPr>
            <w:tcW w:w="4422"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科普活动</w:t>
            </w:r>
          </w:p>
        </w:tc>
        <w:tc>
          <w:tcPr>
            <w:tcW w:w="2105"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45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3492"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0.00</w:t>
            </w:r>
          </w:p>
        </w:tc>
        <w:tc>
          <w:tcPr>
            <w:tcW w:w="3000"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45</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2060704</w:t>
            </w:r>
          </w:p>
        </w:tc>
        <w:tc>
          <w:tcPr>
            <w:tcW w:w="4422"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 xml:space="preserve">  学术交流活动</w:t>
            </w:r>
          </w:p>
        </w:tc>
        <w:tc>
          <w:tcPr>
            <w:tcW w:w="2105"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49</w:t>
            </w:r>
            <w:r>
              <w:rPr>
                <w:rFonts w:hint="eastAsia" w:ascii="宋体" w:hAnsi="宋体" w:eastAsia="宋体" w:cs="宋体"/>
                <w:color w:val="000000"/>
                <w:kern w:val="0"/>
                <w:sz w:val="20"/>
                <w:szCs w:val="20"/>
                <w:lang w:val="en-US" w:eastAsia="zh-CN"/>
              </w:rPr>
              <w:t>.1</w:t>
            </w:r>
            <w:r>
              <w:rPr>
                <w:rFonts w:hint="eastAsia" w:ascii="宋体" w:hAnsi="宋体" w:eastAsia="宋体" w:cs="宋体"/>
                <w:color w:val="000000"/>
                <w:kern w:val="0"/>
                <w:sz w:val="20"/>
                <w:szCs w:val="20"/>
              </w:rPr>
              <w:t>2</w:t>
            </w:r>
          </w:p>
        </w:tc>
        <w:tc>
          <w:tcPr>
            <w:tcW w:w="3492"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0.00</w:t>
            </w:r>
          </w:p>
        </w:tc>
        <w:tc>
          <w:tcPr>
            <w:tcW w:w="3000" w:type="dxa"/>
            <w:tcBorders>
              <w:top w:val="nil"/>
              <w:left w:val="nil"/>
              <w:bottom w:val="single" w:color="auto" w:sz="4" w:space="0"/>
              <w:right w:val="single" w:color="auto" w:sz="8"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49</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12</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20699</w:t>
            </w:r>
          </w:p>
        </w:tc>
        <w:tc>
          <w:tcPr>
            <w:tcW w:w="4422"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其他科学技术支出</w:t>
            </w:r>
          </w:p>
        </w:tc>
        <w:tc>
          <w:tcPr>
            <w:tcW w:w="2105"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119</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83</w:t>
            </w:r>
          </w:p>
        </w:tc>
        <w:tc>
          <w:tcPr>
            <w:tcW w:w="3492"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0.00</w:t>
            </w:r>
          </w:p>
        </w:tc>
        <w:tc>
          <w:tcPr>
            <w:tcW w:w="3000" w:type="dxa"/>
            <w:tcBorders>
              <w:top w:val="nil"/>
              <w:left w:val="nil"/>
              <w:bottom w:val="single" w:color="auto" w:sz="8" w:space="0"/>
              <w:right w:val="single" w:color="auto" w:sz="8"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0"/>
                <w:szCs w:val="20"/>
              </w:rPr>
              <w:t>119</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83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2069999</w:t>
            </w:r>
          </w:p>
        </w:tc>
        <w:tc>
          <w:tcPr>
            <w:tcW w:w="4422"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 xml:space="preserve">  其他科学技术支出</w:t>
            </w:r>
          </w:p>
        </w:tc>
        <w:tc>
          <w:tcPr>
            <w:tcW w:w="2105"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119</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83</w:t>
            </w:r>
          </w:p>
        </w:tc>
        <w:tc>
          <w:tcPr>
            <w:tcW w:w="3492"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0.00</w:t>
            </w:r>
          </w:p>
        </w:tc>
        <w:tc>
          <w:tcPr>
            <w:tcW w:w="3000" w:type="dxa"/>
            <w:tcBorders>
              <w:top w:val="nil"/>
              <w:left w:val="nil"/>
              <w:bottom w:val="single" w:color="auto" w:sz="8" w:space="0"/>
              <w:right w:val="single" w:color="auto" w:sz="8"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119</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83</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208</w:t>
            </w:r>
          </w:p>
        </w:tc>
        <w:tc>
          <w:tcPr>
            <w:tcW w:w="4422"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社会保障和就业支出</w:t>
            </w:r>
          </w:p>
        </w:tc>
        <w:tc>
          <w:tcPr>
            <w:tcW w:w="2105"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3492"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3000" w:type="dxa"/>
            <w:tcBorders>
              <w:top w:val="nil"/>
              <w:left w:val="nil"/>
              <w:bottom w:val="single" w:color="auto" w:sz="8" w:space="0"/>
              <w:right w:val="single" w:color="auto" w:sz="8"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20805</w:t>
            </w:r>
          </w:p>
        </w:tc>
        <w:tc>
          <w:tcPr>
            <w:tcW w:w="4422"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行政事业单位养老支出</w:t>
            </w:r>
          </w:p>
        </w:tc>
        <w:tc>
          <w:tcPr>
            <w:tcW w:w="2105"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3492"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21</w:t>
            </w:r>
            <w:r>
              <w:rPr>
                <w:rFonts w:hint="eastAsia" w:ascii="宋体" w:hAnsi="宋体" w:eastAsia="宋体" w:cs="宋体"/>
                <w:b/>
                <w:bCs/>
                <w:color w:val="000000"/>
                <w:kern w:val="0"/>
                <w:sz w:val="20"/>
                <w:szCs w:val="20"/>
                <w:lang w:val="en-US" w:eastAsia="zh-CN"/>
              </w:rPr>
              <w:t>.</w:t>
            </w:r>
            <w:r>
              <w:rPr>
                <w:rFonts w:hint="eastAsia" w:ascii="宋体" w:hAnsi="宋体" w:eastAsia="宋体" w:cs="宋体"/>
                <w:b/>
                <w:bCs/>
                <w:color w:val="000000"/>
                <w:kern w:val="0"/>
                <w:sz w:val="20"/>
                <w:szCs w:val="20"/>
              </w:rPr>
              <w:t>00</w:t>
            </w:r>
          </w:p>
        </w:tc>
        <w:tc>
          <w:tcPr>
            <w:tcW w:w="3000" w:type="dxa"/>
            <w:tcBorders>
              <w:top w:val="nil"/>
              <w:left w:val="nil"/>
              <w:bottom w:val="single" w:color="auto" w:sz="8" w:space="0"/>
              <w:right w:val="single" w:color="auto" w:sz="8"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2080505</w:t>
            </w:r>
          </w:p>
        </w:tc>
        <w:tc>
          <w:tcPr>
            <w:tcW w:w="4422"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 xml:space="preserve">  机关事业单位基本养老保险缴费支出</w:t>
            </w:r>
          </w:p>
        </w:tc>
        <w:tc>
          <w:tcPr>
            <w:tcW w:w="2105"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17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3492"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17</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3000" w:type="dxa"/>
            <w:tcBorders>
              <w:top w:val="nil"/>
              <w:left w:val="nil"/>
              <w:bottom w:val="single" w:color="auto" w:sz="8" w:space="0"/>
              <w:right w:val="single" w:color="auto" w:sz="8"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2080506</w:t>
            </w:r>
          </w:p>
        </w:tc>
        <w:tc>
          <w:tcPr>
            <w:tcW w:w="4422"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 xml:space="preserve">  机关事业单位职业年金缴费支出</w:t>
            </w:r>
          </w:p>
        </w:tc>
        <w:tc>
          <w:tcPr>
            <w:tcW w:w="2105"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3492"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00</w:t>
            </w:r>
          </w:p>
        </w:tc>
        <w:tc>
          <w:tcPr>
            <w:tcW w:w="3000" w:type="dxa"/>
            <w:tcBorders>
              <w:top w:val="nil"/>
              <w:left w:val="nil"/>
              <w:bottom w:val="single" w:color="auto" w:sz="8" w:space="0"/>
              <w:right w:val="single" w:color="auto" w:sz="8" w:space="0"/>
            </w:tcBorders>
            <w:shd w:val="clear" w:color="auto" w:fill="auto"/>
            <w:vAlign w:val="center"/>
          </w:tcPr>
          <w:p>
            <w:pPr>
              <w:widowControl/>
              <w:jc w:val="right"/>
              <w:textAlignment w:val="center"/>
              <w:rPr>
                <w:rFonts w:ascii="宋体" w:hAnsi="宋体" w:eastAsia="宋体" w:cs="宋体"/>
                <w:b/>
                <w:bCs/>
                <w:color w:val="000000"/>
                <w:kern w:val="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15794" w:type="dxa"/>
        <w:tblInd w:w="0" w:type="dxa"/>
        <w:tblLayout w:type="fixed"/>
        <w:tblCellMar>
          <w:top w:w="0" w:type="dxa"/>
          <w:left w:w="108" w:type="dxa"/>
          <w:bottom w:w="0" w:type="dxa"/>
          <w:right w:w="108" w:type="dxa"/>
        </w:tblCellMar>
      </w:tblPr>
      <w:tblGrid>
        <w:gridCol w:w="1280"/>
        <w:gridCol w:w="2529"/>
        <w:gridCol w:w="1743"/>
        <w:gridCol w:w="1129"/>
        <w:gridCol w:w="2108"/>
        <w:gridCol w:w="1091"/>
        <w:gridCol w:w="1101"/>
        <w:gridCol w:w="3722"/>
        <w:gridCol w:w="1091"/>
      </w:tblGrid>
      <w:tr>
        <w:tblPrEx>
          <w:tblCellMar>
            <w:top w:w="0" w:type="dxa"/>
            <w:left w:w="108" w:type="dxa"/>
            <w:bottom w:w="0" w:type="dxa"/>
            <w:right w:w="108" w:type="dxa"/>
          </w:tblCellMar>
        </w:tblPrEx>
        <w:trPr>
          <w:trHeight w:val="491" w:hRule="atLeast"/>
        </w:trPr>
        <w:tc>
          <w:tcPr>
            <w:tcW w:w="15794"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一般公共预算财政拨款基本支出决算明细表</w:t>
            </w:r>
            <w:bookmarkEnd w:id="2"/>
          </w:p>
          <w:p>
            <w:pPr>
              <w:widowControl/>
              <w:wordWrap w:val="0"/>
              <w:rPr>
                <w:rFonts w:ascii="Times New Roman" w:hAnsi="Times New Roman" w:eastAsia="仿宋_GB2312" w:cs="Times New Roman"/>
                <w:color w:val="000000"/>
                <w:kern w:val="0"/>
                <w:szCs w:val="21"/>
              </w:rPr>
            </w:pPr>
            <w:r>
              <w:rPr>
                <w:rFonts w:hint="eastAsia" w:ascii="宋体" w:hAnsi="宋体" w:eastAsia="宋体" w:cs="宋体"/>
                <w:color w:val="000000"/>
                <w:kern w:val="0"/>
                <w:sz w:val="20"/>
                <w:szCs w:val="20"/>
              </w:rPr>
              <w:t>部门：湖南省科学技术咨询中心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ind w:firstLine="14280" w:firstLineChars="6800"/>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 xml:space="preserve">单位：万元                   </w:t>
            </w:r>
            <w:r>
              <w:rPr>
                <w:rFonts w:ascii="Times New Roman" w:hAnsi="Times New Roman" w:eastAsia="仿宋_GB2312" w:cs="Times New Roman"/>
                <w:color w:val="000000"/>
                <w:kern w:val="0"/>
                <w:szCs w:val="21"/>
              </w:rPr>
              <w:t xml:space="preserve"> </w:t>
            </w:r>
          </w:p>
        </w:tc>
      </w:tr>
      <w:tr>
        <w:tblPrEx>
          <w:tblCellMar>
            <w:top w:w="0" w:type="dxa"/>
            <w:left w:w="108" w:type="dxa"/>
            <w:bottom w:w="0" w:type="dxa"/>
            <w:right w:w="108" w:type="dxa"/>
          </w:tblCellMar>
        </w:tblPrEx>
        <w:trPr>
          <w:trHeight w:val="113" w:hRule="atLeast"/>
        </w:trPr>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25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7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2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10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9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37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9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rPr>
              <w:t>180</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3</w:t>
            </w:r>
            <w:r>
              <w:rPr>
                <w:rFonts w:hint="eastAsia" w:ascii="宋体" w:hAnsi="宋体" w:eastAsia="宋体" w:cs="宋体"/>
                <w:color w:val="000000"/>
                <w:kern w:val="0"/>
                <w:sz w:val="20"/>
                <w:szCs w:val="20"/>
                <w:lang w:val="en-US" w:eastAsia="zh-CN"/>
              </w:rPr>
              <w:t>2</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7</w:t>
            </w:r>
            <w:r>
              <w:rPr>
                <w:rFonts w:hint="eastAsia" w:ascii="宋体" w:hAnsi="宋体" w:eastAsia="宋体" w:cs="宋体"/>
                <w:color w:val="000000"/>
                <w:kern w:val="0"/>
                <w:sz w:val="20"/>
                <w:szCs w:val="20"/>
                <w:lang w:val="en-US" w:eastAsia="zh-CN"/>
              </w:rPr>
              <w:t>2</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104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24</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7</w:t>
            </w:r>
            <w:r>
              <w:rPr>
                <w:rFonts w:hint="eastAsia" w:ascii="宋体" w:hAnsi="宋体" w:eastAsia="宋体" w:cs="宋体"/>
                <w:color w:val="000000"/>
                <w:kern w:val="0"/>
                <w:sz w:val="20"/>
                <w:szCs w:val="20"/>
                <w:lang w:val="en-US" w:eastAsia="zh-CN"/>
              </w:rPr>
              <w:t>1</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rPr>
              <w:t>26</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7</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default" w:ascii="宋体" w:hAnsi="宋体" w:eastAsia="宋体" w:cs="宋体"/>
                <w:color w:val="000000"/>
                <w:kern w:val="0"/>
                <w:szCs w:val="20"/>
                <w:lang w:val="en-US" w:eastAsia="zh-CN"/>
              </w:rPr>
            </w:pPr>
            <w:r>
              <w:rPr>
                <w:rFonts w:hint="eastAsia" w:ascii="宋体" w:hAnsi="宋体" w:eastAsia="宋体" w:cs="宋体"/>
                <w:color w:val="000000"/>
                <w:kern w:val="0"/>
                <w:sz w:val="20"/>
                <w:szCs w:val="20"/>
              </w:rPr>
              <w:t>11</w:t>
            </w:r>
            <w:r>
              <w:rPr>
                <w:rFonts w:hint="eastAsia" w:ascii="宋体" w:hAnsi="宋体" w:eastAsia="宋体" w:cs="宋体"/>
                <w:color w:val="000000"/>
                <w:kern w:val="0"/>
                <w:sz w:val="20"/>
                <w:szCs w:val="20"/>
                <w:lang w:val="en-US" w:eastAsia="zh-CN"/>
              </w:rPr>
              <w:t>.80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default" w:ascii="宋体" w:hAnsi="宋体" w:eastAsia="宋体" w:cs="宋体"/>
                <w:color w:val="000000"/>
                <w:kern w:val="0"/>
                <w:szCs w:val="20"/>
                <w:lang w:val="en-US"/>
              </w:rPr>
            </w:pPr>
            <w:r>
              <w:rPr>
                <w:rFonts w:hint="eastAsia" w:ascii="宋体" w:hAnsi="宋体" w:eastAsia="宋体" w:cs="宋体"/>
                <w:color w:val="000000"/>
                <w:kern w:val="0"/>
                <w:sz w:val="20"/>
                <w:szCs w:val="20"/>
              </w:rPr>
              <w:t>5</w:t>
            </w:r>
            <w:r>
              <w:rPr>
                <w:rFonts w:hint="eastAsia" w:ascii="宋体" w:hAnsi="宋体" w:eastAsia="宋体" w:cs="宋体"/>
                <w:color w:val="000000"/>
                <w:kern w:val="0"/>
                <w:sz w:val="20"/>
                <w:szCs w:val="20"/>
                <w:lang w:val="en-US" w:eastAsia="zh-CN"/>
              </w:rPr>
              <w:t>.90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rPr>
              <w:t>12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w:t>
            </w:r>
            <w:r>
              <w:rPr>
                <w:rFonts w:hint="eastAsia" w:ascii="宋体" w:hAnsi="宋体" w:eastAsia="宋体" w:cs="宋体"/>
                <w:color w:val="000000"/>
                <w:kern w:val="0"/>
                <w:sz w:val="20"/>
                <w:szCs w:val="20"/>
                <w:lang w:val="en-US" w:eastAsia="zh-CN"/>
              </w:rPr>
              <w:t>8</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1</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11</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default" w:ascii="宋体" w:hAnsi="宋体" w:eastAsia="宋体" w:cs="宋体"/>
                <w:color w:val="000000"/>
                <w:kern w:val="0"/>
                <w:szCs w:val="20"/>
                <w:lang w:val="en-US"/>
              </w:rPr>
            </w:pPr>
            <w:r>
              <w:rPr>
                <w:rFonts w:hint="eastAsia" w:ascii="宋体" w:hAnsi="宋体" w:eastAsia="宋体" w:cs="宋体"/>
                <w:color w:val="000000"/>
                <w:kern w:val="0"/>
                <w:sz w:val="20"/>
                <w:szCs w:val="20"/>
              </w:rPr>
              <w:t>15</w:t>
            </w:r>
            <w:r>
              <w:rPr>
                <w:rFonts w:hint="eastAsia" w:ascii="宋体" w:hAnsi="宋体" w:eastAsia="宋体" w:cs="宋体"/>
                <w:color w:val="000000"/>
                <w:kern w:val="0"/>
                <w:sz w:val="20"/>
                <w:szCs w:val="20"/>
                <w:lang w:val="en-US" w:eastAsia="zh-CN"/>
              </w:rPr>
              <w:t>.56</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lang w:val="en-US" w:eastAsia="zh-CN"/>
              </w:rPr>
              <w:t>0.</w:t>
            </w: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5</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lang w:val="en-US" w:eastAsia="zh-CN"/>
              </w:rPr>
              <w:t>0.</w:t>
            </w:r>
            <w:r>
              <w:rPr>
                <w:rFonts w:hint="eastAsia" w:ascii="宋体" w:hAnsi="宋体" w:eastAsia="宋体" w:cs="宋体"/>
                <w:color w:val="000000"/>
                <w:kern w:val="0"/>
                <w:sz w:val="20"/>
                <w:szCs w:val="20"/>
              </w:rPr>
              <w:t>7</w:t>
            </w:r>
            <w:r>
              <w:rPr>
                <w:rFonts w:hint="eastAsia" w:ascii="宋体" w:hAnsi="宋体" w:eastAsia="宋体" w:cs="宋体"/>
                <w:color w:val="000000"/>
                <w:kern w:val="0"/>
                <w:sz w:val="20"/>
                <w:szCs w:val="20"/>
                <w:lang w:val="en-US" w:eastAsia="zh-CN"/>
              </w:rPr>
              <w:t>6</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rPr>
              <w:t>1</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6</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91"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50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28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25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743"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color w:val="000000"/>
                <w:kern w:val="0"/>
                <w:szCs w:val="20"/>
              </w:rPr>
            </w:pPr>
          </w:p>
        </w:tc>
        <w:tc>
          <w:tcPr>
            <w:tcW w:w="1129"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10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0"/>
                <w:szCs w:val="20"/>
              </w:rPr>
              <w:t>0.00</w:t>
            </w:r>
          </w:p>
        </w:tc>
        <w:tc>
          <w:tcPr>
            <w:tcW w:w="110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372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1091"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3809"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1743"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kern w:val="0"/>
                <w:szCs w:val="20"/>
                <w:lang w:val="en-US" w:eastAsia="zh-CN"/>
              </w:rPr>
            </w:pPr>
            <w:r>
              <w:rPr>
                <w:rFonts w:hint="eastAsia" w:ascii="宋体" w:hAnsi="宋体" w:eastAsia="宋体" w:cs="宋体"/>
                <w:color w:val="000000"/>
                <w:kern w:val="0"/>
                <w:sz w:val="20"/>
                <w:szCs w:val="20"/>
              </w:rPr>
              <w:t>180</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3</w:t>
            </w:r>
            <w:r>
              <w:rPr>
                <w:rFonts w:hint="eastAsia" w:ascii="宋体" w:hAnsi="宋体" w:eastAsia="宋体" w:cs="宋体"/>
                <w:color w:val="000000"/>
                <w:kern w:val="0"/>
                <w:sz w:val="20"/>
                <w:szCs w:val="20"/>
                <w:lang w:val="en-US" w:eastAsia="zh-CN"/>
              </w:rPr>
              <w:t>2</w:t>
            </w:r>
          </w:p>
        </w:tc>
        <w:tc>
          <w:tcPr>
            <w:tcW w:w="9151"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1091"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hint="eastAsia" w:ascii="宋体" w:hAnsi="宋体" w:eastAsia="宋体" w:cs="宋体"/>
                <w:color w:val="000000"/>
                <w:sz w:val="20"/>
                <w:szCs w:val="20"/>
                <w:lang w:val="en-US" w:eastAsia="zh-CN"/>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7</w:t>
            </w:r>
            <w:r>
              <w:rPr>
                <w:rFonts w:hint="eastAsia" w:ascii="宋体" w:hAnsi="宋体" w:eastAsia="宋体" w:cs="宋体"/>
                <w:color w:val="000000"/>
                <w:kern w:val="0"/>
                <w:sz w:val="20"/>
                <w:szCs w:val="20"/>
                <w:lang w:val="en-US" w:eastAsia="zh-CN"/>
              </w:rPr>
              <w:t>2</w:t>
            </w:r>
          </w:p>
        </w:tc>
      </w:tr>
      <w:tr>
        <w:tblPrEx>
          <w:tblCellMar>
            <w:top w:w="0" w:type="dxa"/>
            <w:left w:w="108" w:type="dxa"/>
            <w:bottom w:w="0" w:type="dxa"/>
            <w:right w:w="108" w:type="dxa"/>
          </w:tblCellMar>
        </w:tblPrEx>
        <w:trPr>
          <w:trHeight w:val="284" w:hRule="exact"/>
        </w:trPr>
        <w:tc>
          <w:tcPr>
            <w:tcW w:w="15794"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ind w:left="14000" w:hanging="14000" w:hangingChars="7000"/>
        <w:jc w:val="left"/>
        <w:rPr>
          <w:rFonts w:ascii="Times New Roman" w:hAnsi="Times New Roman" w:eastAsia="仿宋_GB2312" w:cs="Times New Roman"/>
          <w:color w:val="000000"/>
          <w:kern w:val="0"/>
          <w:szCs w:val="21"/>
        </w:rPr>
      </w:pPr>
      <w:r>
        <w:rPr>
          <w:rFonts w:hint="eastAsia" w:ascii="宋体" w:hAnsi="宋体" w:eastAsia="宋体" w:cs="宋体"/>
          <w:color w:val="000000"/>
          <w:kern w:val="0"/>
          <w:sz w:val="20"/>
          <w:szCs w:val="20"/>
        </w:rPr>
        <w:t>部门：湖南省科学技术咨询中心</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4</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50</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50</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.5</w:t>
            </w:r>
            <w:r>
              <w:rPr>
                <w:rFonts w:hint="eastAsia" w:ascii="宋体" w:hAnsi="宋体" w:eastAsia="宋体" w:cs="宋体"/>
                <w:color w:val="000000"/>
                <w:kern w:val="0"/>
                <w:sz w:val="20"/>
                <w:szCs w:val="20"/>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0</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hint="eastAsia" w:ascii="Times New Roman" w:hAnsi="Times New Roman" w:eastAsia="宋体" w:cs="Times New Roman"/>
                <w:kern w:val="0"/>
                <w:szCs w:val="21"/>
                <w:lang w:eastAsia="zh-CN"/>
              </w:rPr>
            </w:pPr>
            <w:r>
              <w:rPr>
                <w:rFonts w:hint="eastAsia" w:ascii="宋体" w:hAnsi="宋体" w:eastAsia="宋体" w:cs="宋体"/>
                <w:color w:val="000000"/>
                <w:kern w:val="0"/>
                <w:sz w:val="20"/>
                <w:szCs w:val="20"/>
              </w:rPr>
              <w:t>3</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6</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0.00</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w:t>
            </w:r>
            <w:r>
              <w:rPr>
                <w:rFonts w:hint="eastAsia" w:ascii="宋体" w:hAnsi="宋体" w:eastAsia="宋体" w:cs="宋体"/>
                <w:color w:val="000000"/>
                <w:kern w:val="0"/>
                <w:sz w:val="20"/>
                <w:szCs w:val="20"/>
              </w:rPr>
              <w:t>50</w:t>
            </w:r>
          </w:p>
        </w:tc>
        <w:tc>
          <w:tcPr>
            <w:tcW w:w="1220" w:type="dxa"/>
            <w:tcBorders>
              <w:top w:val="nil"/>
              <w:left w:val="nil"/>
              <w:bottom w:val="single" w:color="auto" w:sz="8"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0.00</w:t>
            </w:r>
          </w:p>
        </w:tc>
        <w:tc>
          <w:tcPr>
            <w:tcW w:w="1220" w:type="dxa"/>
            <w:tcBorders>
              <w:top w:val="nil"/>
              <w:left w:val="nil"/>
              <w:bottom w:val="single" w:color="auto" w:sz="8" w:space="0"/>
              <w:right w:val="nil"/>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2</w:t>
            </w:r>
            <w:r>
              <w:rPr>
                <w:rFonts w:hint="eastAsia" w:ascii="宋体" w:hAnsi="宋体" w:eastAsia="宋体" w:cs="宋体"/>
                <w:color w:val="000000"/>
                <w:kern w:val="0"/>
                <w:sz w:val="20"/>
                <w:szCs w:val="20"/>
                <w:lang w:val="en-US" w:eastAsia="zh-CN"/>
              </w:rPr>
              <w:t>.5</w:t>
            </w:r>
            <w:r>
              <w:rPr>
                <w:rFonts w:hint="eastAsia" w:ascii="宋体" w:hAnsi="宋体" w:eastAsia="宋体" w:cs="宋体"/>
                <w:color w:val="000000"/>
                <w:kern w:val="0"/>
                <w:sz w:val="20"/>
                <w:szCs w:val="20"/>
              </w:rPr>
              <w:t>0</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right"/>
              <w:textAlignment w:val="center"/>
              <w:rPr>
                <w:rFonts w:hint="eastAsia" w:ascii="Times New Roman" w:hAnsi="Times New Roman" w:eastAsia="宋体" w:cs="Times New Roman"/>
                <w:kern w:val="0"/>
                <w:szCs w:val="21"/>
                <w:lang w:eastAsia="zh-CN"/>
              </w:rPr>
            </w:pPr>
            <w:r>
              <w:rPr>
                <w:rFonts w:hint="eastAsia" w:ascii="宋体" w:hAnsi="宋体" w:eastAsia="宋体" w:cs="宋体"/>
                <w:color w:val="000000"/>
                <w:kern w:val="0"/>
                <w:sz w:val="20"/>
                <w:szCs w:val="20"/>
                <w:lang w:val="en-US" w:eastAsia="zh-CN"/>
              </w:rPr>
              <w:t>0.</w:t>
            </w:r>
            <w:r>
              <w:rPr>
                <w:rFonts w:hint="eastAsia" w:ascii="宋体" w:hAnsi="宋体" w:eastAsia="宋体" w:cs="宋体"/>
                <w:color w:val="000000"/>
                <w:kern w:val="0"/>
                <w:sz w:val="20"/>
                <w:szCs w:val="20"/>
              </w:rPr>
              <w:t>7</w:t>
            </w:r>
            <w:r>
              <w:rPr>
                <w:rFonts w:hint="eastAsia" w:ascii="宋体" w:hAnsi="宋体" w:eastAsia="宋体" w:cs="宋体"/>
                <w:color w:val="000000"/>
                <w:kern w:val="0"/>
                <w:sz w:val="20"/>
                <w:szCs w:val="20"/>
                <w:lang w:val="en-US" w:eastAsia="zh-CN"/>
              </w:rPr>
              <w:t>6</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hint="eastAsia" w:ascii="宋体" w:hAnsi="宋体" w:eastAsia="宋体" w:cs="宋体"/>
          <w:color w:val="000000"/>
          <w:kern w:val="0"/>
          <w:sz w:val="20"/>
          <w:szCs w:val="20"/>
        </w:rPr>
        <w:t>部门：湖南省科学技术咨询中心</w:t>
      </w:r>
      <w:r>
        <w:rPr>
          <w:rFonts w:ascii="Times New Roman" w:hAnsi="Times New Roman" w:eastAsia="仿宋_GB2312" w:cs="Times New Roman"/>
          <w:color w:val="000000"/>
          <w:kern w:val="0"/>
          <w:szCs w:val="21"/>
        </w:rPr>
        <w:t xml:space="preserve">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5"/>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5"/>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483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部门：湖南省科学技术咨询中心</w:t>
            </w:r>
            <w:r>
              <w:rPr>
                <w:rFonts w:ascii="Times New Roman" w:hAnsi="Times New Roman" w:eastAsia="仿宋_GB2312" w:cs="Times New Roman"/>
                <w:color w:val="000000"/>
                <w:kern w:val="0"/>
                <w:szCs w:val="21"/>
              </w:rPr>
              <w:t xml:space="preserve">    </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2021年度收、支总计552.71万元。与上年相比，减少36.34万元，减少6.16%，主要是因为疫情影响湖南省科学技术咨询中心收支总量减少。</w:t>
      </w:r>
    </w:p>
    <w:p>
      <w:pPr>
        <w:pStyle w:val="10"/>
        <w:rPr>
          <w:rFonts w:hAnsi="黑体"/>
          <w:b/>
          <w:sz w:val="32"/>
          <w:szCs w:val="32"/>
        </w:rPr>
      </w:pPr>
      <w:r>
        <w:rPr>
          <w:rFonts w:hint="eastAsia" w:hAnsi="黑体"/>
          <w:b/>
          <w:sz w:val="32"/>
          <w:szCs w:val="32"/>
        </w:rPr>
        <w:t>二、收入决算情况说明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2021年度收入合计427.45万元，其中：财政拨款收入296.24万元，占69.30%；上级补助收入0万元，占0%；事业收入0万元，占0%；经营收入52.60万元，占12.31%；附属单位上缴收入0万元，占0%；其他收入78.61万元，占18.39%。</w:t>
      </w:r>
    </w:p>
    <w:p>
      <w:pPr>
        <w:pStyle w:val="10"/>
        <w:rPr>
          <w:rFonts w:hAnsi="黑体"/>
          <w:b/>
          <w:sz w:val="32"/>
          <w:szCs w:val="32"/>
        </w:rPr>
      </w:pPr>
      <w:r>
        <w:rPr>
          <w:rFonts w:hint="eastAsia" w:hAnsi="黑体"/>
          <w:b/>
          <w:sz w:val="32"/>
          <w:szCs w:val="32"/>
        </w:rPr>
        <w:t>三、支出决算情况说明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2021年度支出合计488.63万元，其中：基本支出222.08万元，占45.45%；项目支出213.95万元，占43.79%；上缴上级支出0万元，占0%；经营支出52.6万元，占10.76%；对附属单位补助支出0万元，占0%。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jc w:val="both"/>
        <w:rPr>
          <w:rFonts w:hAnsi="黑体"/>
          <w:b/>
          <w:sz w:val="32"/>
          <w:szCs w:val="32"/>
        </w:rPr>
      </w:pPr>
      <w:r>
        <w:rPr>
          <w:rFonts w:hint="eastAsia" w:asciiTheme="minorEastAsia" w:hAnsiTheme="minorEastAsia" w:eastAsiaTheme="minorEastAsia"/>
          <w:sz w:val="32"/>
          <w:szCs w:val="32"/>
        </w:rPr>
        <w:t>2021年度财政拨款收、支总计421.50万元，与上年相比，减少33.82万元,减少7.43%，主要是因为疫情影响湖南省科学技术咨询中心收支总量减少。</w:t>
      </w: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2021年度财政拨款支出398.99万元，占本年支出合计的81.65%，与上年相比，财政拨款支出增加69.14万元，增长20.96%，主要是因为2020年下达的2019年度创新方法大赛奖补资金未使用完毕，2021年继续使用。</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2021年度财政拨款支出398.99万元，主要用于以下方面：科学技术支出377.99万元，占94.74%；社会保障和就业支出21万元，占5.26%。</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2021年度财政拨款支出年初预算数为421.50万元，支出决算数为398.99万元，完成年初预算的94.66%，其中：</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1、科学技术支出（类）科学技术普及（款）机构运行（项）。</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年初预算为175.57万元，支出决算为164.03万元，完成年初预算的93.43%，决算数小于年初预算数的主要原因是：2021年末根据省财政厅指示未发放职工奖金，公务接待费节约1.24万元。</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2、科学技术支出（类）科学技术普及（款）科普活动（项）。</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年初预算为45万元，支出决算为45万元，完成年初预算的100%.</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3、科学技术支出（类）科学技术普及（款）学术交流活动（项）。</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年初预算为60.1万元，支出决算为49.12万元，完成年初预算的81.73%，决算数小于年初预算数的主要原因是：因疫情影响，原定业务无法开展，安排在2022年使用完毕。</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4、科学技术支出（类）其他科学技术支出（款）其他科学技术支出（项）。</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年初预算为119.83万元，支出决算为119.83万元，完成年初预算的100%。</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5、社会保障和就业支出（类）行政事业单位养老支出（款）机关事业单位基本养老保险缴费支出（项）。</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年初预算为17万元，支出决算为17万元，完成年初预算的100%。</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6、社会保障和就业支出（类）行政事业单位养老支出（款）机关事业单位职业年金缴费支出（项）。</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年初预算为4万元，支出决算为4万元，完成年初预算的100%。</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2021年度财政拨款基本支出185.03万元，其中：人员经费180.32万元，占基本支出的97.45%,主要包括基本工资、津贴补贴、绩效工资</w:t>
      </w:r>
      <w:r>
        <w:rPr>
          <w:rFonts w:hint="eastAsia" w:asciiTheme="minorEastAsia" w:hAnsiTheme="minorEastAsia" w:eastAsiaTheme="minorEastAsia"/>
          <w:sz w:val="32"/>
          <w:szCs w:val="32"/>
        </w:rPr>
        <w:tab/>
      </w:r>
      <w:r>
        <w:rPr>
          <w:rFonts w:hint="eastAsia" w:asciiTheme="minorEastAsia" w:hAnsiTheme="minorEastAsia" w:eastAsiaTheme="minorEastAsia"/>
          <w:sz w:val="32"/>
          <w:szCs w:val="32"/>
        </w:rPr>
        <w:t>、机关事业单位基本养老保险缴费、职业年金缴费</w:t>
      </w:r>
      <w:r>
        <w:rPr>
          <w:rFonts w:hint="eastAsia" w:asciiTheme="minorEastAsia" w:hAnsiTheme="minorEastAsia" w:eastAsiaTheme="minorEastAsia"/>
          <w:sz w:val="32"/>
          <w:szCs w:val="32"/>
        </w:rPr>
        <w:tab/>
      </w:r>
      <w:r>
        <w:rPr>
          <w:rFonts w:hint="eastAsia" w:asciiTheme="minorEastAsia" w:hAnsiTheme="minorEastAsia" w:eastAsiaTheme="minorEastAsia"/>
          <w:sz w:val="32"/>
          <w:szCs w:val="32"/>
        </w:rPr>
        <w:t>、职工基本医疗保险缴费、其他社会保障缴费、住房公积金、其他工资福利支出、生活补助、其他对个人和家庭的补助。公用经费4.72万元，占基本支出的2.55%，主要包括办公费、印刷费、咨询费、手续费、电费、邮电费、物业管理费、差旅费、维修（护）费、公务接待费、劳务费、工会经费、福利费、公务用车运行维护费、其他交通费用、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2021年度“三公”经费财政拨款支出预算为4.5万元，支出决算为3.26万元，完成预算的72.44%，其中：</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因公出国（境）费支出预算为0万元，支出决算为0万元，完成预算的100%。与上年相比减少（增加）0万元，减少（增长）0%。</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2万元，支出决算为0.76万元，完成预算的38%，决算数小于预算数的主要原因是因疫情影响，接待费用减少。与上年相比减少0.21万元，减少21.65%,减少的主要原因是因疫情影响，公务接待费用比去年减少。</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公务用车购置费支出预算为0万元，支出决算为0万元，完成预算的100%，与上年相比减少（增加）,0万元，减少（增长）0%。</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公务用车运行维护费支出预算为2.5万元，支出决算为2.5万元，与上年相比增加0.5万元，增长25%,增长的主要原因是车辆保险等费用较高于去年。</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2021年度“三公”经费财政拨款支出决算中，公务接待费支出决算0.76万元，占23.31%,因公出国（境）费支出决算0万元，占0%,公务用车购置费及运行维护费支出决算2.5万元，占76.79%。其中：</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1、因公出国（境）费支出决算为0万元，全年安排因公出国（境）团组0个，累计0人次。</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2、公务接待费支出决算为0.76万元，全年共接待来访团组3个、来宾85人次，主要是省级创新方法大赛发生的接待支出。</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3、公务用车购置费及运行维护费支出决算为2.5万元，其中：公务用车购置费0万元。公务用车运行维护费2.5万元，主要是车辆运行维护支出，截止2021年12月31日，我单位开支财政拨款的公务用车保有量为1辆。</w:t>
      </w:r>
    </w:p>
    <w:p>
      <w:pPr>
        <w:pStyle w:val="10"/>
        <w:rPr>
          <w:rFonts w:hAnsi="黑体"/>
          <w:b/>
          <w:sz w:val="32"/>
          <w:szCs w:val="32"/>
        </w:rPr>
      </w:pPr>
      <w:r>
        <w:rPr>
          <w:rFonts w:hint="eastAsia" w:hAnsi="黑体"/>
          <w:b/>
          <w:sz w:val="32"/>
          <w:szCs w:val="32"/>
        </w:rPr>
        <w:t>八、政府性基金预算收入支出决算情况</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本单位无政府性基金收支。</w:t>
      </w:r>
    </w:p>
    <w:p>
      <w:pPr>
        <w:pStyle w:val="10"/>
        <w:rPr>
          <w:rFonts w:hAnsi="黑体"/>
          <w:b/>
          <w:sz w:val="32"/>
          <w:szCs w:val="32"/>
        </w:rPr>
      </w:pPr>
      <w:r>
        <w:rPr>
          <w:rFonts w:hint="eastAsia" w:hAnsi="黑体"/>
          <w:b/>
          <w:sz w:val="32"/>
          <w:szCs w:val="32"/>
        </w:rPr>
        <w:t>九、机关运行经费支出说明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本部门2021年度机关运行经费支出4.72万元，比年上年决算数减少48 万元，降低91.05%。主要原因是：本年度使用了上年度下达的2019年创新方法大赛奖补资金结余指标用于单位运转。</w:t>
      </w:r>
    </w:p>
    <w:p>
      <w:pPr>
        <w:pStyle w:val="10"/>
        <w:rPr>
          <w:rFonts w:hAnsi="黑体"/>
          <w:b/>
          <w:sz w:val="32"/>
          <w:szCs w:val="32"/>
        </w:rPr>
      </w:pPr>
      <w:r>
        <w:rPr>
          <w:rFonts w:hint="eastAsia" w:hAnsi="黑体"/>
          <w:b/>
          <w:sz w:val="32"/>
          <w:szCs w:val="32"/>
        </w:rPr>
        <w:t>十、一般性支出情况说明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本单位会议费预算0万元，开支会议费3.37万元，根据《湖南省财政厅关于印发&lt;省级预算指标管理办法&gt;的通知》（湘财预[2018]187号）有关要求在政府预算支出经济分类“505对事业单位经常性补助”类级科目下同一款级科目“50502商品和服务支出”调剂支出。该费用用于召开院士站年度考核和现场考察评审会议各1场、院士站认定评审会2场、现场考察2场、专家工作站认定评审和现场考察评审各1场，人数合计80人，内容为院士专家工作站项目会议；</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本单位培训费预算0万元，开支培训费0.73万元，根据《湖南省财政厅关于印发&lt;省级预算指标管理办法&gt;的通知》（湘财预[2018]187号）有关要求在政府预算支出经济分类“505对事业单位经常性补助”类级科目下同一款级科目“50502商品和服务支出”调剂支出。用于开展创新方法培训7场培训、创新方法市州赛2场培训、省赛1场培训，国赛1场培训，人数合计1300人，内容为创新方法大赛赛事培训；</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2021年度本单位举办赛事预算20万元，实际举办创新方法大赛开支20万元，主要是湖南省创新方法大赛项目开支。</w:t>
      </w:r>
    </w:p>
    <w:p>
      <w:pPr>
        <w:pStyle w:val="10"/>
        <w:rPr>
          <w:rFonts w:hAnsi="黑体"/>
          <w:b/>
          <w:sz w:val="32"/>
          <w:szCs w:val="32"/>
        </w:rPr>
      </w:pPr>
      <w:r>
        <w:rPr>
          <w:rFonts w:hint="eastAsia" w:hAnsi="黑体"/>
          <w:b/>
          <w:sz w:val="32"/>
          <w:szCs w:val="32"/>
        </w:rPr>
        <w:t>十一、政府采购支出说明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5.71万元，其中：政府采购货物支出1.66万元、政府采购工程支出4.04万元、政府采购服务支出0万元。授予中小企业合同金额5.71万元，占政府采购支出总额的100%，其中：授予小微企业合同金额5.71万元，占授予中小企业合同金额的100%；货物采购授予中小企业合同金额占货物支出金额的29.07%，工程采购授予中小企业合同金额占工程支出金额的70.93%，服务采购授予中小企业合同金额占服务支出金额的0%。</w:t>
      </w:r>
    </w:p>
    <w:p>
      <w:pPr>
        <w:pStyle w:val="10"/>
        <w:rPr>
          <w:rFonts w:hAnsi="黑体"/>
          <w:b/>
          <w:sz w:val="32"/>
          <w:szCs w:val="32"/>
        </w:rPr>
      </w:pPr>
      <w:r>
        <w:rPr>
          <w:rFonts w:hint="eastAsia" w:hAnsi="黑体"/>
          <w:b/>
          <w:sz w:val="32"/>
          <w:szCs w:val="32"/>
        </w:rPr>
        <w:t>十二、国有资产占用情况说明</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1辆，其中，主要领导干部用车0辆，机要通信用车0辆、应急保障用车0辆、执法执勤用车0辆、特种专业技术用车0辆、其他用车1辆，其他用车主要是不属于以上用途的其他公务车辆；单位价值50万元以上通用设备0台（套）；单位价值100万元以上专用设备0台（套）。</w:t>
      </w:r>
    </w:p>
    <w:p>
      <w:pPr>
        <w:pStyle w:val="10"/>
        <w:rPr>
          <w:rFonts w:hAnsi="黑体"/>
          <w:b/>
          <w:sz w:val="32"/>
          <w:szCs w:val="32"/>
        </w:rPr>
      </w:pPr>
      <w:r>
        <w:rPr>
          <w:rFonts w:hint="eastAsia" w:hAnsi="黑体"/>
          <w:b/>
          <w:sz w:val="32"/>
          <w:szCs w:val="32"/>
        </w:rPr>
        <w:t>十三、2021年度预算绩效情况说明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根据预算绩效管理要求，我部门组织对2021年度一般公共预算项目支出全面开展绩效自评，其中，一级项目1个，二级项目0个，共涉及资金60.07万元，占一般公共预算项目支出总额的20.69%（其中119.83万元属于2019年全国创新方法大赛奖补资金不纳入绩效评价）。</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组织对“模范院士专家工作站”等1个项目开展了部门评价，涉及一般公共预算支出60.7万元，政府性基金预算支出0万元，国有资本经营预算支出0万元。从评价情况来看，完成了本年度绩效目标，绩效评分98分。</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组织对湖南省科学技术咨询中心等1个单位开展整体支出绩效评价，涉及一般公共预算支出551.54万元，政府性基金预算支出0万元。从评价情况来看，完成了本年度绩效目标，绩效评分98分。</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pStyle w:val="10"/>
        <w:ind w:firstLine="640" w:firstLineChars="200"/>
        <w:jc w:val="both"/>
        <w:rPr>
          <w:rFonts w:asciiTheme="minorEastAsia" w:hAnsiTheme="minorEastAsia" w:eastAsiaTheme="minorEastAsia"/>
          <w:sz w:val="32"/>
          <w:szCs w:val="32"/>
        </w:rPr>
      </w:pPr>
      <w:r>
        <w:rPr>
          <w:rFonts w:hint="eastAsia" w:asciiTheme="minorEastAsia" w:hAnsiTheme="minorEastAsia" w:eastAsiaTheme="minorEastAsia"/>
          <w:sz w:val="32"/>
          <w:szCs w:val="32"/>
        </w:rPr>
        <w:t>模范院士专家工作站项目绩效自评综述：根据年初设定的绩效目标，项目绩效自评得分为98分。项目全年预算数为60.7万元，执行数为49.12万元，完成预算的80.92%。项目绩效目标完成情况：完成评选模范院士专家工作站5家，引进院士专家19人，开展战略咨询、科技创新服务、创新创业等活动56次，参与服务活动的科技工作者人数4212人，累计获得省部级以上奖励15项，各项任务按期完成率达到100%，院士专家在工作站工作累计时长累计17.5个月，自筹资金到位率100%，工作站投入运行经费457.02万元，投入项目研发经费2549.1万元，项目总收入达549759.88万元，利润总收入达83495.67万元，技术成果转让收入达1556.6万元，项目成果转化、转让和推广累计达到28201.73万元，科技成果转化产生的新产品、推广新技术累计55项，新增授权专利90项，促进新增就业人数430人，制定标准或发表论文数量101篇，培养中、高级及硕士以上人才46人，对地方或行业起到了带动作用，“模范站”单位服务对象和进站院士专家满意度100%。发现的主要问题及原因：一是工作经费有结余；二是部分绩效目标超额完成。下一步改进措施：一是强化顶层设计，大力推动专家工作站建设工作；二是加强省市联动，帮助市州组织专家站认定工作；三是积极争取支持，培育高质量的模范专家工作站。</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10"/>
        <w:ind w:firstLine="640" w:firstLineChars="200"/>
        <w:jc w:val="both"/>
        <w:rPr>
          <w:rFonts w:asciiTheme="minorEastAsia" w:hAnsiTheme="minorEastAsia" w:eastAsiaTheme="minorEastAsia"/>
          <w:sz w:val="32"/>
          <w:szCs w:val="32"/>
        </w:rPr>
        <w:sectPr>
          <w:pgSz w:w="11906" w:h="16838"/>
          <w:pgMar w:top="720" w:right="720" w:bottom="720" w:left="720" w:header="851" w:footer="992" w:gutter="0"/>
          <w:cols w:space="425" w:num="1"/>
          <w:docGrid w:type="linesAndChars" w:linePitch="312" w:charSpace="0"/>
        </w:sectPr>
      </w:pPr>
      <w:r>
        <w:rPr>
          <w:rFonts w:hint="eastAsia" w:asciiTheme="minorEastAsia" w:hAnsiTheme="minorEastAsia" w:eastAsiaTheme="minorEastAsia"/>
          <w:sz w:val="32"/>
          <w:szCs w:val="32"/>
        </w:rPr>
        <w:t>部门评价项目数量3个以内的，至少将1个部门评价报告向社会公开；部门评价项目数量大于3个的，至少将2个部门评价报告向社会公开。报告框架可参考《项目支出绩效评价办法》（财预〔2020〕10 号）中《项目支出绩效评价报告（参考提纲）》、《湖南省预算支出绩效评价管理办法》（湘财绩〔2020〕7号）。</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autoSpaceDE w:val="0"/>
        <w:autoSpaceDN w:val="0"/>
        <w:adjustRightInd w:val="0"/>
        <w:ind w:firstLine="1280" w:firstLineChars="400"/>
        <w:jc w:val="left"/>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（一）机关运行经费：</w:t>
      </w:r>
      <w:r>
        <w:rPr>
          <w:rFonts w:hint="eastAsia" w:cs="黑体" w:asciiTheme="minorEastAsia" w:hAnsiTheme="minorEastAsia"/>
          <w:color w:val="000000"/>
          <w:kern w:val="0"/>
          <w:sz w:val="32"/>
          <w:szCs w:val="32"/>
        </w:rPr>
        <w:t>是指各部门的公用经费，包括办公</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及印刷费、邮电费、差旅费、会议费、福利费、日常维修费、专</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用资料及一般设备购置费、办公用房水电费、办公用房取暖费、</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办公用房物业管理费、公务用车运行维护费以及其他费用。</w:t>
      </w:r>
    </w:p>
    <w:p>
      <w:pPr>
        <w:autoSpaceDE w:val="0"/>
        <w:autoSpaceDN w:val="0"/>
        <w:adjustRightInd w:val="0"/>
        <w:ind w:firstLine="1280" w:firstLineChars="400"/>
        <w:jc w:val="left"/>
        <w:rPr>
          <w:rFonts w:cs="黑体" w:asciiTheme="minorEastAsia" w:hAnsiTheme="minorEastAsia"/>
          <w:color w:val="000000"/>
          <w:kern w:val="0"/>
          <w:sz w:val="32"/>
          <w:szCs w:val="32"/>
        </w:rPr>
      </w:pPr>
      <w:r>
        <w:rPr>
          <w:rFonts w:hint="eastAsia" w:cs="黑体" w:asciiTheme="minorEastAsia" w:hAnsiTheme="minorEastAsia"/>
          <w:b/>
          <w:bCs/>
          <w:color w:val="000000"/>
          <w:kern w:val="0"/>
          <w:sz w:val="32"/>
          <w:szCs w:val="32"/>
        </w:rPr>
        <w:t>（二）“三公”经费：</w:t>
      </w:r>
      <w:r>
        <w:rPr>
          <w:rFonts w:hint="eastAsia" w:cs="黑体" w:asciiTheme="minorEastAsia" w:hAnsiTheme="minorEastAsia"/>
          <w:color w:val="000000"/>
          <w:kern w:val="0"/>
          <w:sz w:val="32"/>
          <w:szCs w:val="32"/>
        </w:rPr>
        <w:t>纳入省财政预算管理的“三公“经</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费，是指用一般公共预算拨款安排的公务接待费、公务用车购置</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及运行维护费和因公出国（境）费。其中，公务接待费反映单位</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按规定开支的各类公务接待支出；公务用车购置及运行费反映单</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位公务用车车辆购置支出（含车辆购置税），以及燃料费、维修</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费、保险费等支出；因公出国（境）费反映单位公务出国（境）</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的国际旅费、国外城市间交通费、食宿费等支出。</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jc w:val="center"/>
        <w:rPr>
          <w:rFonts w:ascii="方正小标宋简体" w:hAnsi="方正小标宋简体" w:eastAsia="方正小标宋简体" w:cs="方正小标宋简体"/>
          <w:color w:val="000000" w:themeColor="text1"/>
          <w:w w:val="96"/>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w w:val="96"/>
          <w:sz w:val="44"/>
          <w:szCs w:val="44"/>
          <w14:textFill>
            <w14:solidFill>
              <w14:schemeClr w14:val="tx1"/>
            </w14:solidFill>
          </w14:textFill>
        </w:rPr>
        <w:t>2021年度湖南省科学技术咨询中心整体支出</w:t>
      </w:r>
    </w:p>
    <w:p>
      <w:pPr>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绩效自评报告</w:t>
      </w: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湖南省科学技术咨询中心</w:t>
      </w:r>
    </w:p>
    <w:p>
      <w:pPr>
        <w:jc w:val="center"/>
        <w:rPr>
          <w:rFonts w:eastAsia="黑体"/>
          <w:color w:val="000000" w:themeColor="text1"/>
          <w:sz w:val="44"/>
          <w:szCs w:val="44"/>
          <w14:textFill>
            <w14:solidFill>
              <w14:schemeClr w14:val="tx1"/>
            </w14:solidFill>
          </w14:textFill>
        </w:rPr>
      </w:pPr>
      <w:r>
        <w:rPr>
          <w:rFonts w:hint="eastAsia" w:eastAsia="黑体"/>
          <w:color w:val="000000" w:themeColor="text1"/>
          <w:sz w:val="32"/>
          <w:szCs w:val="32"/>
          <w14:textFill>
            <w14:solidFill>
              <w14:schemeClr w14:val="tx1"/>
            </w14:solidFill>
          </w14:textFill>
        </w:rPr>
        <w:t>2022年4月27日</w:t>
      </w:r>
    </w:p>
    <w:p>
      <w:pPr>
        <w:pStyle w:val="11"/>
        <w:widowControl/>
        <w:spacing w:line="580" w:lineRule="exact"/>
        <w:ind w:firstLine="640"/>
        <w:rPr>
          <w:rFonts w:eastAsia="黑体"/>
          <w:color w:val="000000" w:themeColor="text1"/>
          <w:sz w:val="32"/>
          <w:szCs w:val="32"/>
          <w14:textFill>
            <w14:solidFill>
              <w14:schemeClr w14:val="tx1"/>
            </w14:solidFill>
          </w14:textFill>
        </w:rPr>
        <w:sectPr>
          <w:pgSz w:w="11906" w:h="16838"/>
          <w:pgMar w:top="720" w:right="720" w:bottom="720" w:left="720" w:header="851" w:footer="992" w:gutter="0"/>
          <w:cols w:space="425" w:num="1"/>
          <w:docGrid w:type="linesAndChars" w:linePitch="312" w:charSpace="0"/>
        </w:sectPr>
      </w:pPr>
    </w:p>
    <w:p>
      <w:pPr>
        <w:pStyle w:val="11"/>
        <w:widowControl/>
        <w:spacing w:line="580" w:lineRule="exact"/>
        <w:ind w:firstLine="64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一、单位</w:t>
      </w:r>
      <w:r>
        <w:rPr>
          <w:rFonts w:eastAsia="黑体"/>
          <w:color w:val="000000" w:themeColor="text1"/>
          <w:sz w:val="32"/>
          <w:szCs w:val="32"/>
          <w14:textFill>
            <w14:solidFill>
              <w14:schemeClr w14:val="tx1"/>
            </w14:solidFill>
          </w14:textFill>
        </w:rPr>
        <w:t>基本情况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湖南省科学技术咨询中心始建于1983年10月，是省编委正式批复成立的首家公益性质的科技咨询机构。主要承担了省科协科技创新服务和全省企业科协工作的部分职能，同时，省院士专家工作站建设专项办公室等机构设在咨询中心。中心的主要任务是湖南省院士专家工作站建设工作的落实，负责全省科技咨询活动的组织和协调，以及为政府部门、企事业单位、团体及个人提供决策咨询和技术咨询、转让、仲裁和培训。已经建立了1个包括决策咨询、科技创新服务、院士专家工作站建设、司法鉴定等多个不同类型数万人的科技服务专家库和1个包括高等院校、科研院所、学会协会、企业科协、园区科协在内有130多家会员单位的咨询网络，积累了丰富的工作经验和人才资源。</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多年来，中心作为省科协企业创新服务负责单位，积极响应中国科协服务企业科技创新的号召，在省科协党组的带领下发挥开放型、枢纽型、平台型群团组织的优势，不断探索创新服务企业创新模式，主动进入经济建设主战场，积极助力国家的创新驱动助力工程和湖南“三高四新”战略实施，深入开展了一系列服务企业技术创新的活动。</w:t>
      </w:r>
    </w:p>
    <w:p>
      <w:pPr>
        <w:pStyle w:val="11"/>
        <w:widowControl/>
        <w:spacing w:line="580" w:lineRule="exact"/>
        <w:ind w:firstLine="64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二、</w:t>
      </w:r>
      <w:r>
        <w:rPr>
          <w:rFonts w:eastAsia="黑体"/>
          <w:color w:val="000000" w:themeColor="text1"/>
          <w:sz w:val="32"/>
          <w:szCs w:val="32"/>
          <w14:textFill>
            <w14:solidFill>
              <w14:schemeClr w14:val="tx1"/>
            </w14:solidFill>
          </w14:textFill>
        </w:rPr>
        <w:t>一般公共预算支出情况</w:t>
      </w:r>
    </w:p>
    <w:p>
      <w:pPr>
        <w:pStyle w:val="11"/>
        <w:widowControl/>
        <w:spacing w:line="580" w:lineRule="exact"/>
        <w:ind w:firstLine="64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（一）基本支出情况</w:t>
      </w:r>
    </w:p>
    <w:p>
      <w:pPr>
        <w:pStyle w:val="11"/>
        <w:widowControl/>
        <w:spacing w:line="580" w:lineRule="exact"/>
        <w:ind w:firstLine="0" w:firstLineChars="0"/>
        <w:rPr>
          <w:rFonts w:ascii="仿宋_GB2312" w:hAnsi="仿宋_GB2312" w:eastAsia="仿宋_GB2312" w:cs="仿宋_GB2312"/>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 xml:space="preserve">    </w:t>
      </w:r>
      <w:r>
        <w:rPr>
          <w:rFonts w:hint="eastAsia" w:ascii="楷体" w:hAnsi="楷体" w:eastAsia="楷体" w:cs="楷体"/>
          <w:color w:val="000000" w:themeColor="text1"/>
          <w:sz w:val="32"/>
          <w:szCs w:val="32"/>
          <w14:textFill>
            <w14:solidFill>
              <w14:schemeClr w14:val="tx1"/>
            </w14:solidFill>
          </w14:textFill>
        </w:rPr>
        <w:tab/>
      </w:r>
      <w:r>
        <w:rPr>
          <w:rFonts w:hint="eastAsia" w:ascii="仿宋_GB2312" w:hAnsi="仿宋_GB2312" w:eastAsia="仿宋_GB2312" w:cs="仿宋_GB2312"/>
          <w:color w:val="000000" w:themeColor="text1"/>
          <w:sz w:val="32"/>
          <w:szCs w:val="32"/>
          <w14:textFill>
            <w14:solidFill>
              <w14:schemeClr w14:val="tx1"/>
            </w14:solidFill>
          </w14:textFill>
        </w:rPr>
        <w:t>我单位一般公共预算基本支出无上年结余，本年一般公共预算收入191.24万元，实际使用184.61万元（其中人员经费142.34万元，日常公用经费42.27万元。）,结余6.63万元，结余款项是福利费0.23万元，津贴补贴5.16万元，公务接待费1.24万元。</w:t>
      </w:r>
    </w:p>
    <w:p>
      <w:pPr>
        <w:pStyle w:val="11"/>
        <w:widowControl/>
        <w:spacing w:line="580" w:lineRule="exact"/>
        <w:ind w:firstLine="64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（二）项目支出情况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ab/>
      </w:r>
      <w:r>
        <w:rPr>
          <w:rFonts w:hint="eastAsia" w:ascii="仿宋_GB2312" w:hAnsi="仿宋_GB2312" w:eastAsia="仿宋_GB2312" w:cs="仿宋_GB2312"/>
          <w:color w:val="000000" w:themeColor="text1"/>
          <w:sz w:val="32"/>
          <w:szCs w:val="32"/>
          <w14:textFill>
            <w14:solidFill>
              <w14:schemeClr w14:val="tx1"/>
            </w14:solidFill>
          </w14:textFill>
        </w:rPr>
        <w:t>我单位一般公共预算项目支出上年结余125.26万元，本年一般公共预算收入105万元，实际使用214.37万元，结余15.89万元。结余款项是院士专家工作站结余10.95万元，2021年综治文明奖4.97万元（按规定不发放本年度综治文明奖）。</w:t>
      </w:r>
    </w:p>
    <w:p>
      <w:pPr>
        <w:spacing w:line="58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三、</w:t>
      </w:r>
      <w:r>
        <w:rPr>
          <w:rFonts w:eastAsia="黑体"/>
          <w:color w:val="000000" w:themeColor="text1"/>
          <w:sz w:val="32"/>
          <w:szCs w:val="32"/>
          <w14:textFill>
            <w14:solidFill>
              <w14:schemeClr w14:val="tx1"/>
            </w14:solidFill>
          </w14:textFill>
        </w:rPr>
        <w:t>政府性基金预算支出情况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无此业务。</w:t>
      </w:r>
    </w:p>
    <w:p>
      <w:pPr>
        <w:pStyle w:val="11"/>
        <w:widowControl/>
        <w:spacing w:line="580" w:lineRule="exact"/>
        <w:ind w:firstLine="64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四、</w:t>
      </w:r>
      <w:r>
        <w:rPr>
          <w:rFonts w:eastAsia="黑体"/>
          <w:color w:val="000000" w:themeColor="text1"/>
          <w:sz w:val="32"/>
          <w:szCs w:val="32"/>
          <w14:textFill>
            <w14:solidFill>
              <w14:schemeClr w14:val="tx1"/>
            </w14:solidFill>
          </w14:textFill>
        </w:rPr>
        <w:t>国有资本经营预算支出情况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无此业务。</w:t>
      </w:r>
    </w:p>
    <w:p>
      <w:pPr>
        <w:pStyle w:val="11"/>
        <w:widowControl/>
        <w:spacing w:line="580" w:lineRule="exact"/>
        <w:ind w:firstLine="64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五、</w:t>
      </w:r>
      <w:r>
        <w:rPr>
          <w:rFonts w:eastAsia="黑体"/>
          <w:color w:val="000000" w:themeColor="text1"/>
          <w:sz w:val="32"/>
          <w:szCs w:val="32"/>
          <w14:textFill>
            <w14:solidFill>
              <w14:schemeClr w14:val="tx1"/>
            </w14:solidFill>
          </w14:textFill>
        </w:rPr>
        <w:t>社会保险基金预算支出情况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无此业务。</w:t>
      </w:r>
    </w:p>
    <w:p>
      <w:pPr>
        <w:widowControl/>
        <w:spacing w:line="58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六、</w:t>
      </w:r>
      <w:r>
        <w:rPr>
          <w:rFonts w:eastAsia="黑体"/>
          <w:color w:val="000000" w:themeColor="text1"/>
          <w:sz w:val="32"/>
          <w:szCs w:val="32"/>
          <w14:textFill>
            <w14:solidFill>
              <w14:schemeClr w14:val="tx1"/>
            </w14:solidFill>
          </w14:textFill>
        </w:rPr>
        <w:t>部门整体支出绩效情况</w:t>
      </w:r>
    </w:p>
    <w:p>
      <w:pPr>
        <w:spacing w:line="580" w:lineRule="exact"/>
        <w:ind w:firstLine="640" w:firstLineChars="200"/>
        <w:rPr>
          <w:rFonts w:ascii="楷体" w:hAnsi="楷体" w:eastAsia="楷体" w:cs="楷体"/>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（一）院士专家站建设任务完成情况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2021年，湖南省院士专家工作站建设专项办公室认真履行了专项办的全部职能，持续推进院士专家工作站建设系列工作。</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是组织对申报单位的受理、咨询、考察、认定、授牌等日常工作；二是负责对已建站单位进行绩效评价、考核评审；三是开展湖南省院士工作站、专家工作站申报和认定；四是在院士站平台上组织开展一系列服务企业科技创新活动。全年完成各项任务指标如下：</w:t>
      </w:r>
    </w:p>
    <w:p>
      <w:pPr>
        <w:spacing w:line="580" w:lineRule="exact"/>
        <w:ind w:firstLine="640"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1.做好院士专家工作站申报认定工作</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中共中央办公厅、国务院办公厅《关于进一步弘扬科学家精神加强作风和学风建设的意见》精神，结合《湖南省院士专家工作站认定管理办法》，我们和省委组织部、省科技厅联合组织开展了2021年度湖南省院士专家工作站新建站认定工作。通过材料初审、现场复查、专家评审和社会公示等环节，全年新认定院士专家工作站8家，新引进院士7人。截至目前，全省累计建立省级院士专家工作站50家。</w:t>
      </w:r>
    </w:p>
    <w:p>
      <w:pPr>
        <w:spacing w:line="580" w:lineRule="exact"/>
        <w:ind w:firstLine="640"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2.完成好院士专家工作站年度考核工作</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2021年，按照《湖南省院士专家工作站认定管理办法》规定，联合省委组织部、省科技厅开展了2020年度湖南省院士专家工作站考核工作。从工作站基础条件建设、工作站运行情况、工作站成效、院士专家满意度、产生的经济效益和社会效益等多个方面对参评的院士专家工作站进行了考察。</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通过统计，5家省级模范院士专家工作站单位直接引进院士专家驻站开展科技服务,在帮助企业破解技术难题，加速应用成果转化，催生专利成果、培养创新人才等方面取得了显著效益。柔性引进进站院士专家人数19人（引进院士5人），推广新技术、新产品55项，获得授权专利90项，获得省部级以上奖励15项，发表论文、制定或参与制定国际/国家/行业标准101项，院士专家进站累计时长17.5个月，工作站累计投入运行经费457.02万元，累计投入研发经费2549.1万元，新成果转化、转让和推广实现利税28201.73万元，新增就业人数430人，吸引或培养中、高级以上人才46人。在创建院士专家工作过站过程中不断创新服务形式，一方面，利用高端人才，帮助企业制定和完善发展战略，解决关键技术难题。另一方面借助院士专家工作站平台，帮助建站单位培养创新人才，为企业提供人才、智力支撑。如：</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威胜信息技术有限公司与潘垣院士合作，以电气安全监测终端产品以故障电弧监测为核心技术，同时融入常规电压电流等电参量异常监测、电流谐波监测、线路温度监测等多种电气安全隐患监测功能，将多种安全评估指标进行融合分析，建立电气线路及设备的综合安全等级评估机制，为电气安全提供有效评估和隐患排查指导，在国内同行业产品中处于领先地位。</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株洲联诚集团控股股份有限公司依托刘友梅院士专家团队技术优势，聚焦市场用户需求，以智能化和集成化为手段，开展了新一代电力机车牵引冷却系统研究，很大程度上推动了永磁电机技术发展和产业化，实现了轨道交通车辆向智能、绿色、高效的方向发展，满足了轨道交通领域未来更高标准要求。实现新增项目收入10293.33万元，新增利润1000万元，累计缴税1388.13万元。</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中国铁建重工集团股份有限公司与杨华勇院士共同围绕大型掘进机、轨道系统、特种装备等产业领域开展了紧密的技术研究合作，形成了拥有自主知识产权掘进机研发的企业，实现了硬岩掘进装备研发制造的国产化，其“掘进机领域机器人”“盾构机绿色再制造关键工艺”“护盾式掘锚机关键技术”等产品和技术水平领先全球，近年来成功推动了我国高端装备制造业的跨越式发展，完善了我国大型装备绿色再制造产业发展体系，攻克了掘进机基础件多项“卡脖子”，创造了显著的经济效益。</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湖南军杰食品科技有限公司与邹学校院士团队在辣椒新品种选育和筛选、栽培机加工技术改进、检测研发平台建设等方面开展紧密合作，院士团队全流程指导军杰公司辣椒选育、种植、加工，在保障辣椒产品提质增效的同时，更促进了农民增收、企业增效，为地方发展创造了明显的经济和社会效益，对于乡村振兴战略特色产业发展具有明显的促进和带动作用。</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衡阳市蔬菜研究所与方智远院士围绕甘蓝、辣椒新品种以及瓜类、蔬菜类新品种选育、筛选等关键技术研究，摸索出了一套是和衡阳地区蔬菜穴盘育苗的方法，为衡阳地区大面积推广应用蔬菜优良品种提供了可靠依据。一年来累计推广甘蓝、辣椒、瓜类等蔬菜新品种31个，种植面积达20余万亩，新增利润2000余万元。</w:t>
      </w:r>
    </w:p>
    <w:p>
      <w:pPr>
        <w:spacing w:line="580" w:lineRule="exact"/>
        <w:ind w:firstLine="640"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3.积极组织省级专家工作站申报认定工作</w:t>
      </w:r>
    </w:p>
    <w:p>
      <w:pPr>
        <w:adjustRightInd w:val="0"/>
        <w:snapToGrid w:val="0"/>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为充分发挥高层次人才及其创新团队在提高我省自主创新能力、推进创新型省份建设和推动高质量发展的作用，省科协积极搭建多层次科技创新服务平台，于2021年年初成立了湖南省专家工作站建设工作协调小组办公室，并印发了《湖南省专家工作站认定管理办法（实行）》的通知文件，启动省级专家工作站建设工作。</w:t>
      </w:r>
      <w:r>
        <w:rPr>
          <w:rFonts w:hint="eastAsia" w:ascii="仿宋_GB2312" w:hAnsi="仿宋_GB2312" w:eastAsia="仿宋_GB2312" w:cs="仿宋_GB2312"/>
          <w:color w:val="000000" w:themeColor="text1"/>
          <w:sz w:val="32"/>
          <w:szCs w:val="32"/>
          <w14:textFill>
            <w14:solidFill>
              <w14:schemeClr w14:val="tx1"/>
            </w14:solidFill>
          </w14:textFill>
        </w:rPr>
        <w:t>2021年</w:t>
      </w:r>
      <w:r>
        <w:rPr>
          <w:rStyle w:val="13"/>
          <w:rFonts w:hint="eastAsia" w:ascii="仿宋_GB2312" w:hAnsi="仿宋" w:eastAsia="仿宋_GB2312"/>
          <w:color w:val="000000" w:themeColor="text1"/>
          <w:sz w:val="32"/>
          <w:szCs w:val="32"/>
          <w14:textFill>
            <w14:solidFill>
              <w14:schemeClr w14:val="tx1"/>
            </w14:solidFill>
          </w14:textFill>
        </w:rPr>
        <w:t>聚焦省内工业新兴优势产业链及新业态企业，</w:t>
      </w:r>
      <w:r>
        <w:rPr>
          <w:rFonts w:hint="eastAsia" w:ascii="仿宋_GB2312" w:hAnsi="仿宋_GB2312" w:eastAsia="仿宋_GB2312" w:cs="仿宋_GB2312"/>
          <w:color w:val="000000" w:themeColor="text1"/>
          <w:sz w:val="32"/>
          <w:szCs w:val="32"/>
          <w14:textFill>
            <w14:solidFill>
              <w14:schemeClr w14:val="tx1"/>
            </w14:solidFill>
          </w14:textFill>
        </w:rPr>
        <w:t>首批认定湖南省专家工作站20家，直接或柔性引进创新团队21个，引进高层次人才46人。</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楷体" w:hAnsi="楷体" w:eastAsia="楷体" w:cs="楷体"/>
          <w:color w:val="000000" w:themeColor="text1"/>
          <w:sz w:val="32"/>
          <w:szCs w:val="32"/>
          <w14:textFill>
            <w14:solidFill>
              <w14:schemeClr w14:val="tx1"/>
            </w14:solidFill>
          </w14:textFill>
        </w:rPr>
        <w:t>（二）活动实施效果总结</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年来，我省院士专家工作站建设工作稳步推进，整体向好。新建站认定工作按计划开展，绩效评价和管理等日常工作逐步完善并取得了良好的成效。同时专项办以服务创新驱动发展战略为主线，不断提升服务和管理水平，坚持以增强企业自主创新能力为重点，将院士专家工作站建设、科技信息企业推广应用、高级科技创新人才培养等工作有机融合，打包进行，整体推进，逐步搭建起一个全链条、全要素的服务企业创新生态链，打造出一个全面、专业的一站式服务企业创新平台，取得了一定的成绩。主要工作方法是：</w:t>
      </w:r>
    </w:p>
    <w:p>
      <w:pPr>
        <w:spacing w:line="580" w:lineRule="exact"/>
        <w:ind w:firstLine="640"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1.规范工作流程，做好日常管理服务工作</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中共中央办公厅、国务院办公厅《关于进一步弘扬科学家精神加强作风和学风建设的意见》精神和《湖南省院士专家工作站认定管理办法》要求，结合我省实际，由省委组织部牵头，省科协和省科技厅联合，三家单位共同形成了“组织认定-年度考察-省级模范站评选”的工作流程，对标国家和省委省政府对院士专家工作站各项任务所需要的考核标准、评审指标和实施方案，努力做到各项工作标准化，制度化。在院士专家团队和依托单位的共同努力下，2021年新认定的8家院士工作站取得了较好的建站成效（详见表1）。</w:t>
      </w:r>
    </w:p>
    <w:tbl>
      <w:tblPr>
        <w:tblStyle w:val="5"/>
        <w:tblpPr w:leftFromText="180" w:rightFromText="180" w:vertAnchor="text" w:horzAnchor="margin" w:tblpXSpec="center" w:tblpY="614"/>
        <w:tblOverlap w:val="never"/>
        <w:tblW w:w="9313" w:type="dxa"/>
        <w:tblInd w:w="578" w:type="dxa"/>
        <w:tblLayout w:type="fixed"/>
        <w:tblCellMar>
          <w:top w:w="0" w:type="dxa"/>
          <w:left w:w="0" w:type="dxa"/>
          <w:bottom w:w="0" w:type="dxa"/>
          <w:right w:w="0" w:type="dxa"/>
        </w:tblCellMar>
      </w:tblPr>
      <w:tblGrid>
        <w:gridCol w:w="720"/>
        <w:gridCol w:w="851"/>
        <w:gridCol w:w="870"/>
        <w:gridCol w:w="1020"/>
        <w:gridCol w:w="842"/>
        <w:gridCol w:w="1108"/>
        <w:gridCol w:w="1037"/>
        <w:gridCol w:w="900"/>
        <w:gridCol w:w="885"/>
        <w:gridCol w:w="1080"/>
      </w:tblGrid>
      <w:tr>
        <w:tblPrEx>
          <w:tblCellMar>
            <w:top w:w="0" w:type="dxa"/>
            <w:left w:w="0" w:type="dxa"/>
            <w:bottom w:w="0" w:type="dxa"/>
            <w:right w:w="0" w:type="dxa"/>
          </w:tblCellMar>
        </w:tblPrEx>
        <w:trPr>
          <w:trHeight w:val="1620"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新引进院士专家</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推广新技术、新产品</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获得授权专利</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获得省部级以上奖励</w:t>
            </w:r>
          </w:p>
        </w:tc>
        <w:tc>
          <w:tcPr>
            <w:tcW w:w="8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制定标准或发表论文</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工作站投入运行经费</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投入项目研发经费</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成果转化、转让和推广累计实现利税</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新增就业</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吸引或培养中、高级以上人才</w:t>
            </w:r>
          </w:p>
        </w:tc>
      </w:tr>
      <w:tr>
        <w:tblPrEx>
          <w:tblCellMar>
            <w:top w:w="0" w:type="dxa"/>
            <w:left w:w="0" w:type="dxa"/>
            <w:bottom w:w="0" w:type="dxa"/>
            <w:right w:w="0" w:type="dxa"/>
          </w:tblCellMar>
        </w:tblPrEx>
        <w:trPr>
          <w:trHeight w:val="805" w:hRule="atLeast"/>
        </w:trPr>
        <w:tc>
          <w:tcPr>
            <w:tcW w:w="7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46人</w:t>
            </w:r>
          </w:p>
        </w:tc>
        <w:tc>
          <w:tcPr>
            <w:tcW w:w="85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30项</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19项</w:t>
            </w:r>
          </w:p>
        </w:tc>
        <w:tc>
          <w:tcPr>
            <w:tcW w:w="10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7个</w:t>
            </w:r>
          </w:p>
        </w:tc>
        <w:tc>
          <w:tcPr>
            <w:tcW w:w="8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22篇</w:t>
            </w:r>
          </w:p>
        </w:tc>
        <w:tc>
          <w:tcPr>
            <w:tcW w:w="11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2783.699万元</w:t>
            </w:r>
          </w:p>
        </w:tc>
        <w:tc>
          <w:tcPr>
            <w:tcW w:w="10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2450.12万元</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386.18万元</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宋体" w:hAnsi="宋体" w:eastAsia="宋体" w:cs="宋体"/>
                <w:color w:val="000000" w:themeColor="text1"/>
                <w:sz w:val="22"/>
                <w14:textFill>
                  <w14:solidFill>
                    <w14:schemeClr w14:val="tx1"/>
                  </w14:solidFill>
                </w14:textFill>
              </w:rPr>
              <w:t>35人</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themeColor="text1"/>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25人</w:t>
            </w:r>
          </w:p>
        </w:tc>
      </w:tr>
    </w:tbl>
    <w:p>
      <w:pPr>
        <w:shd w:val="clear" w:color="auto" w:fill="FFFFFF" w:themeFill="background1"/>
        <w:adjustRightInd w:val="0"/>
        <w:snapToGrid w:val="0"/>
        <w:spacing w:line="520" w:lineRule="exact"/>
        <w:jc w:val="center"/>
        <w:rPr>
          <w:rFonts w:ascii="仿宋" w:hAnsi="仿宋" w:eastAsia="仿宋" w:cs="仿宋_GB2312"/>
          <w:bCs/>
          <w:color w:val="000000" w:themeColor="text1"/>
          <w:kern w:val="0"/>
          <w:sz w:val="32"/>
          <w:szCs w:val="32"/>
          <w14:textFill>
            <w14:solidFill>
              <w14:schemeClr w14:val="tx1"/>
            </w14:solidFill>
          </w14:textFill>
        </w:rPr>
      </w:pPr>
      <w:r>
        <w:rPr>
          <w:rFonts w:hint="eastAsia" w:ascii="仿宋" w:hAnsi="仿宋" w:eastAsia="仿宋" w:cs="仿宋_GB2312"/>
          <w:bCs/>
          <w:color w:val="000000" w:themeColor="text1"/>
          <w:kern w:val="0"/>
          <w:sz w:val="32"/>
          <w:szCs w:val="32"/>
          <w14:textFill>
            <w14:solidFill>
              <w14:schemeClr w14:val="tx1"/>
            </w14:solidFill>
          </w14:textFill>
        </w:rPr>
        <w:t xml:space="preserve"> </w:t>
      </w:r>
      <w:r>
        <w:rPr>
          <w:rFonts w:hint="eastAsia" w:ascii="仿宋_GB2312" w:hAnsi="仿宋_GB2312" w:eastAsia="仿宋_GB2312" w:cs="仿宋_GB2312"/>
          <w:bCs/>
          <w:color w:val="000000" w:themeColor="text1"/>
          <w:kern w:val="0"/>
          <w:sz w:val="32"/>
          <w:szCs w:val="32"/>
          <w14:textFill>
            <w14:solidFill>
              <w14:schemeClr w14:val="tx1"/>
            </w14:solidFill>
          </w14:textFill>
        </w:rPr>
        <w:t>表1：2021年新建院士专家工作站建站活动成效统计表</w:t>
      </w:r>
    </w:p>
    <w:p>
      <w:pPr>
        <w:adjustRightInd w:val="0"/>
        <w:snapToGrid w:val="0"/>
        <w:spacing w:line="580" w:lineRule="exact"/>
        <w:rPr>
          <w:rFonts w:ascii="仿宋_GB2312" w:hAnsi="仿宋_GB2312" w:eastAsia="仿宋_GB2312" w:cs="仿宋_GB2312"/>
          <w:b/>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w:t>
      </w:r>
      <w:r>
        <w:rPr>
          <w:rFonts w:hint="eastAsia" w:ascii="仿宋_GB2312" w:hAnsi="仿宋_GB2312" w:eastAsia="仿宋_GB2312" w:cs="仿宋_GB2312"/>
          <w:b/>
          <w:color w:val="000000" w:themeColor="text1"/>
          <w:sz w:val="32"/>
          <w:szCs w:val="32"/>
          <w14:textFill>
            <w14:solidFill>
              <w14:schemeClr w14:val="tx1"/>
            </w14:solidFill>
          </w14:textFill>
        </w:rPr>
        <w:t>2.对已建站单位进行绩效自评、考核评审、模范站评选</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为进一步加强院士专家工作站建设，帮助工作站运行提质增效，充分发挥院士的影响和带动作用，把院士专家工作站建成为创新型湖南建设和我省经济转型升级作出更大贡献的重要平台。通过对已建成的省级院士专家工作站进行年度考核，评选出了中国铁建重工集团股份有限公司等5家在经济、社会效益等方面取得了良好成效的省级模范站（详见表2）。</w:t>
      </w:r>
    </w:p>
    <w:p>
      <w:pPr>
        <w:adjustRightInd w:val="0"/>
        <w:snapToGrid w:val="0"/>
        <w:spacing w:line="520" w:lineRule="exact"/>
        <w:jc w:val="center"/>
        <w:rPr>
          <w:rFonts w:ascii="仿宋_GB2312" w:hAnsi="仿宋_GB2312" w:eastAsia="仿宋_GB2312" w:cs="仿宋_GB2312"/>
          <w:bCs/>
          <w:color w:val="000000" w:themeColor="text1"/>
          <w:kern w:val="0"/>
          <w:sz w:val="32"/>
          <w:szCs w:val="32"/>
          <w14:textFill>
            <w14:solidFill>
              <w14:schemeClr w14:val="tx1"/>
            </w14:solidFill>
          </w14:textFill>
        </w:rPr>
      </w:pPr>
      <w:r>
        <w:rPr>
          <w:rFonts w:hint="eastAsia" w:ascii="仿宋_GB2312" w:hAnsi="仿宋_GB2312" w:eastAsia="仿宋_GB2312" w:cs="仿宋_GB2312"/>
          <w:bCs/>
          <w:color w:val="000000" w:themeColor="text1"/>
          <w:kern w:val="0"/>
          <w:sz w:val="32"/>
          <w:szCs w:val="32"/>
          <w14:textFill>
            <w14:solidFill>
              <w14:schemeClr w14:val="tx1"/>
            </w14:solidFill>
          </w14:textFill>
        </w:rPr>
        <w:t>表2：2020年度湖南省模范院士专家工作站成效统计表</w:t>
      </w:r>
    </w:p>
    <w:tbl>
      <w:tblPr>
        <w:tblStyle w:val="5"/>
        <w:tblW w:w="9042" w:type="dxa"/>
        <w:jc w:val="center"/>
        <w:tblLayout w:type="fixed"/>
        <w:tblCellMar>
          <w:top w:w="0" w:type="dxa"/>
          <w:left w:w="0" w:type="dxa"/>
          <w:bottom w:w="0" w:type="dxa"/>
          <w:right w:w="0" w:type="dxa"/>
        </w:tblCellMar>
      </w:tblPr>
      <w:tblGrid>
        <w:gridCol w:w="837"/>
        <w:gridCol w:w="840"/>
        <w:gridCol w:w="885"/>
        <w:gridCol w:w="840"/>
        <w:gridCol w:w="1035"/>
        <w:gridCol w:w="930"/>
        <w:gridCol w:w="870"/>
        <w:gridCol w:w="1035"/>
        <w:gridCol w:w="885"/>
        <w:gridCol w:w="885"/>
      </w:tblGrid>
      <w:tr>
        <w:tblPrEx>
          <w:tblCellMar>
            <w:top w:w="0" w:type="dxa"/>
            <w:left w:w="0" w:type="dxa"/>
            <w:bottom w:w="0" w:type="dxa"/>
            <w:right w:w="0" w:type="dxa"/>
          </w:tblCellMar>
        </w:tblPrEx>
        <w:trPr>
          <w:trHeight w:val="1620"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新引进院士专家</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推广新技术、新产品</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获得授权专利</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获得省部级以上奖励</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制定国际/国家/行业标准或发表论文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工作站投入运行经费</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投入项目研发经费</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成果转化、转让和推广累计实现利税</w:t>
            </w:r>
          </w:p>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新增就业</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宋体" w:eastAsia="仿宋_GB2312" w:cs="仿宋_GB2312"/>
                <w:color w:val="000000" w:themeColor="text1"/>
                <w:kern w:val="0"/>
                <w:sz w:val="18"/>
                <w:szCs w:val="18"/>
                <w14:textFill>
                  <w14:solidFill>
                    <w14:schemeClr w14:val="tx1"/>
                  </w14:solidFill>
                </w14:textFill>
              </w:rPr>
            </w:pPr>
            <w:r>
              <w:rPr>
                <w:rFonts w:hint="eastAsia" w:ascii="仿宋_GB2312" w:hAnsi="宋体" w:eastAsia="仿宋_GB2312" w:cs="仿宋_GB2312"/>
                <w:color w:val="000000" w:themeColor="text1"/>
                <w:kern w:val="0"/>
                <w:sz w:val="18"/>
                <w:szCs w:val="18"/>
                <w14:textFill>
                  <w14:solidFill>
                    <w14:schemeClr w14:val="tx1"/>
                  </w14:solidFill>
                </w14:textFill>
              </w:rPr>
              <w:t>吸引或培养中、高级以上人才</w:t>
            </w:r>
          </w:p>
        </w:tc>
      </w:tr>
      <w:tr>
        <w:tblPrEx>
          <w:tblCellMar>
            <w:top w:w="0" w:type="dxa"/>
            <w:left w:w="0" w:type="dxa"/>
            <w:bottom w:w="0" w:type="dxa"/>
            <w:right w:w="0" w:type="dxa"/>
          </w:tblCellMar>
        </w:tblPrEx>
        <w:trPr>
          <w:trHeight w:val="400" w:hRule="atLeast"/>
          <w:jc w:val="center"/>
        </w:trPr>
        <w:tc>
          <w:tcPr>
            <w:tcW w:w="8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19人</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55</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90</w:t>
            </w:r>
          </w:p>
        </w:tc>
        <w:tc>
          <w:tcPr>
            <w:tcW w:w="84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15</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101篇</w:t>
            </w:r>
          </w:p>
        </w:tc>
        <w:tc>
          <w:tcPr>
            <w:tcW w:w="9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457.02万元</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2549.1万元</w:t>
            </w:r>
          </w:p>
        </w:tc>
        <w:tc>
          <w:tcPr>
            <w:tcW w:w="10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28201.73万元</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430人</w:t>
            </w:r>
          </w:p>
        </w:tc>
        <w:tc>
          <w:tcPr>
            <w:tcW w:w="8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themeColor="text1"/>
                <w:kern w:val="0"/>
                <w:sz w:val="22"/>
                <w14:textFill>
                  <w14:solidFill>
                    <w14:schemeClr w14:val="tx1"/>
                  </w14:solidFill>
                </w14:textFill>
              </w:rPr>
            </w:pPr>
            <w:r>
              <w:rPr>
                <w:rFonts w:hint="eastAsia" w:ascii="仿宋" w:hAnsi="仿宋" w:eastAsia="仿宋" w:cs="仿宋"/>
                <w:color w:val="000000" w:themeColor="text1"/>
                <w:kern w:val="0"/>
                <w:sz w:val="22"/>
                <w14:textFill>
                  <w14:solidFill>
                    <w14:schemeClr w14:val="tx1"/>
                  </w14:solidFill>
                </w14:textFill>
              </w:rPr>
              <w:t>46人</w:t>
            </w:r>
          </w:p>
        </w:tc>
      </w:tr>
    </w:tbl>
    <w:p>
      <w:pPr>
        <w:adjustRightInd w:val="0"/>
        <w:snapToGrid w:val="0"/>
        <w:spacing w:line="580" w:lineRule="exact"/>
        <w:ind w:firstLine="640" w:firstLineChars="200"/>
        <w:rPr>
          <w:rFonts w:ascii="仿宋_GB2312" w:hAnsi="仿宋_GB2312" w:eastAsia="仿宋_GB2312" w:cs="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14:textFill>
            <w14:solidFill>
              <w14:schemeClr w14:val="tx1"/>
            </w14:solidFill>
          </w14:textFill>
        </w:rPr>
        <w:t>3.在工作站平台上组织开展一系列服务企业科技创新活动</w:t>
      </w:r>
    </w:p>
    <w:p>
      <w:pPr>
        <w:adjustRightInd w:val="0"/>
        <w:snapToGrid w:val="0"/>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2021年，我们在长沙、株洲、湘潭、岳阳、郴州等地举办创新方法培训共计7场，80余家企业参加培训，共计培训一线创新工程师750人次，其中50余家企业共207个项目在2021年中国创新方法大赛中报名参赛。10月，在株洲、岳阳两地举行了2场市州选拔赛，共选拔出35个项目参加2021年中国创新方法大赛湖南赛区决赛。11月，湖南赛区决赛排名前十名的项目队伍参加了全国总决赛，因为疫情原因，组织11支参赛队统一在长沙开展线上参赛，并在全国总决赛中取得一等奖4个，二等奖4个，三等奖2个，优胜奖1个的优异成绩。湖南省科协获得2021年中国创新方法大赛“优秀组织奖”。</w:t>
      </w:r>
      <w:r>
        <w:rPr>
          <w:rFonts w:hint="eastAsia" w:ascii="仿宋_GB2312" w:hAnsi="仿宋_GB2312" w:eastAsia="仿宋_GB2312" w:cs="仿宋_GB2312"/>
          <w:bCs/>
          <w:color w:val="000000" w:themeColor="text1"/>
          <w:sz w:val="32"/>
          <w:szCs w:val="32"/>
          <w14:textFill>
            <w14:solidFill>
              <w14:schemeClr w14:val="tx1"/>
            </w14:solidFill>
          </w14:textFill>
        </w:rPr>
        <w:t>该项活动的持续开展，</w:t>
      </w:r>
      <w:r>
        <w:rPr>
          <w:rFonts w:hint="eastAsia" w:ascii="仿宋_GB2312" w:hAnsi="仿宋_GB2312" w:eastAsia="仿宋_GB2312" w:cs="仿宋_GB2312"/>
          <w:color w:val="000000" w:themeColor="text1"/>
          <w:sz w:val="32"/>
          <w:szCs w:val="32"/>
          <w14:textFill>
            <w14:solidFill>
              <w14:schemeClr w14:val="tx1"/>
            </w14:solidFill>
          </w14:textFill>
        </w:rPr>
        <w:t>充分发挥了企业科技工作者的积极性、创造性，带动了工作站依托单位技术创新发展和产业结构转型升级，产生了较好的经济效益及社会效益。为了表彰在活动中表现突出的单位和团队，咨询中心还专门从院士站建设工作经费中拨出专项资金，对在国赛中获奖的团队和项目给予了补助支持。</w:t>
      </w:r>
    </w:p>
    <w:p>
      <w:pPr>
        <w:pStyle w:val="11"/>
        <w:widowControl/>
        <w:spacing w:line="580" w:lineRule="exact"/>
        <w:ind w:firstLine="640"/>
        <w:rPr>
          <w:rStyle w:val="7"/>
          <w:rFonts w:ascii="仿宋" w:hAnsi="仿宋" w:eastAsia="仿宋" w:cs="仿宋_GB2312"/>
          <w:b w:val="0"/>
          <w:bCs/>
          <w:color w:val="000000" w:themeColor="text1"/>
          <w:sz w:val="32"/>
          <w:szCs w:val="32"/>
          <w14:textFill>
            <w14:solidFill>
              <w14:schemeClr w14:val="tx1"/>
            </w14:solidFill>
          </w14:textFill>
        </w:rPr>
      </w:pPr>
      <w:r>
        <w:rPr>
          <w:rFonts w:hint="eastAsia" w:eastAsia="黑体"/>
          <w:color w:val="000000" w:themeColor="text1"/>
          <w:sz w:val="32"/>
          <w:szCs w:val="32"/>
          <w14:textFill>
            <w14:solidFill>
              <w14:schemeClr w14:val="tx1"/>
            </w14:solidFill>
          </w14:textFill>
        </w:rPr>
        <w:t>七、</w:t>
      </w:r>
      <w:r>
        <w:rPr>
          <w:rFonts w:eastAsia="黑体"/>
          <w:color w:val="000000" w:themeColor="text1"/>
          <w:sz w:val="32"/>
          <w:szCs w:val="32"/>
          <w14:textFill>
            <w14:solidFill>
              <w14:schemeClr w14:val="tx1"/>
            </w14:solidFill>
          </w14:textFill>
        </w:rPr>
        <w:t>存在的问题及</w:t>
      </w:r>
      <w:r>
        <w:rPr>
          <w:rFonts w:hint="eastAsia" w:eastAsia="黑体"/>
          <w:color w:val="000000" w:themeColor="text1"/>
          <w:sz w:val="32"/>
          <w:szCs w:val="32"/>
          <w14:textFill>
            <w14:solidFill>
              <w14:schemeClr w14:val="tx1"/>
            </w14:solidFill>
          </w14:textFill>
        </w:rPr>
        <w:t>原因分析</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按照年初的预算，转移支付资金100万已支出并落实到被评为模范站的单位。</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1.工作经费有结余。原因：由于疫情不确定因素造成原计划应线下开展的工作临时转为线上进行，同时，因为谨慎原则，相应减少了创新方法集中学习和到市州进行项目推广和现场考察的次数。</w:t>
      </w:r>
    </w:p>
    <w:p>
      <w:pPr>
        <w:spacing w:line="580" w:lineRule="exact"/>
        <w:ind w:firstLine="640" w:firstLineChars="200"/>
        <w:rPr>
          <w:rStyle w:val="7"/>
          <w:rFonts w:ascii="仿宋" w:hAnsi="仿宋" w:eastAsia="仿宋"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部分绩效目标超额完成。原因：模范站专项经费是后补助形式，在年初设定指标值时，不能预判模范站获评单位来自于哪些市州或哪些行业，而工业、农业、事业单位类建站单位的投入和产出差距较大，故年度指标值设置相对偏低。对照年初设定的指标值，模范院士专家工作站大部分指标都超额完成，是因为本次获评模范站的单位以工业智能制造业为主，他们在与院士团队的广泛合作中，各项产出指标成效显著。</w:t>
      </w:r>
    </w:p>
    <w:p>
      <w:pPr>
        <w:spacing w:line="580" w:lineRule="exact"/>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八、下一步改进措施</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由于两办联合发文《关于进一步弘扬科学家精神加强作风和学风建设的意见》，对院士签约进站提出了具体要求，我省引进院士的难度越来越大。2021年，在省市两级科协的共同努力下仅新建省级院士专家工作站8家，相比以前年度建站数量大幅下降，且有逐步萎缩的趋势。在这个全国都在抢院士等高层次人才的大趋势下，我们应积极思考对策，在抢夺院士资源的同时，出台和完善专家工作站管理办法，争取更多高层次专家来湘工作。具体改进措施是：</w:t>
      </w:r>
    </w:p>
    <w:p>
      <w:pPr>
        <w:spacing w:line="580" w:lineRule="exact"/>
        <w:ind w:firstLine="640"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1.强化顶层设计，大力推动专家工作站建设工作</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择期修订《湖南省专家工作站管理办法（试行）》。在首次对专家站进行认定的实施过程中，专项办发现部分条款限定过复杂，比如：对专家的界定太过局限，部分进站专家虽然没有取得相应奖励，但在领域内取得了重大技术突破或属于行业内急需紧缺人才，企业引进自己需要的人才才能有效提升自身创新能力和提高经济效益，而作为专家站建设管理部门，应该鼓励和支持真正对企业有实质性帮助的专家建站。</w:t>
      </w:r>
    </w:p>
    <w:p>
      <w:pPr>
        <w:spacing w:line="580" w:lineRule="exact"/>
        <w:ind w:firstLine="640" w:firstLineChars="200"/>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2.加强省市联动，帮助市州组织专家站认定工作</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主动宣传开展专家站建设工作的相关政策和实施办法，指导地市院士专家工作站管理部门出台政策组织市级专家站的认定，培育符合条件的企业引进高层次人才建立专家站，同时联合地市科协服务企业科技创新，通过专家工作站平台，将专家工作站建设与创新方法培训融合发展，整体推进。</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3.积极争取支持，培育高质量的模范专家工作站</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Style w:val="13"/>
          <w:rFonts w:hint="eastAsia" w:ascii="仿宋_GB2312" w:hAnsi="仿宋" w:eastAsia="仿宋_GB2312"/>
          <w:color w:val="000000" w:themeColor="text1"/>
          <w:sz w:val="32"/>
          <w:szCs w:val="32"/>
          <w14:textFill>
            <w14:solidFill>
              <w14:schemeClr w14:val="tx1"/>
            </w14:solidFill>
          </w14:textFill>
        </w:rPr>
        <w:t>推动模范专家工作站评定工作，择机</w:t>
      </w:r>
      <w:r>
        <w:rPr>
          <w:rFonts w:hint="eastAsia" w:ascii="仿宋_GB2312" w:hAnsi="仿宋_GB2312" w:eastAsia="仿宋_GB2312" w:cs="仿宋_GB2312"/>
          <w:color w:val="000000" w:themeColor="text1"/>
          <w:sz w:val="32"/>
          <w:szCs w:val="32"/>
          <w14:textFill>
            <w14:solidFill>
              <w14:schemeClr w14:val="tx1"/>
            </w14:solidFill>
          </w14:textFill>
        </w:rPr>
        <w:t>增设“模范专家工作站建设”专项资金，将其列入省人才工作经费。</w:t>
      </w:r>
      <w:r>
        <w:rPr>
          <w:rStyle w:val="13"/>
          <w:rFonts w:hint="eastAsia" w:ascii="仿宋_GB2312" w:hAnsi="仿宋" w:eastAsia="仿宋_GB2312"/>
          <w:color w:val="000000" w:themeColor="text1"/>
          <w:sz w:val="32"/>
          <w:szCs w:val="32"/>
          <w14:textFill>
            <w14:solidFill>
              <w14:schemeClr w14:val="tx1"/>
            </w14:solidFill>
          </w14:textFill>
        </w:rPr>
        <w:t>重点支持先进轨道交通装备(含磁浮)、工程机械、新型轻合金材料、航空航天(含北斗)、自主可控计算机及信息安全(含IGBT)、生态绿色食品、生物医药、基因技术及应用、先进储能材料及动力电池、农业机械等20个新兴优势产业链企业加快延链、强链、补链。</w:t>
      </w:r>
    </w:p>
    <w:p>
      <w:pPr>
        <w:spacing w:line="580" w:lineRule="exact"/>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九、绩效自评结果拟应用和公开情况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按文件要求在指定网站上进行公开。</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十、其他需要说明的情况</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无。</w:t>
      </w: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p>
    <w:p>
      <w:pPr>
        <w:spacing w:line="58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p>
    <w:p>
      <w:pPr>
        <w:widowControl/>
        <w:spacing w:line="600" w:lineRule="exac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附件1：2021年度部门整体支出绩效评价基础数据表</w:t>
      </w:r>
    </w:p>
    <w:p>
      <w:pPr>
        <w:widowControl/>
        <w:spacing w:line="600" w:lineRule="exact"/>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附件2：2021年度部门整体支出绩效自评表</w:t>
      </w:r>
    </w:p>
    <w:p>
      <w:pPr>
        <w:rPr>
          <w:color w:val="000000" w:themeColor="text1"/>
          <w14:textFill>
            <w14:solidFill>
              <w14:schemeClr w14:val="tx1"/>
            </w14:solidFill>
          </w14:textFill>
        </w:rPr>
      </w:pPr>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widowControl/>
        <w:spacing w:line="600" w:lineRule="exact"/>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附件1</w:t>
      </w:r>
    </w:p>
    <w:p>
      <w:pPr>
        <w:widowControl/>
        <w:spacing w:line="600" w:lineRule="exact"/>
        <w:jc w:val="center"/>
        <w:rPr>
          <w:rFonts w:ascii="微软雅黑" w:hAnsi="微软雅黑" w:eastAsia="微软雅黑" w:cs="微软雅黑"/>
          <w:color w:val="000000" w:themeColor="text1"/>
          <w:kern w:val="0"/>
          <w:sz w:val="28"/>
          <w:szCs w:val="28"/>
          <w14:textFill>
            <w14:solidFill>
              <w14:schemeClr w14:val="tx1"/>
            </w14:solidFill>
          </w14:textFill>
        </w:rPr>
      </w:pPr>
      <w:r>
        <w:rPr>
          <w:rFonts w:hint="eastAsia" w:ascii="方正小标宋简体" w:hAnsi="Times New Roman" w:eastAsia="方正小标宋简体"/>
          <w:color w:val="000000" w:themeColor="text1"/>
          <w:kern w:val="0"/>
          <w:sz w:val="40"/>
          <w:szCs w:val="40"/>
          <w14:textFill>
            <w14:solidFill>
              <w14:schemeClr w14:val="tx1"/>
            </w14:solidFill>
          </w14:textFill>
        </w:rPr>
        <w:t>2021年度部门整体支出绩效评价基础数据表</w:t>
      </w:r>
    </w:p>
    <w:p>
      <w:pPr>
        <w:spacing w:line="600" w:lineRule="exact"/>
        <w:jc w:val="center"/>
        <w:rPr>
          <w:rFonts w:ascii="仿宋" w:hAnsi="仿宋" w:eastAsia="仿宋" w:cs="仿宋"/>
          <w:b/>
          <w:bCs/>
          <w:color w:val="000000" w:themeColor="text1"/>
          <w:kern w:val="0"/>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36"/>
          <w:szCs w:val="36"/>
          <w14:textFill>
            <w14:solidFill>
              <w14:schemeClr w14:val="tx1"/>
            </w14:solidFill>
          </w14:textFill>
        </w:rPr>
        <w:t>湖南省科学技术咨询中心</w:t>
      </w:r>
    </w:p>
    <w:tbl>
      <w:tblPr>
        <w:tblStyle w:val="5"/>
        <w:tblW w:w="4998" w:type="pct"/>
        <w:jc w:val="center"/>
        <w:tblLayout w:type="autofit"/>
        <w:tblCellMar>
          <w:top w:w="0" w:type="dxa"/>
          <w:left w:w="108" w:type="dxa"/>
          <w:bottom w:w="0" w:type="dxa"/>
          <w:right w:w="108" w:type="dxa"/>
        </w:tblCellMar>
      </w:tblPr>
      <w:tblGrid>
        <w:gridCol w:w="3917"/>
        <w:gridCol w:w="2217"/>
        <w:gridCol w:w="2377"/>
        <w:gridCol w:w="2167"/>
      </w:tblGrid>
      <w:tr>
        <w:tblPrEx>
          <w:tblCellMar>
            <w:top w:w="0" w:type="dxa"/>
            <w:left w:w="108" w:type="dxa"/>
            <w:bottom w:w="0" w:type="dxa"/>
            <w:right w:w="108" w:type="dxa"/>
          </w:tblCellMar>
        </w:tblPrEx>
        <w:trPr>
          <w:trHeight w:val="510" w:hRule="atLeast"/>
          <w:jc w:val="center"/>
        </w:trPr>
        <w:tc>
          <w:tcPr>
            <w:tcW w:w="183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财政供养人员情况</w:t>
            </w:r>
          </w:p>
        </w:tc>
        <w:tc>
          <w:tcPr>
            <w:tcW w:w="1038" w:type="pct"/>
            <w:tcBorders>
              <w:top w:val="single" w:color="auto" w:sz="4" w:space="0"/>
              <w:left w:val="nil"/>
              <w:bottom w:val="nil"/>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编制数</w:t>
            </w:r>
          </w:p>
        </w:tc>
        <w:tc>
          <w:tcPr>
            <w:tcW w:w="1113"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b/>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2021年</w:t>
            </w:r>
          </w:p>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实际在职人数</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color w:val="000000" w:themeColor="text1"/>
                <w:kern w:val="0"/>
                <w:sz w:val="24"/>
                <w14:textFill>
                  <w14:solidFill>
                    <w14:schemeClr w14:val="tx1"/>
                  </w14:solidFill>
                </w14:textFill>
              </w:rPr>
              <w:t>控制率</w:t>
            </w:r>
          </w:p>
        </w:tc>
      </w:tr>
      <w:tr>
        <w:tblPrEx>
          <w:tblCellMar>
            <w:top w:w="0" w:type="dxa"/>
            <w:left w:w="108" w:type="dxa"/>
            <w:bottom w:w="0" w:type="dxa"/>
            <w:right w:w="108" w:type="dxa"/>
          </w:tblCellMar>
        </w:tblPrEx>
        <w:trPr>
          <w:trHeight w:val="510" w:hRule="atLeast"/>
          <w:jc w:val="center"/>
        </w:trPr>
        <w:tc>
          <w:tcPr>
            <w:tcW w:w="1834" w:type="pct"/>
            <w:vMerge w:val="continue"/>
            <w:tcBorders>
              <w:left w:val="single" w:color="auto" w:sz="4" w:space="0"/>
              <w:bottom w:val="nil"/>
              <w:right w:val="single" w:color="auto" w:sz="4" w:space="0"/>
            </w:tcBorders>
            <w:vAlign w:val="center"/>
          </w:tcPr>
          <w:p>
            <w:pPr>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p>
        </w:tc>
        <w:tc>
          <w:tcPr>
            <w:tcW w:w="1038" w:type="pct"/>
            <w:tcBorders>
              <w:top w:val="single" w:color="auto" w:sz="4" w:space="0"/>
              <w:left w:val="nil"/>
              <w:bottom w:val="nil"/>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8</w:t>
            </w:r>
          </w:p>
        </w:tc>
        <w:tc>
          <w:tcPr>
            <w:tcW w:w="1113"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8</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b/>
                <w:bCs/>
                <w:color w:val="000000" w:themeColor="text1"/>
                <w:kern w:val="0"/>
                <w:sz w:val="24"/>
                <w:highlight w:val="yellow"/>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100%</w:t>
            </w:r>
          </w:p>
        </w:tc>
      </w:tr>
      <w:tr>
        <w:tblPrEx>
          <w:tblCellMar>
            <w:top w:w="0" w:type="dxa"/>
            <w:left w:w="108" w:type="dxa"/>
            <w:bottom w:w="0" w:type="dxa"/>
            <w:right w:w="108" w:type="dxa"/>
          </w:tblCellMar>
        </w:tblPrEx>
        <w:trPr>
          <w:trHeight w:val="510" w:hRule="atLeast"/>
          <w:jc w:val="center"/>
        </w:trPr>
        <w:tc>
          <w:tcPr>
            <w:tcW w:w="1834" w:type="pct"/>
            <w:vMerge w:val="restart"/>
            <w:tcBorders>
              <w:top w:val="single" w:color="auto" w:sz="4" w:space="0"/>
              <w:left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经费控制情况（万元）</w:t>
            </w:r>
          </w:p>
        </w:tc>
        <w:tc>
          <w:tcPr>
            <w:tcW w:w="1038" w:type="pct"/>
            <w:tcBorders>
              <w:top w:val="single" w:color="auto" w:sz="4" w:space="0"/>
              <w:left w:val="nil"/>
              <w:bottom w:val="nil"/>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2020年决算数</w:t>
            </w:r>
          </w:p>
        </w:tc>
        <w:tc>
          <w:tcPr>
            <w:tcW w:w="1113"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2021年预算数</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2021年决算数</w:t>
            </w:r>
          </w:p>
        </w:tc>
      </w:tr>
      <w:tr>
        <w:tblPrEx>
          <w:tblCellMar>
            <w:top w:w="0" w:type="dxa"/>
            <w:left w:w="108" w:type="dxa"/>
            <w:bottom w:w="0" w:type="dxa"/>
            <w:right w:w="108" w:type="dxa"/>
          </w:tblCellMar>
        </w:tblPrEx>
        <w:trPr>
          <w:trHeight w:val="510" w:hRule="atLeast"/>
          <w:jc w:val="center"/>
        </w:trPr>
        <w:tc>
          <w:tcPr>
            <w:tcW w:w="1834" w:type="pct"/>
            <w:vMerge w:val="continue"/>
            <w:tcBorders>
              <w:left w:val="single" w:color="auto" w:sz="4" w:space="0"/>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合计</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合计</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合计</w:t>
            </w:r>
          </w:p>
        </w:tc>
      </w:tr>
      <w:tr>
        <w:tblPrEx>
          <w:tblCellMar>
            <w:top w:w="0" w:type="dxa"/>
            <w:left w:w="108" w:type="dxa"/>
            <w:bottom w:w="0" w:type="dxa"/>
            <w:right w:w="108" w:type="dxa"/>
          </w:tblCellMar>
        </w:tblPrEx>
        <w:trPr>
          <w:trHeight w:val="510" w:hRule="atLeast"/>
          <w:jc w:val="center"/>
        </w:trPr>
        <w:tc>
          <w:tcPr>
            <w:tcW w:w="183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三公经费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2.97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 xml:space="preserve">4.50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3.26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1、公务用车购置和维护经费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w:t>
            </w:r>
            <w:r>
              <w:rPr>
                <w:rFonts w:ascii="仿宋_GB2312" w:hAnsi="仿宋_GB2312" w:eastAsia="仿宋_GB2312" w:cs="仿宋_GB2312"/>
                <w:color w:val="000000" w:themeColor="text1"/>
                <w:kern w:val="0"/>
                <w:sz w:val="24"/>
                <w14:textFill>
                  <w14:solidFill>
                    <w14:schemeClr w14:val="tx1"/>
                  </w14:solidFill>
                </w14:textFill>
              </w:rPr>
              <w:t xml:space="preserve">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2.5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2.5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其中：公车购置</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 xml:space="preserve">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ascii="仿宋_GB2312" w:hAnsi="仿宋_GB2312" w:eastAsia="仿宋_GB2312" w:cs="仿宋_GB2312"/>
                <w:color w:val="000000" w:themeColor="text1"/>
                <w:kern w:val="0"/>
                <w:sz w:val="24"/>
                <w14:textFill>
                  <w14:solidFill>
                    <w14:schemeClr w14:val="tx1"/>
                  </w14:solidFill>
                </w14:textFill>
              </w:rPr>
              <w:t xml:space="preserve">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公车运行维护</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2.5</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2.5</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2、出国经费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3、公务接待</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0.97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0.76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项目支出：</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104.2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230.30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213.95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1、业务工作经费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104.2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230.30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213.95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2、运行维护经费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ind w:firstLine="480" w:firstLineChars="200"/>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3、省级专项资金</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color w:val="000000" w:themeColor="text1"/>
                <w:kern w:val="0"/>
                <w:sz w:val="24"/>
                <w14:textFill>
                  <w14:solidFill>
                    <w14:schemeClr w14:val="tx1"/>
                  </w14:solidFill>
                </w14:textFill>
              </w:rPr>
            </w:pP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公用经费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199.88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257.81</w:t>
            </w:r>
            <w:r>
              <w:rPr>
                <w:rFonts w:ascii="仿宋_GB2312" w:hAnsi="仿宋_GB2312" w:eastAsia="仿宋_GB2312" w:cs="仿宋_GB2312"/>
                <w:color w:val="000000" w:themeColor="text1"/>
                <w:kern w:val="0"/>
                <w:sz w:val="24"/>
                <w14:textFill>
                  <w14:solidFill>
                    <w14:schemeClr w14:val="tx1"/>
                  </w14:solidFill>
                </w14:textFill>
              </w:rPr>
              <w:t xml:space="preserve">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其中：办公经费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4.64</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6.5</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5.41</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ind w:firstLine="480" w:firstLineChars="200"/>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水费、电费、差旅费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11.04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10.71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         会议费、培训费</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25.86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0.00　</w:t>
            </w:r>
          </w:p>
        </w:tc>
        <w:tc>
          <w:tcPr>
            <w:tcW w:w="1014"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4.09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政府采购金额</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1.86　</w:t>
            </w: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0　</w:t>
            </w:r>
          </w:p>
        </w:tc>
        <w:tc>
          <w:tcPr>
            <w:tcW w:w="1014" w:type="pct"/>
            <w:tcBorders>
              <w:top w:val="single" w:color="auto" w:sz="4" w:space="0"/>
              <w:left w:val="nil"/>
              <w:bottom w:val="single" w:color="auto" w:sz="4" w:space="0"/>
              <w:right w:val="single" w:color="000000" w:sz="4" w:space="0"/>
            </w:tcBorders>
            <w:vAlign w:val="center"/>
          </w:tcPr>
          <w:p>
            <w:pPr>
              <w:widowControl/>
              <w:spacing w:line="300" w:lineRule="exact"/>
              <w:jc w:val="righ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5.71　</w:t>
            </w:r>
          </w:p>
        </w:tc>
      </w:tr>
      <w:tr>
        <w:tblPrEx>
          <w:tblCellMar>
            <w:top w:w="0" w:type="dxa"/>
            <w:left w:w="108" w:type="dxa"/>
            <w:bottom w:w="0" w:type="dxa"/>
            <w:right w:w="108" w:type="dxa"/>
          </w:tblCellMar>
        </w:tblPrEx>
        <w:trPr>
          <w:trHeight w:val="510" w:hRule="atLeast"/>
          <w:jc w:val="center"/>
        </w:trPr>
        <w:tc>
          <w:tcPr>
            <w:tcW w:w="1834" w:type="pct"/>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 xml:space="preserve">部门基本支出预算调整 </w:t>
            </w:r>
          </w:p>
        </w:tc>
        <w:tc>
          <w:tcPr>
            <w:tcW w:w="1038" w:type="pct"/>
            <w:tcBorders>
              <w:top w:val="single" w:color="auto" w:sz="4" w:space="0"/>
              <w:left w:val="nil"/>
              <w:bottom w:val="single" w:color="auto" w:sz="4" w:space="0"/>
              <w:right w:val="single" w:color="auto" w:sz="4" w:space="0"/>
            </w:tcBorders>
            <w:vAlign w:val="center"/>
          </w:tcPr>
          <w:p>
            <w:pPr>
              <w:widowControl/>
              <w:spacing w:line="300" w:lineRule="exact"/>
              <w:jc w:val="center"/>
              <w:rPr>
                <w:rFonts w:ascii="仿宋_GB2312" w:hAnsi="仿宋_GB2312" w:eastAsia="仿宋_GB2312" w:cs="仿宋_GB2312"/>
                <w:b/>
                <w:bCs/>
                <w:color w:val="000000" w:themeColor="text1"/>
                <w:kern w:val="0"/>
                <w:sz w:val="24"/>
                <w14:textFill>
                  <w14:solidFill>
                    <w14:schemeClr w14:val="tx1"/>
                  </w14:solidFill>
                </w14:textFill>
              </w:rPr>
            </w:pPr>
          </w:p>
        </w:tc>
        <w:tc>
          <w:tcPr>
            <w:tcW w:w="1113" w:type="pct"/>
            <w:tcBorders>
              <w:top w:val="single" w:color="auto" w:sz="4" w:space="0"/>
              <w:left w:val="nil"/>
              <w:bottom w:val="single" w:color="auto" w:sz="4" w:space="0"/>
              <w:right w:val="single" w:color="auto" w:sz="4" w:space="0"/>
            </w:tcBorders>
            <w:vAlign w:val="center"/>
          </w:tcPr>
          <w:p>
            <w:pPr>
              <w:widowControl/>
              <w:spacing w:line="300" w:lineRule="exact"/>
              <w:jc w:val="right"/>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　</w:t>
            </w:r>
          </w:p>
        </w:tc>
        <w:tc>
          <w:tcPr>
            <w:tcW w:w="1014" w:type="pct"/>
            <w:tcBorders>
              <w:top w:val="single" w:color="auto" w:sz="4" w:space="0"/>
              <w:left w:val="nil"/>
              <w:bottom w:val="single" w:color="auto" w:sz="4" w:space="0"/>
              <w:right w:val="single" w:color="000000" w:sz="4" w:space="0"/>
            </w:tcBorders>
            <w:vAlign w:val="center"/>
          </w:tcPr>
          <w:p>
            <w:pPr>
              <w:widowControl/>
              <w:spacing w:line="300" w:lineRule="exact"/>
              <w:jc w:val="center"/>
              <w:rPr>
                <w:rFonts w:ascii="仿宋_GB2312" w:hAnsi="仿宋_GB2312" w:eastAsia="仿宋_GB2312" w:cs="仿宋_GB2312"/>
                <w:b/>
                <w:bCs/>
                <w:color w:val="000000" w:themeColor="text1"/>
                <w:kern w:val="0"/>
                <w:sz w:val="24"/>
                <w14:textFill>
                  <w14:solidFill>
                    <w14:schemeClr w14:val="tx1"/>
                  </w14:solidFill>
                </w14:textFill>
              </w:rPr>
            </w:pPr>
            <w:r>
              <w:rPr>
                <w:rFonts w:hint="eastAsia" w:ascii="仿宋_GB2312" w:hAnsi="仿宋_GB2312" w:eastAsia="仿宋_GB2312" w:cs="仿宋_GB2312"/>
                <w:b/>
                <w:bCs/>
                <w:color w:val="000000" w:themeColor="text1"/>
                <w:kern w:val="0"/>
                <w:sz w:val="24"/>
                <w14:textFill>
                  <w14:solidFill>
                    <w14:schemeClr w14:val="tx1"/>
                  </w14:solidFill>
                </w14:textFill>
              </w:rPr>
              <w:t>　</w:t>
            </w:r>
          </w:p>
        </w:tc>
      </w:tr>
      <w:tr>
        <w:tblPrEx>
          <w:tblCellMar>
            <w:top w:w="0" w:type="dxa"/>
            <w:left w:w="108" w:type="dxa"/>
            <w:bottom w:w="0" w:type="dxa"/>
            <w:right w:w="108" w:type="dxa"/>
          </w:tblCellMar>
        </w:tblPrEx>
        <w:trPr>
          <w:trHeight w:val="510" w:hRule="atLeast"/>
          <w:jc w:val="center"/>
        </w:trPr>
        <w:tc>
          <w:tcPr>
            <w:tcW w:w="183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楼堂馆所控制情况</w:t>
            </w:r>
          </w:p>
        </w:tc>
        <w:tc>
          <w:tcPr>
            <w:tcW w:w="3165" w:type="pct"/>
            <w:gridSpan w:val="3"/>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p>
        </w:tc>
      </w:tr>
      <w:tr>
        <w:tblPrEx>
          <w:tblCellMar>
            <w:top w:w="0" w:type="dxa"/>
            <w:left w:w="108" w:type="dxa"/>
            <w:bottom w:w="0" w:type="dxa"/>
            <w:right w:w="108" w:type="dxa"/>
          </w:tblCellMar>
        </w:tblPrEx>
        <w:trPr>
          <w:trHeight w:val="510" w:hRule="atLeast"/>
          <w:jc w:val="center"/>
        </w:trPr>
        <w:tc>
          <w:tcPr>
            <w:tcW w:w="183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（2021年完工项目）</w:t>
            </w:r>
          </w:p>
        </w:tc>
        <w:tc>
          <w:tcPr>
            <w:tcW w:w="3165" w:type="pct"/>
            <w:gridSpan w:val="3"/>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仿宋_GB2312" w:hAnsi="仿宋_GB2312" w:eastAsia="仿宋_GB2312" w:cs="仿宋_GB2312"/>
                <w:color w:val="000000" w:themeColor="text1"/>
                <w:kern w:val="0"/>
                <w:sz w:val="24"/>
                <w14:textFill>
                  <w14:solidFill>
                    <w14:schemeClr w14:val="tx1"/>
                  </w14:solidFill>
                </w14:textFill>
              </w:rPr>
            </w:pPr>
          </w:p>
        </w:tc>
      </w:tr>
    </w:tbl>
    <w:p>
      <w:pPr>
        <w:widowControl/>
        <w:spacing w:line="600" w:lineRule="exact"/>
        <w:jc w:val="left"/>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附件2</w:t>
      </w:r>
    </w:p>
    <w:p>
      <w:pPr>
        <w:widowControl/>
        <w:spacing w:line="600" w:lineRule="exact"/>
        <w:jc w:val="center"/>
        <w:rPr>
          <w:rFonts w:ascii="方正小标宋简体" w:hAnsi="Times New Roman" w:eastAsia="方正小标宋简体"/>
          <w:color w:val="000000" w:themeColor="text1"/>
          <w:kern w:val="0"/>
          <w:sz w:val="40"/>
          <w:szCs w:val="40"/>
          <w14:textFill>
            <w14:solidFill>
              <w14:schemeClr w14:val="tx1"/>
            </w14:solidFill>
          </w14:textFill>
        </w:rPr>
      </w:pPr>
      <w:r>
        <w:rPr>
          <w:rFonts w:hint="eastAsia" w:ascii="方正小标宋简体" w:hAnsi="Times New Roman" w:eastAsia="方正小标宋简体"/>
          <w:color w:val="000000" w:themeColor="text1"/>
          <w:kern w:val="0"/>
          <w:sz w:val="40"/>
          <w:szCs w:val="40"/>
          <w14:textFill>
            <w14:solidFill>
              <w14:schemeClr w14:val="tx1"/>
            </w14:solidFill>
          </w14:textFill>
        </w:rPr>
        <w:t>2021年度部门整体支出绩效自评表</w:t>
      </w:r>
    </w:p>
    <w:tbl>
      <w:tblPr>
        <w:tblStyle w:val="5"/>
        <w:tblW w:w="9851" w:type="dxa"/>
        <w:jc w:val="center"/>
        <w:tblLayout w:type="fixed"/>
        <w:tblCellMar>
          <w:top w:w="0" w:type="dxa"/>
          <w:left w:w="108" w:type="dxa"/>
          <w:bottom w:w="0" w:type="dxa"/>
          <w:right w:w="108" w:type="dxa"/>
        </w:tblCellMar>
      </w:tblPr>
      <w:tblGrid>
        <w:gridCol w:w="839"/>
        <w:gridCol w:w="1215"/>
        <w:gridCol w:w="660"/>
        <w:gridCol w:w="210"/>
        <w:gridCol w:w="1078"/>
        <w:gridCol w:w="1127"/>
        <w:gridCol w:w="336"/>
        <w:gridCol w:w="714"/>
        <w:gridCol w:w="382"/>
        <w:gridCol w:w="518"/>
        <w:gridCol w:w="578"/>
        <w:gridCol w:w="82"/>
        <w:gridCol w:w="585"/>
        <w:gridCol w:w="429"/>
        <w:gridCol w:w="1098"/>
      </w:tblGrid>
      <w:tr>
        <w:tblPrEx>
          <w:tblCellMar>
            <w:top w:w="0" w:type="dxa"/>
            <w:left w:w="108" w:type="dxa"/>
            <w:bottom w:w="0" w:type="dxa"/>
            <w:right w:w="108" w:type="dxa"/>
          </w:tblCellMar>
        </w:tblPrEx>
        <w:trPr>
          <w:jc w:val="center"/>
        </w:trPr>
        <w:tc>
          <w:tcPr>
            <w:tcW w:w="8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省级</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预算</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部门</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名称</w:t>
            </w:r>
          </w:p>
        </w:tc>
        <w:tc>
          <w:tcPr>
            <w:tcW w:w="9012" w:type="dxa"/>
            <w:gridSpan w:val="14"/>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湖南省科学技术咨询中心</w:t>
            </w:r>
          </w:p>
        </w:tc>
      </w:tr>
      <w:tr>
        <w:tblPrEx>
          <w:tblCellMar>
            <w:top w:w="0" w:type="dxa"/>
            <w:left w:w="108" w:type="dxa"/>
            <w:bottom w:w="0" w:type="dxa"/>
            <w:right w:w="108" w:type="dxa"/>
          </w:tblCellMar>
        </w:tblPrEx>
        <w:trPr>
          <w:trHeight w:val="147" w:hRule="atLeast"/>
          <w:jc w:val="center"/>
        </w:trPr>
        <w:tc>
          <w:tcPr>
            <w:tcW w:w="839"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预算</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申请</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（万元）</w:t>
            </w:r>
          </w:p>
        </w:tc>
        <w:tc>
          <w:tcPr>
            <w:tcW w:w="1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年初</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预算数</w:t>
            </w:r>
          </w:p>
        </w:tc>
        <w:tc>
          <w:tcPr>
            <w:tcW w:w="14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全年</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预算数</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全年</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执行数</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分值</w:t>
            </w:r>
          </w:p>
        </w:tc>
        <w:tc>
          <w:tcPr>
            <w:tcW w:w="109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执行率</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得分</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color w:val="000000" w:themeColor="text1"/>
                <w14:textFill>
                  <w14:solidFill>
                    <w14:schemeClr w14:val="tx1"/>
                  </w14:solidFill>
                </w14:textFill>
              </w:rPr>
            </w:pPr>
          </w:p>
        </w:tc>
        <w:tc>
          <w:tcPr>
            <w:tcW w:w="1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年度资金总额</w:t>
            </w:r>
          </w:p>
        </w:tc>
        <w:tc>
          <w:tcPr>
            <w:tcW w:w="12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551.50</w:t>
            </w:r>
          </w:p>
        </w:tc>
        <w:tc>
          <w:tcPr>
            <w:tcW w:w="14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552.71</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488.63</w:t>
            </w:r>
          </w:p>
        </w:tc>
        <w:tc>
          <w:tcPr>
            <w:tcW w:w="109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w:t>
            </w:r>
          </w:p>
        </w:tc>
        <w:tc>
          <w:tcPr>
            <w:tcW w:w="109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88.60%</w:t>
            </w:r>
          </w:p>
        </w:tc>
        <w:tc>
          <w:tcPr>
            <w:tcW w:w="109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89</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按收入性质分：</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按支出性质分：</w:t>
            </w:r>
          </w:p>
        </w:tc>
      </w:tr>
      <w:tr>
        <w:tblPrEx>
          <w:tblCellMar>
            <w:top w:w="0" w:type="dxa"/>
            <w:left w:w="108" w:type="dxa"/>
            <w:bottom w:w="0" w:type="dxa"/>
            <w:right w:w="108" w:type="dxa"/>
          </w:tblCellMar>
        </w:tblPrEx>
        <w:trPr>
          <w:trHeight w:val="90"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其中：  一般公共预算：421.50</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其中：基本支出：275.21</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ind w:firstLine="840" w:firstLineChars="400"/>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政府性基金拨款：</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ind w:firstLine="630" w:firstLineChars="300"/>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项目支出：224.90</w:t>
            </w: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纳入专户管理的非税收入拨款：</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147" w:hRule="atLeast"/>
          <w:jc w:val="center"/>
        </w:trPr>
        <w:tc>
          <w:tcPr>
            <w:tcW w:w="839" w:type="dxa"/>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462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其他资金：130</w:t>
            </w:r>
          </w:p>
        </w:tc>
        <w:tc>
          <w:tcPr>
            <w:tcW w:w="43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总体</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目标</w:t>
            </w:r>
          </w:p>
        </w:tc>
        <w:tc>
          <w:tcPr>
            <w:tcW w:w="5340" w:type="dxa"/>
            <w:gridSpan w:val="7"/>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预期目标</w:t>
            </w:r>
          </w:p>
        </w:tc>
        <w:tc>
          <w:tcPr>
            <w:tcW w:w="3672"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实际完成情况　</w:t>
            </w:r>
          </w:p>
        </w:tc>
      </w:tr>
      <w:tr>
        <w:tblPrEx>
          <w:tblCellMar>
            <w:top w:w="0" w:type="dxa"/>
            <w:left w:w="108" w:type="dxa"/>
            <w:bottom w:w="0" w:type="dxa"/>
            <w:right w:w="108" w:type="dxa"/>
          </w:tblCellMar>
        </w:tblPrEx>
        <w:trPr>
          <w:trHeight w:val="3835" w:hRule="atLeast"/>
          <w:jc w:val="center"/>
        </w:trPr>
        <w:tc>
          <w:tcPr>
            <w:tcW w:w="839"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5340" w:type="dxa"/>
            <w:gridSpan w:val="7"/>
            <w:tcBorders>
              <w:top w:val="single" w:color="auto" w:sz="4" w:space="0"/>
              <w:left w:val="nil"/>
              <w:bottom w:val="single" w:color="auto" w:sz="4" w:space="0"/>
              <w:right w:val="single" w:color="000000" w:sz="4" w:space="0"/>
            </w:tcBorders>
            <w:shd w:val="clear" w:color="auto" w:fill="auto"/>
            <w:vAlign w:val="center"/>
          </w:tcPr>
          <w:p>
            <w:pPr>
              <w:widowControl/>
              <w:spacing w:line="260" w:lineRule="exact"/>
              <w:jc w:val="left"/>
              <w:rPr>
                <w:rFonts w:hAnsi="宋体"/>
                <w:color w:val="000000" w:themeColor="text1"/>
                <w:szCs w:val="21"/>
                <w14:textFill>
                  <w14:solidFill>
                    <w14:schemeClr w14:val="tx1"/>
                  </w14:solidFill>
                </w14:textFill>
              </w:rPr>
            </w:pPr>
            <w:r>
              <w:rPr>
                <w:rFonts w:hint="eastAsia" w:ascii="Times New Roman" w:hAnsi="Times New Roman" w:eastAsia="仿宋_GB2312" w:cs="Times New Roman"/>
                <w:color w:val="000000" w:themeColor="text1"/>
                <w:kern w:val="0"/>
                <w:sz w:val="22"/>
                <w14:textFill>
                  <w14:solidFill>
                    <w14:schemeClr w14:val="tx1"/>
                  </w14:solidFill>
                </w14:textFill>
              </w:rPr>
              <w:t>评选5家湖南省模范院士专家工作站，每家20万元专项资金支持。引进院士专家高端智力人才10人以上，专家团队开展战略咨询、科技创新服务等活动15次，开展创新创业活动20次，参与服务活动的科技工作者人数达到500人，累计获得省部级以上奖励5项，各项任务按期完成率达到100%，院士专家在工作站工作累计时长累计15个月以上，保证自筹资金到位率100%，投入工作站投入工作站运行经费100万元，投入项目研发经费数量2000万元，项目总收入达9000万元，利润总收入达1200万元，技术成果转让收入达800万元，项目成果转化、转让和推广累计达到1000万元，科技成果转化产生的新产品、推广新技术累计15项，新增授权专利40项，促进新增就业人数300人，制定标准或发表论文数量50篇，培养中、高级及硕士以上人才30人，对地方或行业带动作用明显，确保“模范站”单位服务对象和进站院士专家满意度达到90%以上。</w:t>
            </w:r>
          </w:p>
        </w:tc>
        <w:tc>
          <w:tcPr>
            <w:tcW w:w="3672"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完成评选模范院士专家工作站5家，引进院士专家19人，</w:t>
            </w:r>
            <w:r>
              <w:rPr>
                <w:rFonts w:hint="eastAsia" w:ascii="Times New Roman" w:hAnsi="Times New Roman" w:eastAsia="仿宋_GB2312" w:cs="Times New Roman"/>
                <w:color w:val="000000" w:themeColor="text1"/>
                <w:kern w:val="0"/>
                <w:sz w:val="22"/>
                <w14:textFill>
                  <w14:solidFill>
                    <w14:schemeClr w14:val="tx1"/>
                  </w14:solidFill>
                </w14:textFill>
              </w:rPr>
              <w:t>开展战略咨询、科技创新服务、创新创业等活动56次，参与服务活动的科技工作者人数4212人，累计获得省部级以上奖励15项，各项任务按期完成率达到100%，院士专家在工作站工作累计时长累计17.5个月，自筹资金到位率100%，工作站投入运行经费457.02万元，投入项目研发经费2549.1万元，项目总收入达549759.88万元，利润总收入达83495.67万元，技术成果转让收入达1556.6万元，项目成果转化、转让和推广累计达到28201.73万元，科技成果转化产生的新产品、推广新技术累计55项，新增授权专利90项，促进新增就业人数430人，制定标准或发表论文数量101篇，培养中、高级及硕士以上人才46人，对地方或行业带动作用成效显著，“模范站”单位服务对象和进站院士专家满意度100%。</w:t>
            </w:r>
          </w:p>
        </w:tc>
      </w:tr>
      <w:tr>
        <w:tblPrEx>
          <w:tblCellMar>
            <w:top w:w="0" w:type="dxa"/>
            <w:left w:w="108" w:type="dxa"/>
            <w:bottom w:w="0" w:type="dxa"/>
            <w:right w:w="108" w:type="dxa"/>
          </w:tblCellMar>
        </w:tblPrEx>
        <w:trPr>
          <w:jc w:val="center"/>
        </w:trPr>
        <w:tc>
          <w:tcPr>
            <w:tcW w:w="839" w:type="dxa"/>
            <w:vMerge w:val="restart"/>
            <w:tcBorders>
              <w:top w:val="nil"/>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绩</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标</w:t>
            </w:r>
          </w:p>
        </w:tc>
        <w:tc>
          <w:tcPr>
            <w:tcW w:w="121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一级指标</w:t>
            </w:r>
          </w:p>
        </w:tc>
        <w:tc>
          <w:tcPr>
            <w:tcW w:w="87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二级</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三级指标</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年度</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指标值</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实际</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完成值</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分值</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得分</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偏差原因</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分析及</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改进措施</w:t>
            </w: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产出指标</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(50分)</w:t>
            </w:r>
          </w:p>
        </w:tc>
        <w:tc>
          <w:tcPr>
            <w:tcW w:w="870"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数量</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评选模范院士专家工作站</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5家</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5家</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引进院士专家人数</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≥10人</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19人</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专家团队开展战略咨询、科技创新服务、创新创业等活动次数</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≥35次</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56次</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参与服务活动的科技工作者人数</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500人</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4212人</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省部级以上奖励数量</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5项</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15项</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480"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质量</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投入工作站运行经费数量</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100万元</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457.02万元</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投入项目研发经费数量</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2000万元以上</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2549.1万元</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时效</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各项任务按期完成率</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7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院士专家在工作站工作累计时长</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15个月</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17.5个月</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2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tcBorders>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自筹资金到位率</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89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效益指标</w:t>
            </w:r>
          </w:p>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（30分）</w:t>
            </w:r>
          </w:p>
        </w:tc>
        <w:tc>
          <w:tcPr>
            <w:tcW w:w="870" w:type="dxa"/>
            <w:gridSpan w:val="2"/>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经济</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效益</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项目收入（该项目立项至今产生的经济效益情况）</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color w:val="000000" w:themeColor="text1"/>
                <w14:textFill>
                  <w14:solidFill>
                    <w14:schemeClr w14:val="tx1"/>
                  </w14:solidFill>
                </w14:textFill>
              </w:rPr>
              <w:t>9000万元</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 w:val="22"/>
                <w14:textFill>
                  <w14:solidFill>
                    <w14:schemeClr w14:val="tx1"/>
                  </w14:solidFill>
                </w14:textFill>
              </w:rPr>
              <w:t>549759.88万元</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89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left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利润收入（该项目立项至今产生的利润情况）</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1200万元</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 w:val="22"/>
                <w14:textFill>
                  <w14:solidFill>
                    <w14:schemeClr w14:val="tx1"/>
                  </w14:solidFill>
                </w14:textFill>
              </w:rPr>
              <w:t>83495.67万元</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89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left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技术成果转让收入（该项目技术成果转让取得的收入）</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800万元</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 w:val="22"/>
                <w14:textFill>
                  <w14:solidFill>
                    <w14:schemeClr w14:val="tx1"/>
                  </w14:solidFill>
                </w14:textFill>
              </w:rPr>
              <w:t>1556.6万元</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89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left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项目成果转化、转让和推广累计缴税</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1000万元</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s="Times New Roman"/>
                <w:color w:val="000000" w:themeColor="text1"/>
                <w:kern w:val="0"/>
                <w:sz w:val="22"/>
                <w14:textFill>
                  <w14:solidFill>
                    <w14:schemeClr w14:val="tx1"/>
                  </w14:solidFill>
                </w14:textFill>
              </w:rPr>
              <w:t>28201.73万元</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77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社会</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效益</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科技成果转化产生的新产品、推广新技术数量</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15项</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55项</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400"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授权专利数量</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40项</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90项</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490"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促进新增就业人数</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300人</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430人</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50"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制定标准或发表论文数量</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50篇</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101篇</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2</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630" w:hRule="atLeast"/>
          <w:jc w:val="center"/>
        </w:trPr>
        <w:tc>
          <w:tcPr>
            <w:tcW w:w="839" w:type="dxa"/>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绩</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效</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标</w:t>
            </w:r>
          </w:p>
        </w:tc>
        <w:tc>
          <w:tcPr>
            <w:tcW w:w="12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可持续影响指标</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（10分）</w:t>
            </w:r>
          </w:p>
        </w:tc>
        <w:tc>
          <w:tcPr>
            <w:tcW w:w="870"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可持</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续影</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响</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培养中高级及硕士以上人才数量</w:t>
            </w:r>
          </w:p>
        </w:tc>
        <w:tc>
          <w:tcPr>
            <w:tcW w:w="10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30人以上</w:t>
            </w:r>
          </w:p>
        </w:tc>
        <w:tc>
          <w:tcPr>
            <w:tcW w:w="9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46人</w:t>
            </w:r>
          </w:p>
        </w:tc>
        <w:tc>
          <w:tcPr>
            <w:tcW w:w="6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63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s="Times New Roman"/>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对地方或行业带动作用</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稳步提升</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起到了带动作用</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3</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建站成果对提高企业自有创新能力有较大帮助，但对地方和行业的带动作用有待进一步提高。</w:t>
            </w:r>
          </w:p>
        </w:tc>
      </w:tr>
      <w:tr>
        <w:tblPrEx>
          <w:tblCellMar>
            <w:top w:w="0" w:type="dxa"/>
            <w:left w:w="108" w:type="dxa"/>
            <w:bottom w:w="0" w:type="dxa"/>
            <w:right w:w="108" w:type="dxa"/>
          </w:tblCellMar>
        </w:tblPrEx>
        <w:trPr>
          <w:trHeight w:val="795" w:hRule="atLeast"/>
          <w:jc w:val="center"/>
        </w:trPr>
        <w:tc>
          <w:tcPr>
            <w:tcW w:w="839" w:type="dxa"/>
            <w:vMerge w:val="continue"/>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restart"/>
            <w:tcBorders>
              <w:top w:val="single" w:color="auto" w:sz="4" w:space="0"/>
              <w:left w:val="nil"/>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满意度</w:t>
            </w:r>
          </w:p>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p>
            <w:pPr>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（10分）</w:t>
            </w:r>
          </w:p>
        </w:tc>
        <w:tc>
          <w:tcPr>
            <w:tcW w:w="870" w:type="dxa"/>
            <w:gridSpan w:val="2"/>
            <w:vMerge w:val="restart"/>
            <w:tcBorders>
              <w:top w:val="single" w:color="auto" w:sz="4" w:space="0"/>
              <w:left w:val="nil"/>
              <w:right w:val="single" w:color="auto" w:sz="4" w:space="0"/>
            </w:tcBorders>
            <w:shd w:val="clear" w:color="auto" w:fill="auto"/>
            <w:vAlign w:val="center"/>
          </w:tcPr>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服务</w:t>
            </w:r>
          </w:p>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对象</w:t>
            </w:r>
          </w:p>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满意</w:t>
            </w:r>
          </w:p>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度</w:t>
            </w:r>
          </w:p>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指标</w:t>
            </w: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项目单位接受院士专家服务满意度</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≥90%</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p>
        </w:tc>
      </w:tr>
      <w:tr>
        <w:tblPrEx>
          <w:tblCellMar>
            <w:top w:w="0" w:type="dxa"/>
            <w:left w:w="108" w:type="dxa"/>
            <w:bottom w:w="0" w:type="dxa"/>
            <w:right w:w="108" w:type="dxa"/>
          </w:tblCellMar>
        </w:tblPrEx>
        <w:trPr>
          <w:trHeight w:val="585" w:hRule="atLeast"/>
          <w:jc w:val="center"/>
        </w:trPr>
        <w:tc>
          <w:tcPr>
            <w:tcW w:w="839" w:type="dxa"/>
            <w:tcBorders>
              <w:left w:val="single" w:color="auto" w:sz="4" w:space="0"/>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1215" w:type="dxa"/>
            <w:vMerge w:val="continue"/>
            <w:tcBorders>
              <w:left w:val="nil"/>
              <w:right w:val="single" w:color="auto" w:sz="4" w:space="0"/>
            </w:tcBorders>
            <w:shd w:val="clear" w:color="auto" w:fill="auto"/>
            <w:vAlign w:val="center"/>
          </w:tcPr>
          <w:p>
            <w:pPr>
              <w:spacing w:line="260" w:lineRule="exact"/>
              <w:jc w:val="left"/>
              <w:rPr>
                <w:rFonts w:ascii="Times New Roman" w:hAnsi="Times New Roman" w:eastAsia="仿宋_GB2312"/>
                <w:color w:val="000000" w:themeColor="text1"/>
                <w:kern w:val="0"/>
                <w:szCs w:val="21"/>
                <w14:textFill>
                  <w14:solidFill>
                    <w14:schemeClr w14:val="tx1"/>
                  </w14:solidFill>
                </w14:textFill>
              </w:rPr>
            </w:pPr>
          </w:p>
        </w:tc>
        <w:tc>
          <w:tcPr>
            <w:tcW w:w="870" w:type="dxa"/>
            <w:gridSpan w:val="2"/>
            <w:vMerge w:val="continue"/>
            <w:tcBorders>
              <w:left w:val="nil"/>
              <w:bottom w:val="single" w:color="auto" w:sz="4" w:space="0"/>
              <w:right w:val="single" w:color="auto" w:sz="4" w:space="0"/>
            </w:tcBorders>
            <w:shd w:val="clear" w:color="auto" w:fill="auto"/>
            <w:vAlign w:val="center"/>
          </w:tcPr>
          <w:p>
            <w:pPr>
              <w:spacing w:line="260" w:lineRule="exact"/>
              <w:jc w:val="center"/>
              <w:rPr>
                <w:rFonts w:ascii="Times New Roman" w:hAnsi="Times New Roman" w:eastAsia="仿宋_GB2312"/>
                <w:color w:val="000000" w:themeColor="text1"/>
                <w:kern w:val="0"/>
                <w:szCs w:val="21"/>
                <w14:textFill>
                  <w14:solidFill>
                    <w14:schemeClr w14:val="tx1"/>
                  </w14:solidFill>
                </w14:textFill>
              </w:rPr>
            </w:pPr>
          </w:p>
        </w:tc>
        <w:tc>
          <w:tcPr>
            <w:tcW w:w="2205"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院士专家满意度</w:t>
            </w:r>
          </w:p>
        </w:tc>
        <w:tc>
          <w:tcPr>
            <w:tcW w:w="105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≥90%</w:t>
            </w:r>
          </w:p>
        </w:tc>
        <w:tc>
          <w:tcPr>
            <w:tcW w:w="90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100%</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5</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r>
        <w:tblPrEx>
          <w:tblCellMar>
            <w:top w:w="0" w:type="dxa"/>
            <w:left w:w="108" w:type="dxa"/>
            <w:bottom w:w="0" w:type="dxa"/>
            <w:right w:w="108" w:type="dxa"/>
          </w:tblCellMar>
        </w:tblPrEx>
        <w:trPr>
          <w:trHeight w:val="550" w:hRule="atLeast"/>
          <w:jc w:val="center"/>
        </w:trPr>
        <w:tc>
          <w:tcPr>
            <w:tcW w:w="7079" w:type="dxa"/>
            <w:gridSpan w:val="10"/>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总分</w:t>
            </w:r>
          </w:p>
        </w:tc>
        <w:tc>
          <w:tcPr>
            <w:tcW w:w="660"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100</w:t>
            </w:r>
          </w:p>
        </w:tc>
        <w:tc>
          <w:tcPr>
            <w:tcW w:w="585" w:type="dxa"/>
            <w:tcBorders>
              <w:top w:val="nil"/>
              <w:left w:val="nil"/>
              <w:bottom w:val="single" w:color="auto" w:sz="4" w:space="0"/>
              <w:right w:val="single" w:color="auto" w:sz="4" w:space="0"/>
            </w:tcBorders>
            <w:shd w:val="clear" w:color="auto" w:fill="auto"/>
            <w:vAlign w:val="center"/>
          </w:tcPr>
          <w:p>
            <w:pPr>
              <w:widowControl/>
              <w:spacing w:line="260" w:lineRule="exact"/>
              <w:jc w:val="center"/>
              <w:rPr>
                <w:rFonts w:ascii="Times New Roman" w:hAnsi="Times New Roman" w:eastAsia="仿宋_GB2312"/>
                <w:color w:val="000000" w:themeColor="text1"/>
                <w:kern w:val="0"/>
                <w:szCs w:val="21"/>
                <w14:textFill>
                  <w14:solidFill>
                    <w14:schemeClr w14:val="tx1"/>
                  </w14:solidFill>
                </w14:textFill>
              </w:rPr>
            </w:pPr>
            <w:r>
              <w:rPr>
                <w:rFonts w:hint="eastAsia" w:ascii="Times New Roman" w:hAnsi="Times New Roman" w:eastAsia="仿宋_GB2312"/>
                <w:color w:val="000000" w:themeColor="text1"/>
                <w:kern w:val="0"/>
                <w:szCs w:val="21"/>
                <w14:textFill>
                  <w14:solidFill>
                    <w14:schemeClr w14:val="tx1"/>
                  </w14:solidFill>
                </w14:textFill>
              </w:rPr>
              <w:t>98</w:t>
            </w:r>
          </w:p>
        </w:tc>
        <w:tc>
          <w:tcPr>
            <w:tcW w:w="1527" w:type="dxa"/>
            <w:gridSpan w:val="2"/>
            <w:tcBorders>
              <w:top w:val="nil"/>
              <w:left w:val="nil"/>
              <w:bottom w:val="single" w:color="auto" w:sz="4" w:space="0"/>
              <w:right w:val="single" w:color="auto" w:sz="4" w:space="0"/>
            </w:tcBorders>
            <w:shd w:val="clear" w:color="auto" w:fill="auto"/>
            <w:vAlign w:val="center"/>
          </w:tcPr>
          <w:p>
            <w:pPr>
              <w:widowControl/>
              <w:spacing w:line="260" w:lineRule="exact"/>
              <w:jc w:val="left"/>
              <w:rPr>
                <w:rFonts w:ascii="Times New Roman" w:hAnsi="Times New Roman" w:eastAsia="仿宋_GB2312"/>
                <w:color w:val="000000" w:themeColor="text1"/>
                <w:kern w:val="0"/>
                <w:szCs w:val="21"/>
                <w14:textFill>
                  <w14:solidFill>
                    <w14:schemeClr w14:val="tx1"/>
                  </w14:solidFill>
                </w14:textFill>
              </w:rPr>
            </w:pPr>
            <w:r>
              <w:rPr>
                <w:rFonts w:ascii="Times New Roman" w:hAnsi="Times New Roman" w:eastAsia="仿宋_GB2312"/>
                <w:color w:val="000000" w:themeColor="text1"/>
                <w:kern w:val="0"/>
                <w:szCs w:val="21"/>
                <w14:textFill>
                  <w14:solidFill>
                    <w14:schemeClr w14:val="tx1"/>
                  </w14:solidFill>
                </w14:textFill>
              </w:rPr>
              <w:t>　</w:t>
            </w:r>
          </w:p>
        </w:tc>
      </w:tr>
    </w:tbl>
    <w:p>
      <w:pPr>
        <w:rPr>
          <w:color w:val="000000" w:themeColor="text1"/>
          <w14:textFill>
            <w14:solidFill>
              <w14:schemeClr w14:val="tx1"/>
            </w14:solidFill>
          </w14:textFill>
        </w:rPr>
      </w:pPr>
    </w:p>
    <w:p>
      <w:pPr>
        <w:rPr>
          <w:color w:val="000000" w:themeColor="text1"/>
          <w14:textFill>
            <w14:solidFill>
              <w14:schemeClr w14:val="tx1"/>
            </w14:solidFill>
          </w14:textFill>
        </w:rPr>
      </w:pPr>
      <w:r>
        <w:rPr>
          <w:rFonts w:hint="eastAsia"/>
          <w:color w:val="000000" w:themeColor="text1"/>
          <w14:textFill>
            <w14:solidFill>
              <w14:schemeClr w14:val="tx1"/>
            </w14:solidFill>
          </w14:textFill>
        </w:rPr>
        <w:t>填表人：徐蓉    填报日期：      联系电话：84426710    单位负责人签字：</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2ODJlZDc5NWYxYmYxMjk0NjNlZGY3Y2NjNmI1MjcifQ=="/>
  </w:docVars>
  <w:rsids>
    <w:rsidRoot w:val="004506F9"/>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B484A"/>
    <w:rsid w:val="002E0A30"/>
    <w:rsid w:val="003130C4"/>
    <w:rsid w:val="00316C4B"/>
    <w:rsid w:val="0032192B"/>
    <w:rsid w:val="003479BD"/>
    <w:rsid w:val="0037197D"/>
    <w:rsid w:val="003768D5"/>
    <w:rsid w:val="003C4197"/>
    <w:rsid w:val="003C47E6"/>
    <w:rsid w:val="003C4FC2"/>
    <w:rsid w:val="003E2331"/>
    <w:rsid w:val="003E7D25"/>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87F04"/>
    <w:rsid w:val="00590D9F"/>
    <w:rsid w:val="00595D26"/>
    <w:rsid w:val="005A74E6"/>
    <w:rsid w:val="005B404E"/>
    <w:rsid w:val="005D4D55"/>
    <w:rsid w:val="005E2CFB"/>
    <w:rsid w:val="005F2103"/>
    <w:rsid w:val="005F3D1C"/>
    <w:rsid w:val="0062378F"/>
    <w:rsid w:val="00641842"/>
    <w:rsid w:val="00651EEC"/>
    <w:rsid w:val="006743CE"/>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2EA8"/>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270C5FB3"/>
    <w:rsid w:val="2B1D6D6B"/>
    <w:rsid w:val="5B0C4C22"/>
    <w:rsid w:val="7EC02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b/>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6"/>
    <w:link w:val="2"/>
    <w:semiHidden/>
    <w:qFormat/>
    <w:uiPriority w:val="99"/>
    <w:rPr>
      <w:sz w:val="18"/>
      <w:szCs w:val="18"/>
    </w:rPr>
  </w:style>
  <w:style w:type="character" w:customStyle="1" w:styleId="13">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7E9FA-F36D-4C32-93AD-8BF9B91BE78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38</Pages>
  <Words>14597</Words>
  <Characters>18139</Characters>
  <Lines>152</Lines>
  <Paragraphs>43</Paragraphs>
  <TotalTime>76</TotalTime>
  <ScaleCrop>false</ScaleCrop>
  <LinksUpToDate>false</LinksUpToDate>
  <CharactersWithSpaces>19415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孙娟</cp:lastModifiedBy>
  <cp:lastPrinted>2022-09-16T03:54:00Z</cp:lastPrinted>
  <dcterms:modified xsi:type="dcterms:W3CDTF">2023-09-26T05:33:13Z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4F9E6B804A1A4A84A64C06F0EF6CB91A_13</vt:lpwstr>
  </property>
</Properties>
</file>