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方正小标宋_GBK"/>
          <w:bCs/>
          <w:kern w:val="0"/>
          <w:sz w:val="44"/>
          <w:szCs w:val="44"/>
        </w:rPr>
      </w:pPr>
      <w:r>
        <w:rPr>
          <w:rFonts w:eastAsia="黑体"/>
          <w:sz w:val="32"/>
          <w:szCs w:val="32"/>
        </w:rPr>
        <w:t xml:space="preserve"> </w:t>
      </w:r>
      <w:r>
        <w:rPr>
          <w:rFonts w:eastAsia="方正小标宋_GBK"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Cs/>
          <w:kern w:val="0"/>
          <w:sz w:val="44"/>
          <w:szCs w:val="44"/>
        </w:rPr>
        <w:t>2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湖南省技术产权交易中心单位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楷体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eastAsia="黑体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eastAsia="方正小标宋_GBK"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年</w:t>
      </w:r>
      <w:r>
        <w:rPr>
          <w:rFonts w:hint="eastAsia" w:eastAsia="仿宋_GB2312"/>
          <w:b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无相关收支情况。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</w:t>
      </w:r>
      <w:r>
        <w:rPr>
          <w:rFonts w:hint="eastAsia" w:eastAsia="方正小标宋_GBK"/>
          <w:bCs/>
          <w:kern w:val="0"/>
          <w:sz w:val="36"/>
          <w:szCs w:val="36"/>
        </w:rPr>
        <w:t>2</w:t>
      </w:r>
      <w:r>
        <w:rPr>
          <w:rFonts w:eastAsia="方正小标宋_GBK"/>
          <w:bCs/>
          <w:kern w:val="0"/>
          <w:sz w:val="36"/>
          <w:szCs w:val="36"/>
        </w:rPr>
        <w:t>年</w:t>
      </w:r>
      <w:r>
        <w:rPr>
          <w:rFonts w:hint="eastAsia" w:eastAsia="方正小标宋_GBK"/>
          <w:bCs/>
          <w:kern w:val="0"/>
          <w:sz w:val="36"/>
          <w:szCs w:val="36"/>
          <w:lang w:eastAsia="zh-CN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196"/>
        <w:jc w:val="left"/>
        <w:textAlignment w:val="auto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单位</w:t>
      </w:r>
      <w:r>
        <w:rPr>
          <w:rFonts w:eastAsia="黑体"/>
          <w:bCs/>
          <w:kern w:val="0"/>
          <w:sz w:val="32"/>
          <w:szCs w:val="32"/>
        </w:rPr>
        <w:t>基本概况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0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按照《湖南省科学技术事务中心职能配置、内设机构和人员编制规定》（湘编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</w:t>
      </w:r>
      <w:r>
        <w:rPr>
          <w:rFonts w:hint="eastAsia" w:eastAsia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〕</w:t>
      </w:r>
      <w:r>
        <w:rPr>
          <w:rFonts w:hint="eastAsia" w:eastAsia="仿宋_GB2312"/>
          <w:sz w:val="32"/>
          <w:szCs w:val="32"/>
          <w:lang w:val="en-US" w:eastAsia="zh-CN"/>
        </w:rPr>
        <w:t>22号），我单位为省科学技术事务中心管理的正处级公益二类事业单位。主要</w:t>
      </w:r>
      <w:r>
        <w:rPr>
          <w:rFonts w:hint="eastAsia" w:eastAsia="仿宋_GB2312"/>
          <w:sz w:val="32"/>
          <w:szCs w:val="32"/>
        </w:rPr>
        <w:t>承担</w:t>
      </w:r>
      <w:r>
        <w:rPr>
          <w:rFonts w:hint="eastAsia" w:eastAsia="仿宋_GB2312"/>
          <w:sz w:val="32"/>
          <w:szCs w:val="32"/>
          <w:lang w:val="en-US" w:eastAsia="zh-CN"/>
        </w:rPr>
        <w:t>全省技术合同认定登记复核、业务培训等相关服务工作；协助指导全省技术合同认定登记机构、技术交易机构建设。承担全省科技成果推广、示范及转移化、科技成果登记、统计分析等服务工作；依法面向市场开展科技成果评价。承担省科技金融服务中心建设运行、科技金融有关社会组织业务指导等服务工作；承担科技企业科创板、创业板等上市培育服务及科技创新专版挂牌培育服务的事务性工作。履行对省技术产权交易所的出资人职责；承担交易场所规划建设和运营、潇湘要素大市场建设运营服务管理工作；指导全省技术转移机构和专业人才建设相关工作。承担省科学技术厅交办的其他工作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0" w:firstLineChars="196"/>
        <w:jc w:val="left"/>
        <w:textAlignment w:val="auto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321" w:firstLineChars="100"/>
        <w:jc w:val="left"/>
        <w:textAlignment w:val="auto"/>
        <w:rPr>
          <w:rFonts w:hint="default" w:ascii="仿宋_GB2312" w:eastAsia="仿宋_GB2312" w:hAnsiTheme="minorEastAsia" w:cstheme="minorBidi"/>
          <w:bCs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  <w:lang w:val="en-US" w:eastAsia="zh-CN"/>
        </w:rPr>
        <w:t>湖南省技术产权交易中心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</w:rPr>
        <w:t>是隶属湖南省科学技术厅的公益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</w:rPr>
        <w:t>类事业单位，中心内设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  <w:lang w:val="en-US" w:eastAsia="zh-CN"/>
        </w:rPr>
        <w:t>个部门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</w:rPr>
        <w:t>分别为综合部、业务部。</w:t>
      </w:r>
      <w:bookmarkStart w:id="0" w:name="_GoBack"/>
      <w:r>
        <w:rPr>
          <w:rFonts w:hint="eastAsia" w:ascii="仿宋_GB2312" w:eastAsia="仿宋_GB2312" w:hAnsiTheme="minorEastAsia" w:cstheme="minorBidi"/>
          <w:bCs/>
          <w:kern w:val="0"/>
          <w:sz w:val="32"/>
          <w:szCs w:val="32"/>
          <w:lang w:val="en-US" w:eastAsia="zh-CN"/>
        </w:rPr>
        <w:t>预算构成单位包括湖南省技术产权交易中心，无下属单位。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仿宋_GB2312" w:eastAsia="仿宋_GB2312" w:hAnsiTheme="minorEastAsia" w:cstheme="minorBidi"/>
          <w:bCs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196"/>
        <w:jc w:val="left"/>
        <w:textAlignment w:val="auto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</w:t>
      </w:r>
      <w:r>
        <w:rPr>
          <w:rFonts w:hint="eastAsia" w:eastAsia="黑体"/>
          <w:bCs/>
          <w:kern w:val="0"/>
          <w:sz w:val="32"/>
          <w:szCs w:val="32"/>
          <w:lang w:eastAsia="zh-CN"/>
        </w:rPr>
        <w:t>单位</w:t>
      </w:r>
      <w:r>
        <w:rPr>
          <w:rFonts w:eastAsia="黑体"/>
          <w:bCs/>
          <w:kern w:val="0"/>
          <w:sz w:val="32"/>
          <w:szCs w:val="32"/>
        </w:rPr>
        <w:t>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0" w:firstLineChars="196"/>
        <w:textAlignment w:val="auto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331.08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66.71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val="en-US" w:eastAsia="zh-CN"/>
        </w:rPr>
        <w:t>事业收入56.77万元，上年结转结余207.60万元</w:t>
      </w:r>
      <w:r>
        <w:rPr>
          <w:rFonts w:eastAsia="仿宋_GB2312"/>
          <w:sz w:val="32"/>
          <w:szCs w:val="32"/>
        </w:rPr>
        <w:t>。</w:t>
      </w:r>
      <w:r>
        <w:rPr>
          <w:rFonts w:eastAsia="仿宋_GB2312"/>
          <w:b/>
          <w:sz w:val="32"/>
          <w:szCs w:val="32"/>
        </w:rPr>
        <w:t>收入较去年减少</w:t>
      </w:r>
      <w:r>
        <w:rPr>
          <w:rFonts w:hint="eastAsia" w:eastAsia="仿宋_GB2312"/>
          <w:b/>
          <w:sz w:val="32"/>
          <w:szCs w:val="32"/>
          <w:lang w:val="en-US" w:eastAsia="zh-CN"/>
        </w:rPr>
        <w:t>50.14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上年用单位资金结转结余弥补收支差额</w:t>
      </w:r>
      <w:r>
        <w:rPr>
          <w:rFonts w:hint="eastAsia" w:eastAsia="仿宋_GB2312"/>
          <w:b/>
          <w:sz w:val="32"/>
          <w:szCs w:val="32"/>
          <w:lang w:val="en-US" w:eastAsia="zh-CN"/>
        </w:rPr>
        <w:t>减少47.01万元，事业收入减少3.23万元</w:t>
      </w:r>
      <w:r>
        <w:rPr>
          <w:rFonts w:eastAsia="仿宋_GB2312"/>
          <w:b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0" w:firstLineChars="196"/>
        <w:jc w:val="left"/>
        <w:textAlignment w:val="auto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331.08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科学技术支出</w:t>
      </w:r>
      <w:r>
        <w:rPr>
          <w:rFonts w:hint="eastAsia" w:eastAsia="仿宋_GB2312"/>
          <w:sz w:val="32"/>
          <w:szCs w:val="32"/>
          <w:u w:val="none"/>
        </w:rPr>
        <w:t>302.56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社会保障和就业支出15.5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卫生健康支出5.45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住房保障支出</w:t>
      </w:r>
      <w:r>
        <w:rPr>
          <w:rFonts w:hint="eastAsia" w:eastAsia="仿宋_GB2312"/>
          <w:sz w:val="32"/>
          <w:szCs w:val="32"/>
        </w:rPr>
        <w:t>7.5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支出较去年减少</w:t>
      </w:r>
      <w:r>
        <w:rPr>
          <w:rFonts w:hint="eastAsia" w:eastAsia="仿宋_GB2312"/>
          <w:b/>
          <w:sz w:val="32"/>
          <w:szCs w:val="32"/>
          <w:lang w:val="en-US" w:eastAsia="zh-CN"/>
        </w:rPr>
        <w:t>50.14</w:t>
      </w:r>
      <w:r>
        <w:rPr>
          <w:rFonts w:eastAsia="仿宋_GB2312"/>
          <w:b/>
          <w:sz w:val="32"/>
          <w:szCs w:val="32"/>
        </w:rPr>
        <w:t>万元，主要是</w:t>
      </w:r>
      <w:r>
        <w:rPr>
          <w:rFonts w:hint="eastAsia" w:eastAsia="仿宋_GB2312"/>
          <w:b/>
          <w:sz w:val="32"/>
          <w:szCs w:val="32"/>
          <w:lang w:eastAsia="zh-CN"/>
        </w:rPr>
        <w:t>减少开展相关公益性业务工作</w:t>
      </w:r>
      <w:r>
        <w:rPr>
          <w:rFonts w:hint="eastAsia" w:eastAsia="仿宋_GB2312"/>
          <w:b/>
          <w:sz w:val="32"/>
          <w:szCs w:val="32"/>
        </w:rPr>
        <w:t>支出</w:t>
      </w:r>
      <w:r>
        <w:rPr>
          <w:rFonts w:hint="eastAsia" w:eastAsia="仿宋_GB2312"/>
          <w:b/>
          <w:sz w:val="32"/>
          <w:szCs w:val="32"/>
          <w:lang w:val="en-US" w:eastAsia="zh-CN"/>
        </w:rPr>
        <w:t>45.40</w:t>
      </w:r>
      <w:r>
        <w:rPr>
          <w:rFonts w:hint="eastAsia" w:eastAsia="仿宋_GB2312"/>
          <w:b/>
          <w:sz w:val="32"/>
          <w:szCs w:val="32"/>
        </w:rPr>
        <w:t>万元</w:t>
      </w:r>
      <w:r>
        <w:rPr>
          <w:rFonts w:eastAsia="仿宋_GB2312"/>
          <w:b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三</w:t>
      </w:r>
      <w:r>
        <w:rPr>
          <w:rFonts w:eastAsia="黑体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66.71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科学技术支出</w:t>
      </w:r>
      <w:r>
        <w:rPr>
          <w:rFonts w:hint="eastAsia" w:eastAsia="仿宋_GB2312"/>
          <w:sz w:val="32"/>
          <w:szCs w:val="32"/>
          <w:u w:val="none"/>
        </w:rPr>
        <w:t>56.54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84.75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5.00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7.50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2.10万元，占3.15%；住房保障支出3.07万元，占4.60%</w:t>
      </w:r>
      <w:r>
        <w:rPr>
          <w:rFonts w:eastAsia="仿宋_GB2312"/>
          <w:sz w:val="32"/>
          <w:szCs w:val="32"/>
        </w:rPr>
        <w:t>。具体安排情况如下：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基本支出预算数</w:t>
      </w:r>
      <w:r>
        <w:rPr>
          <w:rFonts w:hint="eastAsia" w:eastAsia="仿宋_GB2312"/>
          <w:sz w:val="32"/>
          <w:szCs w:val="32"/>
          <w:lang w:val="en-US" w:eastAsia="zh-CN"/>
        </w:rPr>
        <w:t>26.71</w:t>
      </w:r>
      <w:r>
        <w:rPr>
          <w:rFonts w:eastAsia="仿宋_GB2312"/>
          <w:sz w:val="32"/>
          <w:szCs w:val="32"/>
        </w:rPr>
        <w:t>万元，主要是为保障部门正常运转、完成日常工作任务而发生的各项支出，包括用于基本工资、津贴补贴等人员经费以及办公费、印刷费、水电费、办公设备购置等公用经费。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项目支出预算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40.00</w:t>
      </w:r>
      <w:r>
        <w:rPr>
          <w:rFonts w:eastAsia="仿宋_GB2312"/>
          <w:sz w:val="32"/>
          <w:szCs w:val="32"/>
          <w:u w:val="none"/>
        </w:rPr>
        <w:t>万</w:t>
      </w:r>
      <w:r>
        <w:rPr>
          <w:rFonts w:eastAsia="仿宋_GB2312"/>
          <w:sz w:val="32"/>
          <w:szCs w:val="32"/>
        </w:rPr>
        <w:t>元，主要是</w:t>
      </w:r>
      <w:r>
        <w:rPr>
          <w:rFonts w:hint="eastAsia" w:eastAsia="仿宋_GB2312"/>
          <w:sz w:val="32"/>
          <w:szCs w:val="32"/>
          <w:lang w:val="en-US" w:eastAsia="zh-CN"/>
        </w:rPr>
        <w:t>单位</w:t>
      </w:r>
      <w:r>
        <w:rPr>
          <w:rFonts w:eastAsia="仿宋_GB2312"/>
          <w:sz w:val="32"/>
          <w:szCs w:val="32"/>
        </w:rPr>
        <w:t>为完成202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年技术市场发展及运行</w:t>
      </w:r>
      <w:r>
        <w:rPr>
          <w:rFonts w:hint="eastAsia" w:eastAsia="仿宋_GB2312"/>
          <w:sz w:val="32"/>
          <w:szCs w:val="32"/>
          <w:lang w:val="en-US" w:eastAsia="zh-CN"/>
        </w:rPr>
        <w:t>工作</w:t>
      </w:r>
      <w:r>
        <w:rPr>
          <w:rFonts w:eastAsia="仿宋_GB2312"/>
          <w:sz w:val="32"/>
          <w:szCs w:val="32"/>
        </w:rPr>
        <w:t>而发生的支出，包括有关事业发展专项、专项业务费、基本建设支出等，其中</w:t>
      </w:r>
      <w:r>
        <w:rPr>
          <w:rFonts w:eastAsia="仿宋_GB2312"/>
          <w:sz w:val="32"/>
          <w:szCs w:val="32"/>
          <w:u w:val="none"/>
        </w:rPr>
        <w:t>：</w:t>
      </w:r>
      <w:r>
        <w:rPr>
          <w:rFonts w:hint="eastAsia" w:eastAsia="仿宋_GB2312"/>
          <w:sz w:val="32"/>
          <w:szCs w:val="32"/>
        </w:rPr>
        <w:t>专家咨询费</w:t>
      </w:r>
      <w:r>
        <w:rPr>
          <w:rFonts w:eastAsia="仿宋_GB2312"/>
          <w:sz w:val="32"/>
          <w:szCs w:val="32"/>
        </w:rPr>
        <w:t>支出7</w:t>
      </w:r>
      <w:r>
        <w:rPr>
          <w:rFonts w:hint="eastAsia" w:eastAsia="仿宋_GB2312"/>
          <w:sz w:val="32"/>
          <w:szCs w:val="32"/>
          <w:lang w:val="en-US" w:eastAsia="zh-CN"/>
        </w:rPr>
        <w:t>.00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技术合同复核专家咨询费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劳务费</w:t>
      </w:r>
      <w:r>
        <w:rPr>
          <w:rFonts w:eastAsia="仿宋_GB2312"/>
          <w:sz w:val="32"/>
          <w:szCs w:val="32"/>
        </w:rPr>
        <w:t>支出2</w:t>
      </w:r>
      <w:r>
        <w:rPr>
          <w:rFonts w:hint="eastAsia" w:eastAsia="仿宋_GB2312"/>
          <w:sz w:val="32"/>
          <w:szCs w:val="32"/>
          <w:lang w:val="en-US" w:eastAsia="zh-CN"/>
        </w:rPr>
        <w:t>4.00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聘用劳务派遣人员劳务费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差旅费</w:t>
      </w:r>
      <w:r>
        <w:rPr>
          <w:rFonts w:eastAsia="仿宋_GB2312"/>
          <w:sz w:val="32"/>
          <w:szCs w:val="32"/>
        </w:rPr>
        <w:t>支出3</w:t>
      </w:r>
      <w:r>
        <w:rPr>
          <w:rFonts w:hint="eastAsia" w:eastAsia="仿宋_GB2312"/>
          <w:sz w:val="32"/>
          <w:szCs w:val="32"/>
          <w:lang w:val="en-US" w:eastAsia="zh-CN"/>
        </w:rPr>
        <w:t>.00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“双随机一公开”检查，市州技术合同登记情况工作调研、培训等发生的差旅费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  <w:lang w:eastAsia="zh-CN"/>
        </w:rPr>
        <w:t>培训</w:t>
      </w:r>
      <w:r>
        <w:rPr>
          <w:rFonts w:hint="eastAsia" w:eastAsia="仿宋_GB2312"/>
          <w:sz w:val="32"/>
          <w:szCs w:val="32"/>
        </w:rPr>
        <w:t>费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val="en-US" w:eastAsia="zh-CN"/>
        </w:rPr>
        <w:t>4.00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  <w:lang w:eastAsia="zh-CN"/>
        </w:rPr>
        <w:t>技术合同认定登记与科技成果登记培训活动</w:t>
      </w:r>
      <w:r>
        <w:rPr>
          <w:rFonts w:eastAsia="仿宋_GB2312"/>
          <w:sz w:val="32"/>
          <w:szCs w:val="32"/>
        </w:rPr>
        <w:t>；</w:t>
      </w:r>
      <w:r>
        <w:rPr>
          <w:rFonts w:hint="eastAsia" w:eastAsia="仿宋_GB2312"/>
          <w:sz w:val="32"/>
          <w:szCs w:val="32"/>
        </w:rPr>
        <w:t>其他</w:t>
      </w:r>
      <w:r>
        <w:rPr>
          <w:rFonts w:eastAsia="仿宋_GB2312"/>
          <w:sz w:val="32"/>
          <w:szCs w:val="32"/>
        </w:rPr>
        <w:t>支出2</w:t>
      </w:r>
      <w:r>
        <w:rPr>
          <w:rFonts w:hint="eastAsia" w:eastAsia="仿宋_GB2312"/>
          <w:sz w:val="32"/>
          <w:szCs w:val="32"/>
          <w:lang w:val="en-US" w:eastAsia="zh-CN"/>
        </w:rPr>
        <w:t>.00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其他不可预计的费用</w:t>
      </w:r>
      <w:r>
        <w:rPr>
          <w:rFonts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2022年</w:t>
      </w:r>
      <w:r>
        <w:rPr>
          <w:rFonts w:eastAsia="仿宋_GB2312"/>
          <w:sz w:val="32"/>
          <w:szCs w:val="32"/>
        </w:rPr>
        <w:t>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无政府性基金安排的支出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机关运行经费</w:t>
      </w:r>
      <w:r>
        <w:rPr>
          <w:rFonts w:hint="eastAsia" w:eastAsia="仿宋_GB2312"/>
          <w:sz w:val="32"/>
          <w:szCs w:val="32"/>
          <w:lang w:val="en-US" w:eastAsia="zh-CN"/>
        </w:rPr>
        <w:t>25.85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比上年预算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4.61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下降</w:t>
      </w:r>
      <w:r>
        <w:rPr>
          <w:rFonts w:hint="eastAsia" w:eastAsia="仿宋_GB2312"/>
          <w:sz w:val="32"/>
          <w:szCs w:val="32"/>
          <w:lang w:val="en-US" w:eastAsia="zh-CN"/>
        </w:rPr>
        <w:t>15.13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  <w:lang w:eastAsia="zh-CN"/>
        </w:rPr>
        <w:t>减少网络租赁费</w:t>
      </w:r>
      <w:r>
        <w:rPr>
          <w:rFonts w:hint="eastAsia" w:eastAsia="仿宋_GB2312"/>
          <w:sz w:val="32"/>
          <w:szCs w:val="32"/>
          <w:lang w:val="en-US" w:eastAsia="zh-CN"/>
        </w:rPr>
        <w:t>4.80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0.1</w:t>
      </w:r>
      <w:r>
        <w:rPr>
          <w:rFonts w:eastAsia="仿宋_GB2312"/>
          <w:sz w:val="32"/>
          <w:szCs w:val="32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0.10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万元（其中，公务用车购置费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万元，公务用车运行费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万元。202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年“三公”经费预算较202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年减少</w:t>
      </w:r>
      <w:r>
        <w:rPr>
          <w:rFonts w:hint="eastAsia" w:eastAsia="仿宋_GB2312"/>
          <w:sz w:val="32"/>
          <w:szCs w:val="32"/>
          <w:lang w:val="en-US" w:eastAsia="zh-CN"/>
        </w:rPr>
        <w:t>0.40</w:t>
      </w:r>
      <w:r>
        <w:rPr>
          <w:rFonts w:eastAsia="仿宋_GB2312"/>
          <w:sz w:val="32"/>
          <w:szCs w:val="32"/>
        </w:rPr>
        <w:t>万元，主要是公务接待费</w:t>
      </w:r>
      <w:r>
        <w:rPr>
          <w:rFonts w:hint="eastAsia" w:eastAsia="仿宋_GB2312"/>
          <w:sz w:val="32"/>
          <w:szCs w:val="32"/>
          <w:lang w:eastAsia="zh-CN"/>
        </w:rPr>
        <w:t>减少</w:t>
      </w:r>
      <w:r>
        <w:rPr>
          <w:rFonts w:hint="eastAsia" w:eastAsia="仿宋_GB2312"/>
          <w:sz w:val="32"/>
          <w:szCs w:val="32"/>
          <w:lang w:val="en-US" w:eastAsia="zh-CN"/>
        </w:rPr>
        <w:t>0.40万元</w:t>
      </w:r>
      <w:r>
        <w:rPr>
          <w:rFonts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年本</w:t>
      </w:r>
      <w:r>
        <w:rPr>
          <w:rFonts w:hint="eastAsia" w:eastAsia="仿宋_GB2312"/>
          <w:kern w:val="0"/>
          <w:sz w:val="32"/>
          <w:szCs w:val="32"/>
          <w:lang w:eastAsia="zh-CN"/>
        </w:rPr>
        <w:t>单位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4.00</w:t>
      </w:r>
      <w:r>
        <w:rPr>
          <w:rFonts w:eastAsia="仿宋_GB2312"/>
          <w:kern w:val="0"/>
          <w:sz w:val="32"/>
          <w:szCs w:val="32"/>
        </w:rPr>
        <w:t>万元，</w:t>
      </w:r>
      <w:r>
        <w:rPr>
          <w:rFonts w:hint="eastAsia" w:eastAsia="仿宋_GB2312"/>
          <w:kern w:val="0"/>
          <w:sz w:val="32"/>
          <w:szCs w:val="32"/>
          <w:lang w:eastAsia="zh-CN"/>
        </w:rPr>
        <w:t>拟</w:t>
      </w:r>
      <w:r>
        <w:rPr>
          <w:rFonts w:hint="eastAsia" w:eastAsia="仿宋_GB2312"/>
          <w:kern w:val="0"/>
          <w:sz w:val="32"/>
          <w:szCs w:val="32"/>
        </w:rPr>
        <w:t>组织技术合同认定登记与科技成果登记培训活动3次</w:t>
      </w:r>
      <w:r>
        <w:rPr>
          <w:rFonts w:eastAsia="仿宋_GB2312"/>
          <w:kern w:val="0"/>
          <w:sz w:val="32"/>
          <w:szCs w:val="32"/>
        </w:rPr>
        <w:t>，人数</w:t>
      </w:r>
      <w:r>
        <w:rPr>
          <w:rFonts w:hint="eastAsia" w:eastAsia="仿宋_GB2312"/>
          <w:kern w:val="0"/>
          <w:sz w:val="32"/>
          <w:szCs w:val="32"/>
          <w:lang w:eastAsia="zh-CN"/>
        </w:rPr>
        <w:t>约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90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</w:rPr>
        <w:t>技术合同</w:t>
      </w:r>
      <w:r>
        <w:rPr>
          <w:rFonts w:hint="eastAsia" w:eastAsia="仿宋_GB2312"/>
          <w:kern w:val="0"/>
          <w:sz w:val="32"/>
          <w:szCs w:val="32"/>
          <w:lang w:eastAsia="zh-CN"/>
        </w:rPr>
        <w:t>认定登记</w:t>
      </w:r>
      <w:r>
        <w:rPr>
          <w:rFonts w:hint="eastAsia" w:eastAsia="仿宋_GB2312"/>
          <w:kern w:val="0"/>
          <w:sz w:val="32"/>
          <w:szCs w:val="32"/>
        </w:rPr>
        <w:t>、</w:t>
      </w:r>
      <w:r>
        <w:rPr>
          <w:rFonts w:hint="eastAsia" w:eastAsia="仿宋_GB2312"/>
          <w:kern w:val="0"/>
          <w:sz w:val="32"/>
          <w:szCs w:val="32"/>
          <w:lang w:eastAsia="zh-CN"/>
        </w:rPr>
        <w:t>科技成果登记</w:t>
      </w:r>
      <w:r>
        <w:rPr>
          <w:rFonts w:hint="eastAsia" w:eastAsia="仿宋_GB2312"/>
          <w:kern w:val="0"/>
          <w:sz w:val="32"/>
          <w:szCs w:val="32"/>
        </w:rPr>
        <w:t>培训</w:t>
      </w:r>
      <w:r>
        <w:rPr>
          <w:rFonts w:hint="eastAsia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经费预算</w:t>
      </w:r>
      <w:r>
        <w:rPr>
          <w:rFonts w:hint="eastAsia" w:eastAsia="仿宋_GB2312"/>
          <w:sz w:val="32"/>
          <w:szCs w:val="32"/>
          <w:lang w:val="en-US" w:eastAsia="zh-CN"/>
        </w:rPr>
        <w:t>4.00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年本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sz w:val="32"/>
          <w:szCs w:val="32"/>
        </w:rPr>
        <w:t>政府采购预算总额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hint="eastAsia" w:eastAsia="仿宋_GB2312"/>
          <w:sz w:val="32"/>
          <w:szCs w:val="32"/>
          <w:lang w:val="en-US" w:eastAsia="zh-CN"/>
        </w:rPr>
        <w:t>0.00</w:t>
      </w:r>
      <w:r>
        <w:rPr>
          <w:rFonts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jc w:val="left"/>
        <w:textAlignment w:val="auto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年12月底，本</w:t>
      </w:r>
      <w:r>
        <w:rPr>
          <w:rFonts w:hint="eastAsia" w:eastAsia="仿宋_GB2312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辆。其中，机要通信用车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所有支出实行绩效目标管理。纳入202</w:t>
      </w:r>
      <w:r>
        <w:rPr>
          <w:rFonts w:hint="eastAsia" w:eastAsia="仿宋_GB2312"/>
          <w:bCs/>
          <w:kern w:val="0"/>
          <w:sz w:val="32"/>
          <w:szCs w:val="32"/>
        </w:rPr>
        <w:t>2</w:t>
      </w:r>
      <w:r>
        <w:rPr>
          <w:rFonts w:eastAsia="仿宋_GB2312"/>
          <w:bCs/>
          <w:kern w:val="0"/>
          <w:sz w:val="32"/>
          <w:szCs w:val="32"/>
        </w:rPr>
        <w:t>年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单位</w:t>
      </w:r>
      <w:r>
        <w:rPr>
          <w:rFonts w:eastAsia="仿宋_GB2312"/>
          <w:bCs/>
          <w:kern w:val="0"/>
          <w:sz w:val="32"/>
          <w:szCs w:val="32"/>
        </w:rPr>
        <w:t>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331.08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154.31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</w:rPr>
        <w:t>1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76.77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黑体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6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</w:t>
      </w:r>
      <w:r>
        <w:rPr>
          <w:rFonts w:hint="default" w:eastAsia="仿宋_GB2312"/>
          <w:sz w:val="32"/>
          <w:szCs w:val="32"/>
          <w:lang w:val="en-US" w:eastAsia="zh-CN"/>
        </w:rPr>
        <w:t>”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660" w:leftChars="0"/>
        <w:jc w:val="center"/>
        <w:textAlignment w:val="auto"/>
        <w:rPr>
          <w:rFonts w:hint="eastAsia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67A168"/>
    <w:multiLevelType w:val="singleLevel"/>
    <w:tmpl w:val="A367A16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xYTIxMmRkZTJhYWYzZDkwN2FkYWQwMjQwNTE5OGMifQ=="/>
  </w:docVars>
  <w:rsids>
    <w:rsidRoot w:val="7A480E09"/>
    <w:rsid w:val="00381040"/>
    <w:rsid w:val="01121D48"/>
    <w:rsid w:val="01343DEA"/>
    <w:rsid w:val="02755ADD"/>
    <w:rsid w:val="02E0549C"/>
    <w:rsid w:val="04706FFA"/>
    <w:rsid w:val="0633208D"/>
    <w:rsid w:val="067D1552"/>
    <w:rsid w:val="068B011B"/>
    <w:rsid w:val="077433C6"/>
    <w:rsid w:val="0AB840D1"/>
    <w:rsid w:val="0CF602B9"/>
    <w:rsid w:val="0D1B1ACD"/>
    <w:rsid w:val="0DB8556E"/>
    <w:rsid w:val="0F0E18EA"/>
    <w:rsid w:val="0F372E29"/>
    <w:rsid w:val="10265EFC"/>
    <w:rsid w:val="12E3422F"/>
    <w:rsid w:val="13426006"/>
    <w:rsid w:val="16AA639C"/>
    <w:rsid w:val="199F44BD"/>
    <w:rsid w:val="1CD83537"/>
    <w:rsid w:val="1E29229C"/>
    <w:rsid w:val="21313216"/>
    <w:rsid w:val="21795815"/>
    <w:rsid w:val="21AD3C31"/>
    <w:rsid w:val="23BB1032"/>
    <w:rsid w:val="241D3D15"/>
    <w:rsid w:val="27C0615F"/>
    <w:rsid w:val="27F04A93"/>
    <w:rsid w:val="285F4B0C"/>
    <w:rsid w:val="28F61421"/>
    <w:rsid w:val="2CAC5212"/>
    <w:rsid w:val="2D8D3ECA"/>
    <w:rsid w:val="2DFB1521"/>
    <w:rsid w:val="2E7A61FC"/>
    <w:rsid w:val="2F3635A1"/>
    <w:rsid w:val="30A02A04"/>
    <w:rsid w:val="30D33DB7"/>
    <w:rsid w:val="315471D8"/>
    <w:rsid w:val="328E35CE"/>
    <w:rsid w:val="34346E4D"/>
    <w:rsid w:val="347F2E35"/>
    <w:rsid w:val="379C71E3"/>
    <w:rsid w:val="3871300E"/>
    <w:rsid w:val="39D44F1F"/>
    <w:rsid w:val="3ADFFAD1"/>
    <w:rsid w:val="3B0A0908"/>
    <w:rsid w:val="3DE91FF8"/>
    <w:rsid w:val="3F7E2CB0"/>
    <w:rsid w:val="3FED3B62"/>
    <w:rsid w:val="42470693"/>
    <w:rsid w:val="44285DD5"/>
    <w:rsid w:val="469D0882"/>
    <w:rsid w:val="47070DC3"/>
    <w:rsid w:val="47547BC4"/>
    <w:rsid w:val="48D45ED7"/>
    <w:rsid w:val="4B101F6A"/>
    <w:rsid w:val="4F730D1A"/>
    <w:rsid w:val="50EFB996"/>
    <w:rsid w:val="518E2B4E"/>
    <w:rsid w:val="52990C42"/>
    <w:rsid w:val="532540D9"/>
    <w:rsid w:val="532C190B"/>
    <w:rsid w:val="53892D9B"/>
    <w:rsid w:val="53A96AB8"/>
    <w:rsid w:val="53DC50DF"/>
    <w:rsid w:val="540134F2"/>
    <w:rsid w:val="55F66200"/>
    <w:rsid w:val="55FA7A9F"/>
    <w:rsid w:val="567929D8"/>
    <w:rsid w:val="568C27AB"/>
    <w:rsid w:val="56D26326"/>
    <w:rsid w:val="56D402F0"/>
    <w:rsid w:val="58871675"/>
    <w:rsid w:val="58F01F9D"/>
    <w:rsid w:val="5B991B08"/>
    <w:rsid w:val="5C846314"/>
    <w:rsid w:val="5CD95758"/>
    <w:rsid w:val="5E062AF9"/>
    <w:rsid w:val="5EDF9A91"/>
    <w:rsid w:val="5EEF0696"/>
    <w:rsid w:val="639808F7"/>
    <w:rsid w:val="63A476A6"/>
    <w:rsid w:val="64045927"/>
    <w:rsid w:val="65DB26B4"/>
    <w:rsid w:val="66486220"/>
    <w:rsid w:val="67833877"/>
    <w:rsid w:val="67FD1577"/>
    <w:rsid w:val="6D41276D"/>
    <w:rsid w:val="6EAC5256"/>
    <w:rsid w:val="6F814935"/>
    <w:rsid w:val="700A4A4F"/>
    <w:rsid w:val="7146307B"/>
    <w:rsid w:val="74A25132"/>
    <w:rsid w:val="76D6459E"/>
    <w:rsid w:val="77C564A7"/>
    <w:rsid w:val="78A82F32"/>
    <w:rsid w:val="78B95140"/>
    <w:rsid w:val="79013314"/>
    <w:rsid w:val="79892D64"/>
    <w:rsid w:val="7A480E09"/>
    <w:rsid w:val="7BF75761"/>
    <w:rsid w:val="7C295765"/>
    <w:rsid w:val="7D522E52"/>
    <w:rsid w:val="7E6E3ACA"/>
    <w:rsid w:val="7EF92AEF"/>
    <w:rsid w:val="7F2AF053"/>
    <w:rsid w:val="7FAA4BB2"/>
    <w:rsid w:val="7FFB49F4"/>
    <w:rsid w:val="9FB79ED5"/>
    <w:rsid w:val="ABBF05C1"/>
    <w:rsid w:val="AFA5E652"/>
    <w:rsid w:val="BEFF05FF"/>
    <w:rsid w:val="BFFCA4AA"/>
    <w:rsid w:val="DCFF62CF"/>
    <w:rsid w:val="DDFD2918"/>
    <w:rsid w:val="DFF984CD"/>
    <w:rsid w:val="ED8F60DB"/>
    <w:rsid w:val="EF8B16BF"/>
    <w:rsid w:val="EFDF0E7F"/>
    <w:rsid w:val="F2D3D1F6"/>
    <w:rsid w:val="F97EE3B4"/>
    <w:rsid w:val="FBCDF439"/>
    <w:rsid w:val="FCFFA29E"/>
    <w:rsid w:val="FEEFF56D"/>
    <w:rsid w:val="FFF72D52"/>
    <w:rsid w:val="FFFE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2703</Words>
  <Characters>2981</Characters>
  <Lines>0</Lines>
  <Paragraphs>0</Paragraphs>
  <TotalTime>2</TotalTime>
  <ScaleCrop>false</ScaleCrop>
  <LinksUpToDate>false</LinksUpToDate>
  <CharactersWithSpaces>2988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2022-02-15T02:22:00Z</dcterms:created>
  <dc:creator>Administrator</dc:creator>
  <cp:lastModifiedBy>熙</cp:lastModifiedBy>
  <cp:lastPrinted>2022-02-21T08:12:00Z</cp:lastPrinted>
  <dcterms:modified xsi:type="dcterms:W3CDTF">2023-10-07T07:30:16Z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FADF29A95DD7481997B98669E56470B8</vt:lpwstr>
  </property>
</Properties>
</file>