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0"/>
        <w:jc w:val="center"/>
        <w:rPr>
          <w:rFonts w:ascii="黑体" w:hAnsi="宋体" w:eastAsia="黑体" w:cs="黑体"/>
          <w:i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2"/>
        <w:jc w:val="center"/>
        <w:rPr>
          <w:rFonts w:ascii="楷体_GB2312" w:hAnsi="Calibri" w:eastAsia="楷体_GB2312" w:cs="楷体_GB2312"/>
          <w:b/>
          <w:i w:val="0"/>
          <w:caps w:val="0"/>
          <w:color w:val="3A3A3A"/>
          <w:spacing w:val="0"/>
          <w:sz w:val="44"/>
          <w:szCs w:val="44"/>
          <w:shd w:val="clear" w:fill="FFFFFF"/>
        </w:rPr>
      </w:pPr>
      <w:r>
        <w:rPr>
          <w:rFonts w:hint="eastAsia" w:ascii="楷体_GB2312" w:hAnsi="Calibri" w:eastAsia="楷体_GB2312" w:cs="楷体_GB2312"/>
          <w:b/>
          <w:i w:val="0"/>
          <w:caps w:val="0"/>
          <w:color w:val="3A3A3A"/>
          <w:spacing w:val="0"/>
          <w:sz w:val="44"/>
          <w:szCs w:val="44"/>
          <w:shd w:val="clear" w:fill="FFFFFF"/>
          <w:lang w:val="en-US" w:eastAsia="zh-CN"/>
        </w:rPr>
        <w:t>2022年湖南省林业科学院部门预算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0"/>
        <w:jc w:val="center"/>
        <w:rPr>
          <w:rFonts w:ascii="黑体" w:hAnsi="宋体" w:eastAsia="黑体" w:cs="黑体"/>
          <w:i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32"/>
          <w:szCs w:val="32"/>
          <w:shd w:val="clear" w:fill="FFFFFF"/>
        </w:rPr>
        <w:t>目</w:t>
      </w: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  <w:shd w:val="clear" w:fill="FFFFFF"/>
        </w:rPr>
        <w:t> 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2"/>
          <w:szCs w:val="32"/>
          <w:shd w:val="clear" w:fill="FFFFFF"/>
        </w:rPr>
        <w:t>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FF0000"/>
          <w:spacing w:val="0"/>
          <w:sz w:val="32"/>
          <w:szCs w:val="3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2"/>
        <w:jc w:val="both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第一部分</w:t>
      </w:r>
      <w:r>
        <w:rPr>
          <w:rFonts w:hint="eastAsia" w:ascii="宋体" w:hAnsi="宋体" w:eastAsia="宋体" w:cs="宋体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 </w:t>
      </w: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2022年单位预算说明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2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第二部分</w:t>
      </w:r>
      <w:r>
        <w:rPr>
          <w:rFonts w:hint="eastAsia" w:ascii="宋体" w:hAnsi="宋体" w:eastAsia="宋体" w:cs="宋体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 </w:t>
      </w: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2022年单位预算表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、收支总表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2、收入总表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3、支出总表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4、支出预算分类汇总表（按政府预算经济分类）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5、支出预算分类汇总表（按部门预算经济分类）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6、财政拨款收支总表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7、一般公共预算支出表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8、一般公共预算基本支出表-人员经费（工资福利支出）（按政府预算经济分类）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9、一般公共预算基本支出表-人员经费（工资福利支出）（按部门预算经济分类）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10、一般公共预算基本支出表-人员经费（对个人和家庭的补助）（按政府预算经济分类）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11、一般公共预算基本支出表-人员经费（对个人和家庭的补助）（按部门预算经济分类）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12、一般公共预算基本支出表-公用经费（商品和服务支出）（按政府预算经济分类）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13、一般公共预算基本支出表-公用经费（商品和服务支出）（按部门预算经济分类）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14、一般公共预算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“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三公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”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经费支出表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15、政府性基金预算支出表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16、政府性基金预算支出分类汇总表（按政府预算经济分类）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17、政府性基金预算支出分类汇总表（按部门预算经济分类）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18、国有资本经营预算支出表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19、财政专户管理资金预算支出表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20、省级专项资金预算汇总表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21、省级专项资金绩效目标表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22、其他项目支出绩效目标表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23、部门整体支出绩效目标表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right="0" w:firstLine="640"/>
        <w:jc w:val="both"/>
        <w:rPr>
          <w:rFonts w:hint="default" w:ascii="Calibri" w:hAnsi="Calibri" w:cs="Calibri"/>
          <w:i w:val="0"/>
          <w:caps w:val="0"/>
          <w:color w:val="3A3A3A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注：以上单位预算报表中，空表表示本单位无相关收支情况。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jc w:val="center"/>
        <w:rPr>
          <w:rFonts w:ascii="方正小标宋_GBK" w:hAnsi="方正小标宋_GBK" w:eastAsia="方正小标宋_GBK" w:cs="方正小标宋_GBK"/>
          <w:i w:val="0"/>
          <w:caps w:val="0"/>
          <w:color w:val="3A3A3A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jc w:val="center"/>
        <w:rPr>
          <w:rFonts w:ascii="方正小标宋_GBK" w:hAnsi="方正小标宋_GBK" w:eastAsia="方正小标宋_GBK" w:cs="方正小标宋_GBK"/>
          <w:i w:val="0"/>
          <w:caps w:val="0"/>
          <w:color w:val="3A3A3A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jc w:val="center"/>
        <w:rPr>
          <w:rFonts w:ascii="方正小标宋_GBK" w:hAnsi="方正小标宋_GBK" w:eastAsia="方正小标宋_GBK" w:cs="方正小标宋_GBK"/>
          <w:i w:val="0"/>
          <w:caps w:val="0"/>
          <w:color w:val="3A3A3A"/>
          <w:spacing w:val="0"/>
          <w:sz w:val="36"/>
          <w:szCs w:val="36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A3A3A"/>
          <w:spacing w:val="0"/>
          <w:sz w:val="36"/>
          <w:szCs w:val="36"/>
          <w:shd w:val="clear" w:fill="FFFFFF"/>
        </w:rPr>
        <w:t>第一部分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6"/>
          <w:szCs w:val="36"/>
          <w:shd w:val="clear" w:fill="FFFFFF"/>
        </w:rPr>
        <w:t> 2022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A3A3A"/>
          <w:spacing w:val="0"/>
          <w:sz w:val="36"/>
          <w:szCs w:val="36"/>
          <w:shd w:val="clear" w:fill="FFFFFF"/>
        </w:rPr>
        <w:t>年单位预算说明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28"/>
          <w:szCs w:val="28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A3A3A"/>
          <w:spacing w:val="0"/>
          <w:sz w:val="32"/>
          <w:szCs w:val="32"/>
          <w:shd w:val="clear" w:fill="FFFFFF"/>
        </w:rPr>
        <w:t>一、单位基本概况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（一）职能职责。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我院是专门从事林业与生态领域科学研究和技术推广的事业单位，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月，经湖南省编制委员会批准为公益一类科研事业单位，重新组建湖南省林业科学院，将湖南省林产品质量检验检测中心并入我院。研究领域包括用材林、经济林、森林生态、森林保护、林产工业、生物质能、环境工程、自然资源与保护地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（二）机构设置。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年机构改革后全院共设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16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个处室，其中管理部门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个、科研业务所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个、测试中心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个、成果转化部门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个。改革后实有人数为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245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人，核定全额编制人数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210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人，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其他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35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人按全额编制人员享受同等待遇。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月末实有在职职工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245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人，退休职工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153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</w:t>
      </w:r>
      <w:r>
        <w:rPr>
          <w:rStyle w:val="5"/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(三）预算构成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预算构成单位包括湖南省林业科学院，无下属单位。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28"/>
          <w:szCs w:val="28"/>
          <w:shd w:val="clear" w:fill="FFFFFF"/>
        </w:rPr>
        <w:t> </w:t>
      </w:r>
      <w:r>
        <w:rPr>
          <w:rFonts w:hint="eastAsia" w:ascii="黑体" w:hAnsi="宋体" w:eastAsia="黑体" w:cs="黑体"/>
          <w:i w:val="0"/>
          <w:caps w:val="0"/>
          <w:color w:val="3A3A3A"/>
          <w:spacing w:val="0"/>
          <w:sz w:val="32"/>
          <w:szCs w:val="32"/>
          <w:shd w:val="clear" w:fill="FFFFFF"/>
        </w:rPr>
        <w:t>二、单位收支总体情况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（一）收入预算：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包括一般公共预算、政府性基金、国有资本经营预算等财政拨款收入，以及经营收入、事业收入等单位资金。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年本单位收入预算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13742.75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万元，其中，一般公共预算拨款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4402.6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万元，政府性基金预算拨款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万元，国有资本经营预算拨款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万元，纳入专户管理的非税收入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万元，上级财政补助收入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621.56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万元，事业收入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4912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万元，其他收入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万元，上年结转结余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3806.59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万元。收入较去年减少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2306.13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万元，主要是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年预算其他收入实际未收到，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年减少该部分预算，且事业收入预算较去年减少。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（二）支出预算：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年本单位支出预算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13742.75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万元，其中，一般公共服务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2.27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万元，科学技术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8101.91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万元，社会保障和就业支出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887.5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万元，节能环保支出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万元，农林水支出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4210.07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万元，交通运输支出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万元，住房保障支出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486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万元。支出较去年减少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2306.13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万元，主要是主要是事业收入等其他收入较去年有所减少。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A3A3A"/>
          <w:spacing w:val="0"/>
          <w:sz w:val="32"/>
          <w:szCs w:val="32"/>
          <w:shd w:val="clear" w:fill="FFFFFF"/>
        </w:rPr>
        <w:t>三、一般公共预算拨款支出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年本单位一般公共预算拨款支出预算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8830.75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万元（含上年结转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3806.59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万元），其中，一般公共服务支出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2.27 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万元，占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0.025 %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；科学技术支出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3189.91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万元，占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36.12%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；社会保障和就业支出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887.5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万元；占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10.05%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；节能环保支出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万元，占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0.17%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；农林水支出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4210.07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万元，占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47.68%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；交通运输支出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万元，占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0.45%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；住房保障支出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486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万元，占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5.5%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。具体安排情况如下：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（一）基本支出：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年本单位基本支出预算数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3902.6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万元，主要是为保障单位机构正常运转、完成日常工作任务而发生的各项支出，包括用于基本工资、津贴补贴等人员经费。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（二）项目支出：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年本单位项目支出预算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4928.15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万元（其中上年结转各类项目资金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3806.59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万元），主要是部门为完成特定工作任务或事业发展目标而发生的支出，包括基本建设支出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500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万元，主要用于省部共建国家重点实验室建设等方面。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A3A3A"/>
          <w:spacing w:val="0"/>
          <w:sz w:val="32"/>
          <w:szCs w:val="32"/>
          <w:shd w:val="clear" w:fill="FFFFFF"/>
        </w:rPr>
        <w:t>四、政府性基金预算支出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年本单位无政府性基金安排的支出。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A3A3A"/>
          <w:spacing w:val="0"/>
          <w:sz w:val="32"/>
          <w:szCs w:val="32"/>
          <w:shd w:val="clear" w:fill="FFFFFF"/>
        </w:rPr>
        <w:t>五、其他重要事项的情况说明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（一）机关运行经费：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年本单位机关运行经费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:0 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万元，比上年预算减少（增加或持平）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万元，下降（上升）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0 %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（二）</w:t>
      </w:r>
      <w:r>
        <w:rPr>
          <w:rFonts w:hint="eastAsia" w:ascii="宋体" w:hAnsi="宋体" w:eastAsia="宋体" w:cs="宋体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“</w:t>
      </w: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三公</w:t>
      </w:r>
      <w:r>
        <w:rPr>
          <w:rFonts w:hint="eastAsia" w:ascii="宋体" w:hAnsi="宋体" w:eastAsia="宋体" w:cs="宋体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”</w:t>
      </w: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经费预算：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年本单位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“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三公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”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经费预算数为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万元，其中，公务接待费0万元，公务用车购置及运行费0万元，因公出国（境）费0万元。2022年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“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三公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”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经费预算较上年持平。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（三）一般性支出情况：2022年本单位会议费预算0万元，拟召开0次会议，人数0人；培训费预算0万元，拟开展0次培训，人数0人；本年度无举办节庆、晚会、论坛、赛事活动等情况。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（四）政府采购情况：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年本部门政府采购预算总额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万元，其中，货物类采购预算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万元；工程类采购预算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万元；服务类采购预算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（注：如某大类无采购预算，则填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“0”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（五）国有资产占用使用及新增资产配置情况：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截至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月底，本单位共有公务用车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辆，其中，机要通信用车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辆，应急保障用车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辆，执法执勤用车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0 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辆，特种专业技术用车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辆，其他按照规定配备的公务用车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5 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辆；单位价值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50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万元以上通用设备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台，单位价值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100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万元以上专用设备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0 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台。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年拟新增配置公务用车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辆，其中，机要通信用车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0 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辆，应急保障用车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辆，执法执勤用车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辆，特种专业技术用车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辆，其他按照规定配备的公务用车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1 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辆；新增配备单位价值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50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万元以上通用设备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台，单位价值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100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万元以上专用设备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0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台。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default" w:ascii="楷体_GB2312" w:hAnsi="Calibri" w:eastAsia="楷体_GB2312" w:cs="楷体_GB2312"/>
          <w:b/>
          <w:i w:val="0"/>
          <w:caps w:val="0"/>
          <w:color w:val="3A3A3A"/>
          <w:spacing w:val="0"/>
          <w:sz w:val="32"/>
          <w:szCs w:val="32"/>
          <w:shd w:val="clear" w:fill="FFFFFF"/>
        </w:rPr>
        <w:t>（六）预算绩效目标说明：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本单位所有支出实行绩效目标管理。纳入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2022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年单位整体支出绩效目标的金额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13742.75 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万元，其中，基本支出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 6214.6 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万元，项目支出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7528.15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万元，具体绩效目标详见报表。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A3A3A"/>
          <w:spacing w:val="0"/>
          <w:sz w:val="32"/>
          <w:szCs w:val="32"/>
          <w:shd w:val="clear" w:fill="FFFFFF"/>
        </w:rPr>
        <w:t>六、名词解释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1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right="0" w:firstLine="0"/>
        <w:rPr>
          <w:rFonts w:hint="default" w:ascii="Calibri" w:hAnsi="Calibri" w:cs="Calibri"/>
          <w:i w:val="0"/>
          <w:caps w:val="0"/>
          <w:color w:val="3A3A3A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2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、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“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三公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”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经费：纳入省（市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/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县）财政预算管理的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“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三公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32"/>
          <w:szCs w:val="32"/>
          <w:shd w:val="clear" w:fill="FFFFFF"/>
        </w:rPr>
        <w:t>“</w:t>
      </w:r>
      <w:r>
        <w:rPr>
          <w:rFonts w:hint="default" w:ascii="仿宋_GB2312" w:hAnsi="Calibri" w:eastAsia="仿宋_GB2312" w:cs="仿宋_GB2312"/>
          <w:i w:val="0"/>
          <w:caps w:val="0"/>
          <w:color w:val="3A3A3A"/>
          <w:spacing w:val="0"/>
          <w:sz w:val="32"/>
          <w:szCs w:val="32"/>
          <w:shd w:val="clear" w:fill="FFFFFF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3A3A3A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28"/>
          <w:szCs w:val="28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3A3A3A"/>
          <w:spacing w:val="0"/>
          <w:sz w:val="28"/>
          <w:szCs w:val="28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caps w:val="0"/>
          <w:color w:val="3A3A3A"/>
          <w:spacing w:val="0"/>
          <w:sz w:val="28"/>
          <w:szCs w:val="28"/>
        </w:rPr>
      </w:pPr>
      <w:bookmarkStart w:id="0" w:name="_GoBack"/>
      <w:bookmarkEnd w:id="0"/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36"/>
          <w:szCs w:val="36"/>
          <w:shd w:val="clear" w:fill="FFFFFF"/>
        </w:rPr>
        <w:t>第二部分</w:t>
      </w:r>
      <w:r>
        <w:rPr>
          <w:rFonts w:hint="eastAsia" w:ascii="宋体" w:hAnsi="宋体" w:eastAsia="宋体" w:cs="宋体"/>
          <w:i w:val="0"/>
          <w:caps w:val="0"/>
          <w:color w:val="3A3A3A"/>
          <w:spacing w:val="0"/>
          <w:sz w:val="24"/>
          <w:szCs w:val="24"/>
          <w:shd w:val="clear" w:fill="FFFFFF"/>
        </w:rPr>
        <w:t> 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sz w:val="36"/>
          <w:szCs w:val="36"/>
          <w:shd w:val="clear" w:fill="FFFFFF"/>
        </w:rPr>
        <w:t>2022年部门预算表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D320A"/>
    <w:rsid w:val="011D320A"/>
    <w:rsid w:val="37C61C0E"/>
    <w:rsid w:val="37EF9492"/>
    <w:rsid w:val="42EB47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2023-10-27T08:52:00Z</dcterms:created>
  <dc:creator>窦英(192.168.104.9)</dc:creator>
  <cp:lastModifiedBy>kylin</cp:lastModifiedBy>
  <dcterms:modified xsi:type="dcterms:W3CDTF">2023-10-27T09:31:46Z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