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jc w:val="center"/>
        <w:rPr>
          <w:sz w:val="56"/>
          <w:szCs w:val="56"/>
        </w:rPr>
      </w:pPr>
    </w:p>
    <w:p>
      <w:pPr>
        <w:pStyle w:val="20"/>
        <w:jc w:val="center"/>
        <w:rPr>
          <w:sz w:val="56"/>
          <w:szCs w:val="56"/>
        </w:rPr>
      </w:pPr>
    </w:p>
    <w:p>
      <w:pPr>
        <w:pStyle w:val="20"/>
        <w:jc w:val="both"/>
        <w:rPr>
          <w:sz w:val="84"/>
          <w:szCs w:val="84"/>
        </w:rPr>
      </w:pPr>
    </w:p>
    <w:p>
      <w:pPr>
        <w:pStyle w:val="20"/>
        <w:jc w:val="both"/>
        <w:rPr>
          <w:sz w:val="84"/>
          <w:szCs w:val="84"/>
        </w:rPr>
      </w:pPr>
    </w:p>
    <w:p>
      <w:pPr>
        <w:pStyle w:val="20"/>
        <w:jc w:val="center"/>
        <w:rPr>
          <w:rFonts w:hint="eastAsia" w:ascii="黑体" w:hAnsi="黑体" w:eastAsia="黑体" w:cs="黑体"/>
          <w:b/>
          <w:bCs/>
          <w:sz w:val="84"/>
          <w:szCs w:val="84"/>
        </w:rPr>
      </w:pPr>
      <w:r>
        <w:rPr>
          <w:rFonts w:hint="eastAsia" w:ascii="黑体" w:hAnsi="黑体" w:eastAsia="黑体" w:cs="黑体"/>
          <w:b/>
          <w:bCs/>
          <w:sz w:val="84"/>
          <w:szCs w:val="84"/>
        </w:rPr>
        <w:t>202</w:t>
      </w:r>
      <w:r>
        <w:rPr>
          <w:rFonts w:hint="eastAsia" w:ascii="黑体" w:hAnsi="黑体" w:eastAsia="黑体" w:cs="黑体"/>
          <w:b/>
          <w:bCs/>
          <w:sz w:val="84"/>
          <w:szCs w:val="84"/>
          <w:lang w:val="en-US" w:eastAsia="zh-CN"/>
        </w:rPr>
        <w:t>2</w:t>
      </w:r>
      <w:r>
        <w:rPr>
          <w:rFonts w:hint="eastAsia" w:ascii="黑体" w:hAnsi="黑体" w:eastAsia="黑体" w:cs="黑体"/>
          <w:b/>
          <w:bCs/>
          <w:sz w:val="84"/>
          <w:szCs w:val="84"/>
        </w:rPr>
        <w:t>年度</w:t>
      </w:r>
    </w:p>
    <w:p>
      <w:pPr>
        <w:pStyle w:val="20"/>
        <w:jc w:val="center"/>
        <w:rPr>
          <w:rFonts w:hint="eastAsia" w:ascii="黑体" w:hAnsi="黑体" w:eastAsia="黑体" w:cs="黑体"/>
          <w:b/>
          <w:bCs/>
          <w:sz w:val="84"/>
          <w:szCs w:val="84"/>
        </w:rPr>
      </w:pPr>
      <w:r>
        <w:rPr>
          <w:rFonts w:hint="eastAsia" w:ascii="黑体" w:hAnsi="黑体" w:eastAsia="黑体" w:cs="黑体"/>
          <w:b/>
          <w:bCs/>
          <w:sz w:val="84"/>
          <w:szCs w:val="84"/>
          <w:lang w:val="en-US" w:eastAsia="zh-CN"/>
        </w:rPr>
        <w:t>邵阳学院部门</w:t>
      </w:r>
      <w:r>
        <w:rPr>
          <w:rFonts w:hint="eastAsia" w:ascii="黑体" w:hAnsi="黑体" w:eastAsia="黑体" w:cs="黑体"/>
          <w:b/>
          <w:bCs/>
          <w:sz w:val="84"/>
          <w:szCs w:val="84"/>
        </w:rPr>
        <w:t>决算</w:t>
      </w:r>
    </w:p>
    <w:p>
      <w:pPr>
        <w:pStyle w:val="20"/>
        <w:jc w:val="center"/>
        <w:rPr>
          <w:sz w:val="56"/>
          <w:szCs w:val="56"/>
        </w:rPr>
      </w:pPr>
    </w:p>
    <w:p>
      <w:pPr>
        <w:pStyle w:val="20"/>
        <w:jc w:val="center"/>
        <w:rPr>
          <w:sz w:val="56"/>
          <w:szCs w:val="56"/>
        </w:rPr>
      </w:pPr>
    </w:p>
    <w:p>
      <w:pPr>
        <w:pStyle w:val="20"/>
        <w:jc w:val="center"/>
        <w:rPr>
          <w:sz w:val="56"/>
          <w:szCs w:val="56"/>
        </w:rPr>
      </w:pPr>
    </w:p>
    <w:p>
      <w:pPr>
        <w:pStyle w:val="20"/>
        <w:spacing w:line="500" w:lineRule="exact"/>
        <w:jc w:val="center"/>
        <w:rPr>
          <w:b/>
          <w:sz w:val="36"/>
          <w:szCs w:val="28"/>
        </w:rPr>
      </w:pPr>
    </w:p>
    <w:p>
      <w:pPr>
        <w:pStyle w:val="20"/>
        <w:spacing w:line="500" w:lineRule="exact"/>
        <w:jc w:val="center"/>
        <w:rPr>
          <w:b/>
          <w:sz w:val="36"/>
          <w:szCs w:val="28"/>
        </w:rPr>
      </w:pPr>
    </w:p>
    <w:p>
      <w:pPr>
        <w:pStyle w:val="20"/>
        <w:spacing w:line="500" w:lineRule="exact"/>
        <w:jc w:val="center"/>
        <w:rPr>
          <w:b/>
          <w:sz w:val="36"/>
          <w:szCs w:val="28"/>
        </w:rPr>
      </w:pPr>
      <w:r>
        <w:rPr>
          <w:rFonts w:hint="eastAsia"/>
          <w:b/>
          <w:sz w:val="36"/>
          <w:szCs w:val="28"/>
        </w:rPr>
        <w:t>目录</w:t>
      </w:r>
    </w:p>
    <w:p>
      <w:pPr>
        <w:pStyle w:val="20"/>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邵阳学院</w:t>
      </w:r>
      <w:r>
        <w:rPr>
          <w:rFonts w:hint="eastAsia"/>
          <w:b/>
          <w:sz w:val="28"/>
          <w:szCs w:val="28"/>
        </w:rPr>
        <w:t>概况</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20"/>
        <w:spacing w:line="500" w:lineRule="exact"/>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int="eastAsia" w:hAnsi="仿宋_GB2312"/>
          <w:b/>
          <w:sz w:val="28"/>
          <w:szCs w:val="28"/>
        </w:rPr>
        <w:t>部门决算表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七、政府性基金预算财政拨款收入支出决算表</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w:t>
      </w:r>
      <w:r>
        <w:rPr>
          <w:rFonts w:hint="eastAsia" w:cs="仿宋_GB2312" w:asciiTheme="minorEastAsia" w:hAnsiTheme="minorEastAsia" w:eastAsiaTheme="minorEastAsia"/>
          <w:sz w:val="28"/>
          <w:szCs w:val="28"/>
        </w:rPr>
        <w:t>国有资本经营预算财政拨款支出决算表</w:t>
      </w:r>
    </w:p>
    <w:p>
      <w:pPr>
        <w:pStyle w:val="20"/>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九、财政拨款“三公”经费支出决算表</w:t>
      </w:r>
    </w:p>
    <w:p>
      <w:pPr>
        <w:pStyle w:val="20"/>
        <w:spacing w:line="500" w:lineRule="exact"/>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int="eastAsia" w:hAnsi="仿宋_GB2312"/>
          <w:b/>
          <w:sz w:val="28"/>
          <w:szCs w:val="28"/>
        </w:rPr>
        <w:t>部门决算情况说明</w:t>
      </w:r>
    </w:p>
    <w:p>
      <w:pPr>
        <w:pStyle w:val="20"/>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2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20"/>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w:t>
      </w:r>
      <w:r>
        <w:rPr>
          <w:rFonts w:hint="eastAsia" w:ascii="仿宋_GB2312" w:hAnsi="仿宋_GB2312" w:cs="仿宋_GB2312" w:eastAsiaTheme="minorEastAsia"/>
          <w:sz w:val="28"/>
          <w:szCs w:val="28"/>
        </w:rPr>
        <w:t>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pPr>
        <w:autoSpaceDE w:val="0"/>
        <w:autoSpaceDN w:val="0"/>
        <w:adjustRightInd w:val="0"/>
        <w:spacing w:line="500" w:lineRule="exact"/>
        <w:jc w:val="left"/>
        <w:rPr>
          <w:rFonts w:hint="default" w:ascii="黑体" w:hAnsi="黑体" w:eastAsia="黑体" w:cs="黑体"/>
          <w:b/>
          <w:color w:val="000000"/>
          <w:kern w:val="0"/>
          <w:sz w:val="28"/>
          <w:szCs w:val="28"/>
          <w:lang w:val="en-US" w:eastAsia="zh-CN"/>
        </w:rPr>
      </w:pPr>
      <w:r>
        <w:rPr>
          <w:rFonts w:hint="eastAsia" w:ascii="黑体" w:hAnsi="黑体" w:eastAsia="黑体" w:cs="黑体"/>
          <w:b/>
          <w:color w:val="000000"/>
          <w:kern w:val="0"/>
          <w:sz w:val="28"/>
          <w:szCs w:val="28"/>
          <w:lang w:val="en-US" w:eastAsia="zh-CN"/>
        </w:rPr>
        <w:t>第五部分 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20"/>
        <w:jc w:val="center"/>
        <w:rPr>
          <w:rFonts w:hint="eastAsia"/>
          <w:sz w:val="84"/>
          <w:szCs w:val="84"/>
        </w:rPr>
      </w:pPr>
    </w:p>
    <w:p>
      <w:pPr>
        <w:pStyle w:val="20"/>
        <w:jc w:val="center"/>
        <w:rPr>
          <w:rFonts w:hint="eastAsia"/>
          <w:sz w:val="84"/>
          <w:szCs w:val="84"/>
        </w:rPr>
      </w:pPr>
    </w:p>
    <w:p>
      <w:pPr>
        <w:pStyle w:val="20"/>
        <w:jc w:val="center"/>
        <w:rPr>
          <w:sz w:val="84"/>
          <w:szCs w:val="84"/>
        </w:rPr>
      </w:pPr>
      <w:r>
        <w:rPr>
          <w:rFonts w:hint="eastAsia"/>
          <w:sz w:val="84"/>
          <w:szCs w:val="84"/>
        </w:rPr>
        <w:t>第一部分</w:t>
      </w:r>
      <w:r>
        <w:rPr>
          <w:sz w:val="84"/>
          <w:szCs w:val="84"/>
        </w:rPr>
        <w:t xml:space="preserve"> </w:t>
      </w:r>
    </w:p>
    <w:p>
      <w:pPr>
        <w:pStyle w:val="20"/>
        <w:jc w:val="center"/>
        <w:rPr>
          <w:sz w:val="84"/>
          <w:szCs w:val="84"/>
        </w:rPr>
      </w:pPr>
    </w:p>
    <w:p>
      <w:pPr>
        <w:pStyle w:val="20"/>
        <w:jc w:val="center"/>
        <w:rPr>
          <w:sz w:val="84"/>
          <w:szCs w:val="84"/>
        </w:rPr>
      </w:pPr>
      <w:r>
        <w:rPr>
          <w:rFonts w:hint="eastAsia"/>
          <w:sz w:val="84"/>
          <w:szCs w:val="84"/>
          <w:lang w:val="en-US" w:eastAsia="zh-CN"/>
        </w:rPr>
        <w:t>邵阳学院</w:t>
      </w: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widowControl/>
        <w:spacing w:line="600" w:lineRule="exact"/>
        <w:ind w:firstLine="627" w:firstLineChars="196"/>
        <w:jc w:val="left"/>
        <w:rPr>
          <w:rFonts w:hint="eastAsia" w:eastAsia="黑体"/>
          <w:kern w:val="0"/>
          <w:sz w:val="32"/>
          <w:szCs w:val="32"/>
        </w:rPr>
      </w:pPr>
      <w:r>
        <w:rPr>
          <w:rFonts w:hint="eastAsia" w:eastAsia="黑体"/>
          <w:kern w:val="0"/>
          <w:sz w:val="32"/>
          <w:szCs w:val="32"/>
          <w:lang w:val="en-US" w:eastAsia="zh-CN"/>
        </w:rPr>
        <w:t>一、</w:t>
      </w:r>
      <w:r>
        <w:rPr>
          <w:rFonts w:hint="eastAsia" w:eastAsia="黑体"/>
          <w:kern w:val="0"/>
          <w:sz w:val="32"/>
          <w:szCs w:val="32"/>
        </w:rPr>
        <w:t>主要职能</w:t>
      </w:r>
    </w:p>
    <w:p>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宋体" w:hAnsi="宋体" w:eastAsia="宋体" w:cs="宋体"/>
          <w:sz w:val="32"/>
        </w:rPr>
      </w:pPr>
      <w:r>
        <w:rPr>
          <w:rFonts w:hint="eastAsia" w:ascii="仿宋" w:hAnsi="仿宋" w:eastAsia="仿宋" w:cs="仿宋"/>
          <w:color w:val="auto"/>
          <w:kern w:val="2"/>
          <w:sz w:val="32"/>
          <w:szCs w:val="22"/>
          <w:lang w:val="en-US" w:eastAsia="zh-CN" w:bidi="ar-SA"/>
        </w:rPr>
        <w:t>邵阳学院是经教育部批准的具有硕士学位研究生招生资格的省属多科性本科院校，教育部和卫生部第一批卓越医生教育培养试点项目单位。学校以工学为主体，以师范、医学为两翼，多学科专业协调发展；以普通全日制本科教育为主，同时积极发展研究生教育；承担着培养专业基础扎实、知识结构合理、创新实践能力较强、潜心服务基层的高素质应用型人才的职能。</w:t>
      </w:r>
    </w:p>
    <w:p>
      <w:pPr>
        <w:widowControl/>
        <w:spacing w:line="600" w:lineRule="exact"/>
        <w:ind w:firstLine="627" w:firstLineChars="196"/>
        <w:jc w:val="left"/>
        <w:rPr>
          <w:rFonts w:eastAsia="黑体"/>
          <w:kern w:val="0"/>
          <w:sz w:val="32"/>
          <w:szCs w:val="32"/>
        </w:rPr>
      </w:pPr>
      <w:r>
        <w:rPr>
          <w:rFonts w:eastAsia="黑体"/>
          <w:kern w:val="0"/>
          <w:sz w:val="32"/>
          <w:szCs w:val="32"/>
        </w:rPr>
        <w:t>二、</w:t>
      </w:r>
      <w:r>
        <w:rPr>
          <w:rFonts w:hint="eastAsia" w:eastAsia="黑体"/>
          <w:kern w:val="0"/>
          <w:sz w:val="32"/>
          <w:szCs w:val="32"/>
          <w:lang w:val="en-US" w:eastAsia="zh-CN"/>
        </w:rPr>
        <w:t>内设机构及决算</w:t>
      </w:r>
      <w:r>
        <w:rPr>
          <w:rFonts w:eastAsia="黑体"/>
          <w:kern w:val="0"/>
          <w:sz w:val="32"/>
          <w:szCs w:val="32"/>
        </w:rPr>
        <w:t>单位构成</w:t>
      </w:r>
    </w:p>
    <w:p>
      <w:pPr>
        <w:numPr>
          <w:ilvl w:val="0"/>
          <w:numId w:val="0"/>
        </w:numPr>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lang w:val="en-US" w:eastAsia="zh-CN"/>
        </w:rPr>
        <w:t>一</w:t>
      </w:r>
      <w:r>
        <w:rPr>
          <w:rFonts w:hint="eastAsia" w:ascii="仿宋_GB2312" w:hAnsi="仿宋" w:eastAsia="仿宋_GB2312"/>
          <w:sz w:val="32"/>
          <w:szCs w:val="32"/>
          <w:highlight w:val="none"/>
          <w:lang w:eastAsia="zh-CN"/>
        </w:rPr>
        <w:t>）</w:t>
      </w:r>
      <w:r>
        <w:rPr>
          <w:rFonts w:hint="eastAsia" w:ascii="仿宋" w:hAnsi="仿宋" w:eastAsia="仿宋" w:cs="Calibri"/>
          <w:kern w:val="2"/>
          <w:sz w:val="32"/>
          <w:szCs w:val="21"/>
          <w:highlight w:val="none"/>
          <w:lang w:val="en-US" w:eastAsia="zh-CN" w:bidi="ar-SA"/>
        </w:rPr>
        <w:t>内设机构情况</w:t>
      </w:r>
    </w:p>
    <w:p>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 w:hAnsi="仿宋" w:eastAsia="仿宋" w:cs="仿宋"/>
          <w:color w:val="auto"/>
          <w:kern w:val="2"/>
          <w:sz w:val="32"/>
          <w:szCs w:val="22"/>
          <w:lang w:val="en-US" w:eastAsia="zh-CN" w:bidi="ar-SA"/>
        </w:rPr>
      </w:pPr>
      <w:r>
        <w:rPr>
          <w:rFonts w:hint="eastAsia" w:ascii="仿宋" w:hAnsi="仿宋" w:eastAsia="仿宋" w:cs="仿宋"/>
          <w:color w:val="auto"/>
          <w:kern w:val="2"/>
          <w:sz w:val="32"/>
          <w:szCs w:val="22"/>
          <w:lang w:val="en-US" w:eastAsia="zh-CN" w:bidi="ar-SA"/>
        </w:rPr>
        <w:t>为贯彻落实高等教育综合改革，提升办学水平，学校设有党政办公室等21个党政管理机构、工会、团委2个群团组织、基建与后勤服务中心等6个教辅机构、马克思主义学院等22个教学机构、2个直属机构附属第一和第二医院。</w:t>
      </w:r>
    </w:p>
    <w:p>
      <w:pPr>
        <w:pStyle w:val="2"/>
        <w:rPr>
          <w:rFonts w:hint="eastAsia" w:eastAsia="仿宋_GB2312"/>
          <w:sz w:val="32"/>
          <w:szCs w:val="32"/>
          <w:lang w:val="en-US" w:eastAsia="zh-CN"/>
        </w:rPr>
      </w:pPr>
      <w:r>
        <w:rPr>
          <w:rFonts w:hint="eastAsia" w:ascii="仿宋" w:hAnsi="仿宋" w:eastAsia="仿宋"/>
          <w:sz w:val="32"/>
          <w:highlight w:val="none"/>
          <w:lang w:eastAsia="zh-CN"/>
        </w:rPr>
        <w:t>（</w:t>
      </w:r>
      <w:r>
        <w:rPr>
          <w:rFonts w:hint="eastAsia" w:ascii="仿宋" w:hAnsi="仿宋" w:eastAsia="仿宋"/>
          <w:sz w:val="32"/>
          <w:highlight w:val="none"/>
          <w:lang w:val="en-US" w:eastAsia="zh-CN"/>
        </w:rPr>
        <w:t>二</w:t>
      </w:r>
      <w:r>
        <w:rPr>
          <w:rFonts w:hint="eastAsia" w:ascii="仿宋" w:hAnsi="仿宋" w:eastAsia="仿宋"/>
          <w:sz w:val="32"/>
          <w:highlight w:val="none"/>
          <w:lang w:eastAsia="zh-CN"/>
        </w:rPr>
        <w:t>）</w:t>
      </w:r>
      <w:r>
        <w:rPr>
          <w:rFonts w:hint="eastAsia" w:ascii="仿宋" w:hAnsi="仿宋" w:eastAsia="仿宋"/>
          <w:sz w:val="32"/>
          <w:highlight w:val="none"/>
          <w:lang w:val="en-US" w:eastAsia="zh-CN"/>
        </w:rPr>
        <w:t>决算单位构成</w:t>
      </w:r>
    </w:p>
    <w:p>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 w:hAnsi="仿宋" w:eastAsia="仿宋" w:cs="仿宋"/>
          <w:color w:val="auto"/>
          <w:kern w:val="2"/>
          <w:sz w:val="32"/>
          <w:szCs w:val="22"/>
          <w:lang w:val="en-US" w:eastAsia="zh-CN" w:bidi="ar-SA"/>
        </w:rPr>
      </w:pPr>
      <w:r>
        <w:rPr>
          <w:rFonts w:hint="eastAsia" w:ascii="仿宋" w:hAnsi="仿宋" w:eastAsia="仿宋" w:cs="仿宋"/>
          <w:color w:val="auto"/>
          <w:kern w:val="2"/>
          <w:sz w:val="32"/>
          <w:szCs w:val="22"/>
          <w:lang w:val="en-US" w:eastAsia="zh-CN" w:bidi="ar-SA"/>
        </w:rPr>
        <w:t>邵阳学院只有本级，没有其他决算单位，因此本单位预算仅含本级决算。</w:t>
      </w:r>
    </w:p>
    <w:p>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仿宋" w:hAnsi="仿宋" w:eastAsia="仿宋" w:cs="仿宋"/>
          <w:color w:val="auto"/>
          <w:kern w:val="2"/>
          <w:sz w:val="32"/>
          <w:szCs w:val="22"/>
          <w:lang w:val="en-US" w:eastAsia="zh-CN" w:bidi="ar-SA"/>
        </w:rPr>
      </w:pPr>
    </w:p>
    <w:p>
      <w:pPr>
        <w:jc w:val="left"/>
        <w:rPr>
          <w:rFonts w:ascii="仿宋_GB2312" w:eastAsia="仿宋_GB2312" w:hAnsiTheme="minorEastAsia"/>
          <w:sz w:val="28"/>
          <w:szCs w:val="32"/>
        </w:rPr>
      </w:pPr>
    </w:p>
    <w:p>
      <w:pPr>
        <w:jc w:val="left"/>
        <w:rPr>
          <w:rFonts w:ascii="仿宋_GB2312" w:eastAsia="仿宋_GB2312" w:hAnsiTheme="minorEastAsia"/>
          <w:sz w:val="28"/>
          <w:szCs w:val="32"/>
        </w:rPr>
      </w:pPr>
    </w:p>
    <w:p>
      <w:pPr>
        <w:jc w:val="center"/>
        <w:rPr>
          <w:sz w:val="72"/>
          <w:szCs w:val="72"/>
        </w:rPr>
      </w:pPr>
    </w:p>
    <w:p>
      <w:pPr>
        <w:jc w:val="center"/>
        <w:rPr>
          <w:sz w:val="72"/>
          <w:szCs w:val="72"/>
        </w:rPr>
      </w:pPr>
    </w:p>
    <w:p>
      <w:pPr>
        <w:jc w:val="center"/>
        <w:rPr>
          <w:rFonts w:hint="eastAsia"/>
          <w:sz w:val="72"/>
          <w:szCs w:val="72"/>
        </w:rPr>
      </w:pPr>
    </w:p>
    <w:p>
      <w:pPr>
        <w:pStyle w:val="20"/>
        <w:jc w:val="center"/>
        <w:rPr>
          <w:rFonts w:hint="eastAsia"/>
          <w:sz w:val="84"/>
          <w:szCs w:val="84"/>
        </w:rPr>
      </w:pPr>
      <w:r>
        <w:rPr>
          <w:rFonts w:hint="eastAsia"/>
          <w:sz w:val="84"/>
          <w:szCs w:val="84"/>
        </w:rPr>
        <w:t>第二部分</w:t>
      </w:r>
    </w:p>
    <w:p>
      <w:pPr>
        <w:pStyle w:val="20"/>
        <w:jc w:val="center"/>
        <w:rPr>
          <w:rFonts w:hint="eastAsia"/>
          <w:sz w:val="84"/>
          <w:szCs w:val="84"/>
        </w:rPr>
      </w:pPr>
    </w:p>
    <w:p>
      <w:pPr>
        <w:pStyle w:val="20"/>
        <w:jc w:val="center"/>
        <w:rPr>
          <w:rFonts w:hint="eastAsia"/>
          <w:sz w:val="84"/>
          <w:szCs w:val="84"/>
        </w:rPr>
      </w:pPr>
      <w:r>
        <w:rPr>
          <w:rFonts w:hint="eastAsia"/>
          <w:sz w:val="84"/>
          <w:szCs w:val="84"/>
        </w:rPr>
        <w:t>部门决算表</w:t>
      </w:r>
    </w:p>
    <w:p>
      <w:pPr>
        <w:pStyle w:val="20"/>
        <w:jc w:val="center"/>
        <w:rPr>
          <w:rFonts w:hint="eastAsia"/>
          <w:sz w:val="84"/>
          <w:szCs w:val="84"/>
          <w:lang w:val="en-US" w:eastAsia="zh-CN"/>
        </w:rPr>
        <w:sectPr>
          <w:pgSz w:w="16838" w:h="11906" w:orient="landscape"/>
          <w:pgMar w:top="720" w:right="720" w:bottom="720" w:left="720" w:header="851" w:footer="992" w:gutter="0"/>
          <w:cols w:space="425" w:num="1"/>
          <w:docGrid w:type="lines" w:linePitch="312" w:charSpace="0"/>
        </w:sectPr>
      </w:pPr>
      <w:r>
        <w:rPr>
          <w:rFonts w:hint="eastAsia"/>
          <w:sz w:val="84"/>
          <w:szCs w:val="84"/>
          <w:lang w:val="en-US" w:eastAsia="zh-CN"/>
        </w:rPr>
        <w:t>（见附件）</w:t>
      </w:r>
    </w:p>
    <w:p>
      <w:pPr>
        <w:pStyle w:val="20"/>
        <w:rPr>
          <w:sz w:val="72"/>
          <w:szCs w:val="72"/>
        </w:rPr>
      </w:pPr>
    </w:p>
    <w:p>
      <w:pPr>
        <w:pStyle w:val="20"/>
        <w:rPr>
          <w:sz w:val="72"/>
          <w:szCs w:val="72"/>
        </w:rPr>
      </w:pPr>
    </w:p>
    <w:p>
      <w:pPr>
        <w:pStyle w:val="20"/>
        <w:rPr>
          <w:sz w:val="72"/>
          <w:szCs w:val="72"/>
        </w:rPr>
      </w:pPr>
    </w:p>
    <w:p>
      <w:pPr>
        <w:pStyle w:val="20"/>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r>
        <w:rPr>
          <w:rFonts w:hint="eastAsia"/>
          <w:sz w:val="72"/>
          <w:szCs w:val="72"/>
        </w:rPr>
        <w:t>第三部分</w:t>
      </w:r>
    </w:p>
    <w:p>
      <w:pPr>
        <w:pStyle w:val="20"/>
        <w:jc w:val="center"/>
        <w:rPr>
          <w:sz w:val="70"/>
          <w:szCs w:val="70"/>
        </w:rPr>
      </w:pPr>
    </w:p>
    <w:p>
      <w:pPr>
        <w:pStyle w:val="20"/>
        <w:jc w:val="center"/>
        <w:rPr>
          <w:sz w:val="70"/>
          <w:szCs w:val="70"/>
        </w:rPr>
      </w:pPr>
      <w:r>
        <w:rPr>
          <w:sz w:val="70"/>
          <w:szCs w:val="70"/>
        </w:rPr>
        <w:t>20</w:t>
      </w:r>
      <w:r>
        <w:rPr>
          <w:rFonts w:hint="eastAsia"/>
          <w:sz w:val="70"/>
          <w:szCs w:val="70"/>
        </w:rPr>
        <w:t>2</w:t>
      </w:r>
      <w:r>
        <w:rPr>
          <w:rFonts w:hint="eastAsia"/>
          <w:sz w:val="70"/>
          <w:szCs w:val="70"/>
          <w:lang w:val="en-US" w:eastAsia="zh-CN"/>
        </w:rPr>
        <w:t>2</w:t>
      </w:r>
      <w:r>
        <w:rPr>
          <w:rFonts w:hint="eastAsia"/>
          <w:sz w:val="70"/>
          <w:szCs w:val="70"/>
        </w:rPr>
        <w:t>年度部门决算情况说明</w:t>
      </w:r>
    </w:p>
    <w:p>
      <w:pPr>
        <w:widowControl/>
        <w:jc w:val="left"/>
        <w:rPr>
          <w:rFonts w:asciiTheme="minorEastAsia" w:hAnsiTheme="minorEastAsia" w:eastAsiaTheme="minorEastAsia"/>
          <w:sz w:val="32"/>
          <w:szCs w:val="32"/>
        </w:rPr>
      </w:pPr>
      <w:r>
        <w:rPr>
          <w:sz w:val="70"/>
          <w:szCs w:val="70"/>
        </w:rPr>
        <w:br w:type="page"/>
      </w:r>
    </w:p>
    <w:p>
      <w:pPr>
        <w:pStyle w:val="20"/>
        <w:rPr>
          <w:rFonts w:hAnsi="黑体"/>
          <w:b/>
          <w:sz w:val="32"/>
          <w:szCs w:val="32"/>
        </w:rPr>
      </w:pPr>
      <w:r>
        <w:rPr>
          <w:rFonts w:hint="eastAsia" w:hAnsi="黑体"/>
          <w:b/>
          <w:sz w:val="32"/>
          <w:szCs w:val="32"/>
        </w:rPr>
        <w:t>一、收入支出决算总体情况说明</w:t>
      </w:r>
    </w:p>
    <w:p>
      <w:pPr>
        <w:pStyle w:val="2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w:t>
      </w:r>
      <w:r>
        <w:rPr>
          <w:rFonts w:hint="eastAsia" w:asciiTheme="minorEastAsia" w:hAnsiTheme="minorEastAsia" w:eastAsiaTheme="minorEastAsia"/>
          <w:sz w:val="32"/>
          <w:szCs w:val="32"/>
          <w:lang w:val="en-US" w:eastAsia="zh-CN"/>
        </w:rPr>
        <w:t>收入总计56027.73</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val="en-US" w:eastAsia="zh-CN"/>
        </w:rPr>
        <w:t>减少30750.88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减少35.44</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根据审计意见调整了其他收入。</w:t>
      </w: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w:t>
      </w:r>
      <w:r>
        <w:rPr>
          <w:rFonts w:hint="eastAsia" w:asciiTheme="minorEastAsia" w:hAnsiTheme="minorEastAsia" w:eastAsiaTheme="minorEastAsia"/>
          <w:sz w:val="32"/>
          <w:szCs w:val="32"/>
          <w:lang w:val="en-US" w:eastAsia="zh-CN"/>
        </w:rPr>
        <w:t>支出总计60424.39</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val="en-US" w:eastAsia="zh-CN"/>
        </w:rPr>
        <w:t>减少29097.37</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减少32.50</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根据审计意见调整了其他支出</w:t>
      </w:r>
      <w:r>
        <w:rPr>
          <w:rFonts w:hint="eastAsia" w:asciiTheme="minorEastAsia" w:hAnsiTheme="minorEastAsia" w:eastAsiaTheme="minorEastAsia"/>
          <w:sz w:val="32"/>
          <w:szCs w:val="32"/>
        </w:rPr>
        <w:t>。</w:t>
      </w:r>
    </w:p>
    <w:p>
      <w:pPr>
        <w:pStyle w:val="20"/>
        <w:rPr>
          <w:rFonts w:hint="eastAsia" w:hAnsi="黑体"/>
          <w:b/>
          <w:sz w:val="32"/>
          <w:szCs w:val="32"/>
        </w:rPr>
      </w:pPr>
      <w:r>
        <w:rPr>
          <w:rFonts w:hint="eastAsia" w:hAnsi="黑体"/>
          <w:b/>
          <w:sz w:val="32"/>
          <w:szCs w:val="32"/>
        </w:rPr>
        <w:t>二、收入决算情况说明</w:t>
      </w:r>
    </w:p>
    <w:p>
      <w:pPr>
        <w:pStyle w:val="2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56027.73</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34147.69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60.95</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19626.60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35.03</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2253.44</w:t>
      </w:r>
      <w:r>
        <w:rPr>
          <w:rFonts w:hint="eastAsia" w:asciiTheme="minorEastAsia" w:hAnsiTheme="minorEastAsia" w:eastAsiaTheme="minorEastAsia"/>
          <w:sz w:val="32"/>
          <w:szCs w:val="32"/>
        </w:rPr>
        <w:t xml:space="preserve"> 万元，占</w:t>
      </w:r>
      <w:r>
        <w:rPr>
          <w:rFonts w:hint="eastAsia" w:asciiTheme="minorEastAsia" w:hAnsiTheme="minorEastAsia" w:eastAsiaTheme="minorEastAsia"/>
          <w:sz w:val="32"/>
          <w:szCs w:val="32"/>
          <w:lang w:val="en-US" w:eastAsia="zh-CN"/>
        </w:rPr>
        <w:t>4.02%</w:t>
      </w:r>
      <w:r>
        <w:rPr>
          <w:rFonts w:hint="eastAsia" w:asciiTheme="minorEastAsia" w:hAnsiTheme="minorEastAsia" w:eastAsiaTheme="minorEastAsia"/>
          <w:sz w:val="32"/>
          <w:szCs w:val="32"/>
        </w:rPr>
        <w:t>。</w:t>
      </w:r>
    </w:p>
    <w:p>
      <w:pPr>
        <w:pStyle w:val="20"/>
        <w:rPr>
          <w:rFonts w:hint="eastAsia" w:hAnsi="黑体"/>
          <w:b/>
          <w:sz w:val="32"/>
          <w:szCs w:val="32"/>
        </w:rPr>
      </w:pPr>
      <w:r>
        <w:rPr>
          <w:rFonts w:hint="eastAsia" w:hAnsi="黑体"/>
          <w:b/>
          <w:sz w:val="32"/>
          <w:szCs w:val="32"/>
        </w:rPr>
        <w:t>三、支出决算情况说明</w:t>
      </w:r>
    </w:p>
    <w:p>
      <w:pPr>
        <w:pStyle w:val="20"/>
        <w:ind w:firstLine="640" w:firstLineChars="200"/>
        <w:rPr>
          <w:rFonts w:asciiTheme="minorEastAsia" w:hAnsiTheme="minorEastAsia" w:eastAsiaTheme="minorEastAsia"/>
          <w:sz w:val="32"/>
          <w:szCs w:val="32"/>
        </w:rPr>
      </w:pPr>
      <w:r>
        <w:rPr>
          <w:rFonts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60424.39</w:t>
      </w:r>
      <w:r>
        <w:rPr>
          <w:rFonts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42462.64</w:t>
      </w:r>
      <w:r>
        <w:rPr>
          <w:rFonts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70.27</w:t>
      </w:r>
      <w:r>
        <w:rPr>
          <w:rFonts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17961.75</w:t>
      </w:r>
      <w:r>
        <w:rPr>
          <w:rFonts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29.73%</w:t>
      </w:r>
      <w:r>
        <w:rPr>
          <w:rFonts w:asciiTheme="minorEastAsia" w:hAnsiTheme="minorEastAsia" w:eastAsiaTheme="minorEastAsia"/>
          <w:sz w:val="32"/>
          <w:szCs w:val="32"/>
        </w:rPr>
        <w:t>。</w:t>
      </w:r>
    </w:p>
    <w:p>
      <w:pPr>
        <w:pStyle w:val="20"/>
        <w:rPr>
          <w:rFonts w:hAnsi="黑体"/>
          <w:b/>
          <w:sz w:val="32"/>
          <w:szCs w:val="32"/>
        </w:rPr>
      </w:pPr>
      <w:r>
        <w:rPr>
          <w:rFonts w:hint="eastAsia" w:hAnsi="黑体"/>
          <w:b/>
          <w:sz w:val="32"/>
          <w:szCs w:val="32"/>
        </w:rPr>
        <w:t>四、财政拨款收入支出决算总体情况说明</w:t>
      </w:r>
    </w:p>
    <w:p>
      <w:pPr>
        <w:pStyle w:val="20"/>
        <w:ind w:firstLine="64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年度财政拨款收</w:t>
      </w:r>
      <w:r>
        <w:rPr>
          <w:rFonts w:hint="eastAsia" w:asciiTheme="minorEastAsia" w:hAnsiTheme="minorEastAsia" w:eastAsiaTheme="minorEastAsia"/>
          <w:sz w:val="32"/>
          <w:szCs w:val="32"/>
          <w:lang w:val="en-US" w:eastAsia="zh-CN"/>
        </w:rPr>
        <w:t>入</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34147.69</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136.36</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0.40</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财政拨款增加。</w:t>
      </w:r>
    </w:p>
    <w:p>
      <w:pPr>
        <w:pStyle w:val="2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 xml:space="preserve"> </w:t>
      </w:r>
      <w:r>
        <w:rPr>
          <w:rFonts w:hint="eastAsia" w:asciiTheme="minorEastAsia" w:hAnsiTheme="minorEastAsia" w:eastAsiaTheme="minorEastAsia"/>
          <w:sz w:val="32"/>
          <w:szCs w:val="32"/>
          <w:lang w:val="en-US" w:eastAsia="zh-CN"/>
        </w:rPr>
        <w:t xml:space="preserve">   </w:t>
      </w: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年度财政拨款</w:t>
      </w:r>
      <w:r>
        <w:rPr>
          <w:rFonts w:hint="eastAsia" w:asciiTheme="minorEastAsia" w:hAnsiTheme="minorEastAsia" w:eastAsiaTheme="minorEastAsia"/>
          <w:sz w:val="32"/>
          <w:szCs w:val="32"/>
          <w:lang w:val="en-US" w:eastAsia="zh-CN"/>
        </w:rPr>
        <w:t>支出</w:t>
      </w:r>
      <w:r>
        <w:rPr>
          <w:rFonts w:hint="eastAsia" w:asciiTheme="minorEastAsia" w:hAnsiTheme="minorEastAsia" w:eastAsiaTheme="minorEastAsia"/>
          <w:sz w:val="32"/>
          <w:szCs w:val="32"/>
        </w:rPr>
        <w:t>总计</w:t>
      </w:r>
      <w:r>
        <w:rPr>
          <w:rFonts w:hint="eastAsia" w:asciiTheme="minorEastAsia" w:hAnsiTheme="minorEastAsia" w:eastAsiaTheme="minorEastAsia"/>
          <w:sz w:val="32"/>
          <w:szCs w:val="32"/>
          <w:lang w:val="en-US" w:eastAsia="zh-CN"/>
        </w:rPr>
        <w:t>34069.06</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val="en-US" w:eastAsia="zh-CN"/>
        </w:rPr>
        <w:t>减少200.48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减少0.59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财政拨款拨付较晚，来不及使用。</w:t>
      </w:r>
    </w:p>
    <w:p>
      <w:pPr>
        <w:pStyle w:val="20"/>
        <w:rPr>
          <w:rFonts w:hAnsi="黑体"/>
          <w:b/>
          <w:sz w:val="32"/>
          <w:szCs w:val="32"/>
        </w:rPr>
      </w:pPr>
      <w:r>
        <w:rPr>
          <w:rFonts w:hint="eastAsia" w:hAnsi="黑体"/>
          <w:b/>
          <w:sz w:val="32"/>
          <w:szCs w:val="32"/>
        </w:rPr>
        <w:t>五、一般公共预算财政拨款支出决算情况说明</w:t>
      </w:r>
    </w:p>
    <w:p>
      <w:pPr>
        <w:pStyle w:val="20"/>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34069.06</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56.38</w:t>
      </w:r>
      <w:r>
        <w:rPr>
          <w:rFonts w:hint="eastAsia" w:asciiTheme="minorEastAsia" w:hAnsiTheme="minorEastAsia" w:eastAsiaTheme="minorEastAsia"/>
          <w:sz w:val="32"/>
          <w:szCs w:val="32"/>
        </w:rPr>
        <w:t>%，与上年相比，财政拨款支出</w:t>
      </w:r>
      <w:r>
        <w:rPr>
          <w:rFonts w:hint="eastAsia" w:asciiTheme="minorEastAsia" w:hAnsiTheme="minorEastAsia" w:eastAsiaTheme="minorEastAsia"/>
          <w:sz w:val="32"/>
          <w:szCs w:val="32"/>
          <w:lang w:val="en-US" w:eastAsia="zh-CN"/>
        </w:rPr>
        <w:t>减少200.48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减少0.59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财政拨款拨付不及时。</w:t>
      </w:r>
    </w:p>
    <w:p>
      <w:pPr>
        <w:pStyle w:val="20"/>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20"/>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年度财政拨款支出</w:t>
      </w:r>
      <w:r>
        <w:rPr>
          <w:rFonts w:hint="eastAsia" w:asciiTheme="minorEastAsia" w:hAnsiTheme="minorEastAsia" w:eastAsiaTheme="minorEastAsia"/>
          <w:sz w:val="32"/>
          <w:szCs w:val="32"/>
          <w:lang w:val="en-US" w:eastAsia="zh-CN"/>
        </w:rPr>
        <w:t>34069.06</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50.00</w:t>
      </w:r>
      <w:r>
        <w:rPr>
          <w:rFonts w:hint="eastAsia" w:asciiTheme="minorEastAsia" w:hAnsiTheme="minorEastAsia" w:eastAsiaTheme="minorEastAsia"/>
          <w:sz w:val="32"/>
          <w:szCs w:val="32"/>
        </w:rPr>
        <w:t>万元，占0.</w:t>
      </w:r>
      <w:r>
        <w:rPr>
          <w:rFonts w:hint="eastAsia" w:asciiTheme="minorEastAsia" w:hAnsiTheme="minorEastAsia" w:eastAsiaTheme="minorEastAsia"/>
          <w:sz w:val="32"/>
          <w:szCs w:val="32"/>
          <w:lang w:val="en-US" w:eastAsia="zh-CN"/>
        </w:rPr>
        <w:t>15</w:t>
      </w:r>
      <w:r>
        <w:rPr>
          <w:rFonts w:hint="eastAsia" w:asciiTheme="minorEastAsia" w:hAnsiTheme="minorEastAsia" w:eastAsiaTheme="minorEastAsia"/>
          <w:sz w:val="32"/>
          <w:szCs w:val="32"/>
        </w:rPr>
        <w:t>%；教育（类）支出</w:t>
      </w:r>
      <w:r>
        <w:rPr>
          <w:rFonts w:hint="eastAsia" w:asciiTheme="minorEastAsia" w:hAnsiTheme="minorEastAsia" w:eastAsiaTheme="minorEastAsia"/>
          <w:sz w:val="32"/>
          <w:szCs w:val="32"/>
          <w:lang w:val="en-US" w:eastAsia="zh-CN"/>
        </w:rPr>
        <w:t xml:space="preserve">33342.10 </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97.87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科学技术支出128.30万元，占比0.38%</w:t>
      </w:r>
      <w:r>
        <w:rPr>
          <w:rFonts w:hint="eastAsia" w:asciiTheme="minorEastAsia" w:hAnsiTheme="minorEastAsia" w:eastAsiaTheme="minorEastAsia"/>
          <w:sz w:val="32"/>
          <w:szCs w:val="32"/>
        </w:rPr>
        <w:t>；社会保障和就业支出</w:t>
      </w:r>
      <w:r>
        <w:rPr>
          <w:rFonts w:hint="eastAsia" w:asciiTheme="minorEastAsia" w:hAnsiTheme="minorEastAsia" w:eastAsiaTheme="minorEastAsia"/>
          <w:sz w:val="32"/>
          <w:szCs w:val="32"/>
          <w:lang w:val="en-US" w:eastAsia="zh-CN"/>
        </w:rPr>
        <w:t>24.06万元，占比0.07%；卫生健康支出509.6万元；占比1.50%；节能环保支出15万元，占比0.04%。</w:t>
      </w:r>
    </w:p>
    <w:p>
      <w:pPr>
        <w:pStyle w:val="20"/>
        <w:ind w:firstLine="800" w:firstLineChars="250"/>
        <w:rPr>
          <w:rFonts w:asciiTheme="minorEastAsia" w:hAnsiTheme="minorEastAsia" w:eastAsiaTheme="minorEastAsia"/>
          <w:b/>
          <w:sz w:val="32"/>
          <w:szCs w:val="32"/>
          <w:highlight w:val="none"/>
        </w:rPr>
      </w:pPr>
      <w:r>
        <w:rPr>
          <w:rFonts w:hint="eastAsia" w:asciiTheme="minorEastAsia" w:hAnsiTheme="minorEastAsia" w:eastAsiaTheme="minorEastAsia"/>
          <w:b/>
          <w:sz w:val="32"/>
          <w:szCs w:val="32"/>
          <w:highlight w:val="none"/>
        </w:rPr>
        <w:t>（三）财政拨款支出决算具体情况</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年度财政拨款支出年初预算数为</w:t>
      </w:r>
      <w:r>
        <w:rPr>
          <w:rFonts w:hint="eastAsia" w:asciiTheme="minorEastAsia" w:hAnsiTheme="minorEastAsia" w:eastAsiaTheme="minorEastAsia"/>
          <w:sz w:val="32"/>
          <w:szCs w:val="32"/>
          <w:lang w:val="en-US" w:eastAsia="zh-CN"/>
        </w:rPr>
        <w:t>27395.85</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34069.06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124.36</w:t>
      </w:r>
      <w:r>
        <w:rPr>
          <w:rFonts w:hint="eastAsia" w:asciiTheme="minorEastAsia" w:hAnsiTheme="minorEastAsia" w:eastAsiaTheme="minorEastAsia"/>
          <w:sz w:val="32"/>
          <w:szCs w:val="32"/>
        </w:rPr>
        <w:t>%，其中：</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w:t>
      </w:r>
      <w:r>
        <w:rPr>
          <w:rFonts w:hint="eastAsia" w:asciiTheme="minorEastAsia" w:hAnsiTheme="minorEastAsia" w:eastAsiaTheme="minorEastAsia"/>
          <w:sz w:val="32"/>
          <w:szCs w:val="32"/>
          <w:lang w:val="en-US" w:eastAsia="zh-CN"/>
        </w:rPr>
        <w:t>支出</w:t>
      </w:r>
      <w:r>
        <w:rPr>
          <w:rFonts w:hint="eastAsia" w:asciiTheme="minorEastAsia" w:hAnsiTheme="minorEastAsia" w:eastAsiaTheme="minorEastAsia"/>
          <w:sz w:val="32"/>
          <w:szCs w:val="32"/>
        </w:rPr>
        <w:t>。</w:t>
      </w:r>
    </w:p>
    <w:p>
      <w:pPr>
        <w:pStyle w:val="2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50.00</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val="en-US" w:eastAsia="zh-CN"/>
        </w:rPr>
        <w:t>发展与改革事务增加。</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2、教育（类）支出。</w:t>
      </w:r>
    </w:p>
    <w:p>
      <w:pPr>
        <w:pStyle w:val="20"/>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27280.65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33342.10</w:t>
      </w:r>
      <w:r>
        <w:rPr>
          <w:rFonts w:hint="eastAsia" w:asciiTheme="minorEastAsia" w:hAnsiTheme="minorEastAsia" w:eastAsiaTheme="minorEastAsia"/>
          <w:sz w:val="32"/>
          <w:szCs w:val="32"/>
        </w:rPr>
        <w:t>万元，完成年初预算的1</w:t>
      </w:r>
      <w:r>
        <w:rPr>
          <w:rFonts w:hint="eastAsia" w:asciiTheme="minorEastAsia" w:hAnsiTheme="minorEastAsia" w:eastAsiaTheme="minorEastAsia"/>
          <w:sz w:val="32"/>
          <w:szCs w:val="32"/>
          <w:lang w:val="en-US" w:eastAsia="zh-CN"/>
        </w:rPr>
        <w:t>23.44</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w:t>
      </w:r>
      <w:r>
        <w:rPr>
          <w:rFonts w:hint="eastAsia" w:asciiTheme="minorEastAsia" w:hAnsiTheme="minorEastAsia" w:eastAsiaTheme="minorEastAsia"/>
          <w:sz w:val="32"/>
          <w:szCs w:val="32"/>
        </w:rPr>
        <w:t>于年初预算数的主要原因是：</w:t>
      </w:r>
      <w:r>
        <w:rPr>
          <w:rFonts w:hint="eastAsia" w:asciiTheme="minorEastAsia" w:hAnsiTheme="minorEastAsia" w:eastAsiaTheme="minorEastAsia"/>
          <w:sz w:val="32"/>
          <w:szCs w:val="32"/>
          <w:lang w:val="en-US" w:eastAsia="zh-CN"/>
        </w:rPr>
        <w:t>其他商品和服务支出增加，助学金增加，资本性支出增加。</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科学技术支出</w:t>
      </w:r>
      <w:r>
        <w:rPr>
          <w:rFonts w:hint="eastAsia" w:asciiTheme="minorEastAsia" w:hAnsiTheme="minorEastAsia" w:eastAsiaTheme="minorEastAsia"/>
          <w:sz w:val="32"/>
          <w:szCs w:val="32"/>
        </w:rPr>
        <w:t>。</w:t>
      </w:r>
    </w:p>
    <w:p>
      <w:pPr>
        <w:pStyle w:val="20"/>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128.30</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val="en-US" w:eastAsia="zh-CN"/>
        </w:rPr>
        <w:t>专用材料费增加。</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4</w:t>
      </w:r>
      <w:r>
        <w:rPr>
          <w:rFonts w:hint="eastAsia" w:asciiTheme="minorEastAsia" w:hAnsiTheme="minorEastAsia" w:eastAsiaTheme="minorEastAsia"/>
          <w:sz w:val="32"/>
          <w:szCs w:val="32"/>
        </w:rPr>
        <w:t>、社会保障和就业支出。</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24.06</w:t>
      </w:r>
      <w:r>
        <w:rPr>
          <w:rFonts w:hint="eastAsia" w:asciiTheme="minorEastAsia" w:hAnsiTheme="minorEastAsia" w:eastAsiaTheme="minorEastAsia"/>
          <w:sz w:val="32"/>
          <w:szCs w:val="32"/>
        </w:rPr>
        <w:t>万元，决算数大于年初预算数的主要原因是：</w:t>
      </w:r>
      <w:r>
        <w:rPr>
          <w:rFonts w:hint="eastAsia" w:asciiTheme="minorEastAsia" w:hAnsiTheme="minorEastAsia" w:eastAsiaTheme="minorEastAsia"/>
          <w:sz w:val="32"/>
          <w:szCs w:val="32"/>
          <w:lang w:val="en-US" w:eastAsia="zh-CN"/>
        </w:rPr>
        <w:t>其他商品和服务支出增加。</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卫生健康支出</w:t>
      </w:r>
      <w:r>
        <w:rPr>
          <w:rFonts w:hint="eastAsia" w:asciiTheme="minorEastAsia" w:hAnsiTheme="minorEastAsia" w:eastAsiaTheme="minorEastAsia"/>
          <w:sz w:val="32"/>
          <w:szCs w:val="32"/>
        </w:rPr>
        <w:t>。</w:t>
      </w:r>
    </w:p>
    <w:p>
      <w:pPr>
        <w:pStyle w:val="20"/>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115.2</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509.6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442.36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其他商品和服务支出增加。</w:t>
      </w:r>
    </w:p>
    <w:p>
      <w:pPr>
        <w:pStyle w:val="20"/>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节能环保支出</w:t>
      </w:r>
      <w:r>
        <w:rPr>
          <w:rFonts w:hint="eastAsia" w:asciiTheme="minorEastAsia" w:hAnsiTheme="minorEastAsia" w:eastAsiaTheme="minorEastAsia"/>
          <w:sz w:val="32"/>
          <w:szCs w:val="32"/>
        </w:rPr>
        <w:t>。</w:t>
      </w:r>
    </w:p>
    <w:p>
      <w:pPr>
        <w:pStyle w:val="20"/>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15</w:t>
      </w:r>
      <w:r>
        <w:rPr>
          <w:rFonts w:hint="eastAsia" w:asciiTheme="minorEastAsia" w:hAnsiTheme="minorEastAsia" w:eastAsiaTheme="minorEastAsia"/>
          <w:sz w:val="32"/>
          <w:szCs w:val="32"/>
        </w:rPr>
        <w:t>万元。</w:t>
      </w:r>
    </w:p>
    <w:p>
      <w:pPr>
        <w:pStyle w:val="20"/>
        <w:rPr>
          <w:rFonts w:hAnsi="黑体"/>
          <w:b/>
          <w:sz w:val="32"/>
          <w:szCs w:val="32"/>
        </w:rPr>
      </w:pPr>
      <w:r>
        <w:rPr>
          <w:rFonts w:hint="eastAsia" w:hAnsi="黑体"/>
          <w:b/>
          <w:sz w:val="32"/>
          <w:szCs w:val="32"/>
        </w:rPr>
        <w:t>六、一般公共预算财政拨款基本支出决算情况说明</w:t>
      </w:r>
    </w:p>
    <w:p>
      <w:pPr>
        <w:pStyle w:val="2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年度财政拨款基本支出</w:t>
      </w:r>
      <w:r>
        <w:rPr>
          <w:rFonts w:hint="eastAsia" w:asciiTheme="minorEastAsia" w:hAnsiTheme="minorEastAsia" w:eastAsiaTheme="minorEastAsia"/>
          <w:sz w:val="32"/>
          <w:szCs w:val="32"/>
          <w:lang w:val="en-US" w:eastAsia="zh-CN"/>
        </w:rPr>
        <w:t>21347.72</w:t>
      </w:r>
      <w:r>
        <w:rPr>
          <w:rFonts w:hint="eastAsia" w:asciiTheme="minorEastAsia" w:hAnsiTheme="minorEastAsia" w:eastAsiaTheme="minorEastAsia"/>
          <w:sz w:val="32"/>
          <w:szCs w:val="32"/>
        </w:rPr>
        <w:t xml:space="preserve"> 万元，其中：人员经费</w:t>
      </w:r>
      <w:r>
        <w:rPr>
          <w:rFonts w:hint="eastAsia" w:asciiTheme="minorEastAsia" w:hAnsiTheme="minorEastAsia" w:eastAsiaTheme="minorEastAsia"/>
          <w:sz w:val="32"/>
          <w:szCs w:val="32"/>
          <w:lang w:val="en-US" w:eastAsia="zh-CN"/>
        </w:rPr>
        <w:t>17415.87</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81.58</w:t>
      </w:r>
      <w:r>
        <w:rPr>
          <w:rFonts w:hint="eastAsia" w:asciiTheme="minorEastAsia" w:hAnsiTheme="minorEastAsia" w:eastAsiaTheme="minorEastAsia"/>
          <w:sz w:val="32"/>
          <w:szCs w:val="32"/>
        </w:rPr>
        <w:t>%,主要包括基本工资、</w:t>
      </w:r>
      <w:r>
        <w:rPr>
          <w:rFonts w:hint="eastAsia" w:asciiTheme="minorEastAsia" w:hAnsiTheme="minorEastAsia" w:eastAsiaTheme="minorEastAsia"/>
          <w:sz w:val="32"/>
          <w:szCs w:val="32"/>
          <w:lang w:val="en-US" w:eastAsia="zh-CN"/>
        </w:rPr>
        <w:t>绩效工资</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养老保险、医疗保险、其他社会保障缴费、住房公积金、其他工资福利支出</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3931.84</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18.42</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val="en-US" w:eastAsia="zh-CN"/>
        </w:rPr>
        <w:t>水费、电费、物业管理费、差旅费、维修费、专用材料费、劳务费、工会经费、福利费、其他商品和劳务支出</w:t>
      </w:r>
      <w:r>
        <w:rPr>
          <w:rFonts w:hint="eastAsia" w:asciiTheme="minorEastAsia" w:hAnsiTheme="minorEastAsia" w:eastAsiaTheme="minorEastAsia"/>
          <w:sz w:val="32"/>
          <w:szCs w:val="32"/>
        </w:rPr>
        <w:t>。</w:t>
      </w:r>
    </w:p>
    <w:p>
      <w:pPr>
        <w:pStyle w:val="20"/>
        <w:numPr>
          <w:ilvl w:val="0"/>
          <w:numId w:val="1"/>
        </w:numPr>
        <w:rPr>
          <w:rFonts w:hint="eastAsia" w:hAnsi="黑体"/>
          <w:b/>
          <w:sz w:val="32"/>
          <w:szCs w:val="32"/>
        </w:rPr>
      </w:pPr>
      <w:r>
        <w:rPr>
          <w:rFonts w:hint="eastAsia" w:hAnsi="黑体"/>
          <w:b/>
          <w:sz w:val="32"/>
          <w:szCs w:val="32"/>
        </w:rPr>
        <w:t>一般公共预算财政拨款三公经费支出决算情况说明</w:t>
      </w:r>
    </w:p>
    <w:p>
      <w:pPr>
        <w:pStyle w:val="20"/>
        <w:numPr>
          <w:ilvl w:val="0"/>
          <w:numId w:val="0"/>
        </w:numPr>
        <w:rPr>
          <w:rFonts w:hint="default" w:hAnsi="黑体" w:eastAsia="黑体"/>
          <w:b/>
          <w:sz w:val="32"/>
          <w:szCs w:val="32"/>
          <w:lang w:val="en-US" w:eastAsia="zh-CN"/>
        </w:rPr>
      </w:pPr>
      <w:r>
        <w:rPr>
          <w:rFonts w:hint="eastAsia" w:hAnsi="黑体"/>
          <w:b/>
          <w:sz w:val="32"/>
          <w:szCs w:val="32"/>
          <w:lang w:val="en-US" w:eastAsia="zh-CN"/>
        </w:rPr>
        <w:t xml:space="preserve">    </w:t>
      </w:r>
      <w:r>
        <w:rPr>
          <w:rFonts w:hint="eastAsia" w:asciiTheme="minorEastAsia" w:hAnsiTheme="minorEastAsia" w:eastAsiaTheme="minorEastAsia"/>
          <w:sz w:val="32"/>
          <w:szCs w:val="32"/>
          <w:lang w:val="en-US" w:eastAsia="zh-CN"/>
        </w:rPr>
        <w:t>本单位一般公共财政拨款未安排三公经费预算</w:t>
      </w:r>
    </w:p>
    <w:p>
      <w:pPr>
        <w:pStyle w:val="20"/>
        <w:rPr>
          <w:rFonts w:hAnsi="黑体"/>
          <w:b/>
          <w:sz w:val="32"/>
          <w:szCs w:val="32"/>
        </w:rPr>
      </w:pPr>
      <w:r>
        <w:rPr>
          <w:rFonts w:hint="eastAsia" w:hAnsi="黑体"/>
          <w:b/>
          <w:sz w:val="32"/>
          <w:szCs w:val="32"/>
        </w:rPr>
        <w:t>八、政府性基金预算收入支出决算情况</w:t>
      </w:r>
    </w:p>
    <w:p>
      <w:pPr>
        <w:pStyle w:val="2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 xml:space="preserve">    本单位无政府性基金收支</w:t>
      </w:r>
    </w:p>
    <w:p>
      <w:pPr>
        <w:pStyle w:val="20"/>
        <w:rPr>
          <w:rFonts w:hAnsi="黑体"/>
          <w:b/>
          <w:sz w:val="32"/>
          <w:szCs w:val="32"/>
        </w:rPr>
      </w:pPr>
      <w:r>
        <w:rPr>
          <w:rFonts w:hint="eastAsia" w:hAnsi="黑体"/>
          <w:b/>
          <w:sz w:val="32"/>
          <w:szCs w:val="32"/>
        </w:rPr>
        <w:t>九、关于机关运行经费支出说明</w:t>
      </w:r>
    </w:p>
    <w:p>
      <w:pPr>
        <w:pStyle w:val="20"/>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本单</w:t>
      </w:r>
      <w:r>
        <w:rPr>
          <w:rFonts w:hint="eastAsia" w:asciiTheme="minorEastAsia" w:hAnsiTheme="minorEastAsia" w:eastAsiaTheme="minorEastAsia"/>
          <w:b w:val="0"/>
          <w:bCs w:val="0"/>
          <w:sz w:val="32"/>
          <w:szCs w:val="32"/>
        </w:rPr>
        <w:t>位</w:t>
      </w:r>
      <w:r>
        <w:rPr>
          <w:rFonts w:hint="eastAsia" w:asciiTheme="minorEastAsia" w:hAnsiTheme="minorEastAsia" w:eastAsiaTheme="minorEastAsia"/>
          <w:sz w:val="32"/>
          <w:szCs w:val="32"/>
        </w:rPr>
        <w:t>无机关运行经费收支</w:t>
      </w:r>
    </w:p>
    <w:p>
      <w:pPr>
        <w:pStyle w:val="20"/>
        <w:rPr>
          <w:rFonts w:hAnsi="黑体"/>
          <w:b/>
          <w:sz w:val="32"/>
          <w:szCs w:val="32"/>
        </w:rPr>
      </w:pPr>
      <w:r>
        <w:rPr>
          <w:rFonts w:hint="eastAsia" w:hAnsi="黑体"/>
          <w:b/>
          <w:sz w:val="32"/>
          <w:szCs w:val="32"/>
        </w:rPr>
        <w:t>十、一般性支出情况</w:t>
      </w:r>
    </w:p>
    <w:p>
      <w:pPr>
        <w:pStyle w:val="2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本单位无一般性支出</w:t>
      </w:r>
    </w:p>
    <w:p>
      <w:pPr>
        <w:pStyle w:val="20"/>
        <w:rPr>
          <w:rFonts w:hAnsi="黑体"/>
          <w:b/>
          <w:sz w:val="32"/>
          <w:szCs w:val="32"/>
        </w:rPr>
      </w:pPr>
      <w:r>
        <w:rPr>
          <w:rFonts w:hint="eastAsia" w:hAnsi="黑体"/>
          <w:b/>
          <w:sz w:val="32"/>
          <w:szCs w:val="32"/>
        </w:rPr>
        <w:t>十一、关于政府采购支出说明</w:t>
      </w:r>
    </w:p>
    <w:p>
      <w:pPr>
        <w:pStyle w:val="20"/>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w:t>
      </w: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年度政府采购支出总额</w:t>
      </w:r>
      <w:r>
        <w:rPr>
          <w:rFonts w:hint="eastAsia" w:asciiTheme="minorEastAsia" w:hAnsiTheme="minorEastAsia" w:eastAsiaTheme="minorEastAsia"/>
          <w:sz w:val="32"/>
          <w:szCs w:val="32"/>
          <w:lang w:val="en-US" w:eastAsia="zh-CN"/>
        </w:rPr>
        <w:t>6218.39</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3167.09</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780.89</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2270.41</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6218.39</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p>
    <w:p>
      <w:pPr>
        <w:pStyle w:val="20"/>
        <w:rPr>
          <w:rFonts w:hAnsi="黑体"/>
          <w:b/>
          <w:sz w:val="32"/>
          <w:szCs w:val="32"/>
        </w:rPr>
      </w:pPr>
      <w:r>
        <w:rPr>
          <w:rFonts w:hint="eastAsia" w:hAnsi="黑体"/>
          <w:b/>
          <w:sz w:val="32"/>
          <w:szCs w:val="32"/>
        </w:rPr>
        <w:t>十二、关于国有资产占用情况说明</w:t>
      </w:r>
    </w:p>
    <w:p>
      <w:pPr>
        <w:pStyle w:val="20"/>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w:t>
      </w:r>
      <w:r>
        <w:rPr>
          <w:rFonts w:hint="eastAsia" w:asciiTheme="minorEastAsia" w:hAnsiTheme="minorEastAsia" w:eastAsiaTheme="minorEastAsia"/>
          <w:sz w:val="32"/>
          <w:szCs w:val="32"/>
          <w:lang w:eastAsia="zh-CN"/>
        </w:rPr>
        <w:t>2022</w:t>
      </w:r>
      <w:r>
        <w:rPr>
          <w:rFonts w:hint="eastAsia" w:asciiTheme="minorEastAsia" w:hAnsiTheme="minorEastAsia" w:eastAsiaTheme="minorEastAsia"/>
          <w:sz w:val="32"/>
          <w:szCs w:val="32"/>
        </w:rPr>
        <w:t>年12月31日，本单位共有车辆</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辆，其中，其他用车</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辆，其他用车主要是</w:t>
      </w:r>
      <w:r>
        <w:rPr>
          <w:rFonts w:hint="eastAsia" w:asciiTheme="minorEastAsia" w:hAnsiTheme="minorEastAsia" w:eastAsiaTheme="minorEastAsia"/>
          <w:sz w:val="32"/>
          <w:szCs w:val="32"/>
          <w:lang w:val="en-US" w:eastAsia="zh-CN"/>
        </w:rPr>
        <w:t>校车</w:t>
      </w:r>
      <w:r>
        <w:rPr>
          <w:rFonts w:hint="eastAsia" w:asciiTheme="minorEastAsia" w:hAnsiTheme="minorEastAsia" w:eastAsiaTheme="minorEastAsia"/>
          <w:sz w:val="32"/>
          <w:szCs w:val="32"/>
        </w:rPr>
        <w:t>；单位价值100万元以上专用设备</w:t>
      </w:r>
      <w:r>
        <w:rPr>
          <w:rFonts w:hint="eastAsia" w:asciiTheme="minorEastAsia" w:hAnsiTheme="minorEastAsia" w:eastAsiaTheme="minorEastAsia"/>
          <w:sz w:val="32"/>
          <w:szCs w:val="32"/>
          <w:lang w:val="en-US" w:eastAsia="zh-CN"/>
        </w:rPr>
        <w:t>6</w:t>
      </w:r>
      <w:r>
        <w:rPr>
          <w:rFonts w:hint="eastAsia" w:asciiTheme="minorEastAsia" w:hAnsiTheme="minorEastAsia" w:eastAsiaTheme="minorEastAsia"/>
          <w:sz w:val="32"/>
          <w:szCs w:val="32"/>
        </w:rPr>
        <w:t>台（套）。</w:t>
      </w:r>
    </w:p>
    <w:p>
      <w:pPr>
        <w:pStyle w:val="20"/>
        <w:numPr>
          <w:ilvl w:val="0"/>
          <w:numId w:val="2"/>
        </w:numPr>
        <w:rPr>
          <w:rFonts w:hint="eastAsia" w:hAnsi="黑体"/>
          <w:b/>
          <w:sz w:val="32"/>
          <w:szCs w:val="32"/>
        </w:rPr>
      </w:pPr>
      <w:r>
        <w:rPr>
          <w:rFonts w:hint="eastAsia" w:hAnsi="黑体"/>
          <w:b/>
          <w:sz w:val="32"/>
          <w:szCs w:val="32"/>
        </w:rPr>
        <w:t>关于</w:t>
      </w:r>
      <w:r>
        <w:rPr>
          <w:rFonts w:hint="eastAsia" w:hAnsi="黑体"/>
          <w:b/>
          <w:sz w:val="32"/>
          <w:szCs w:val="32"/>
          <w:lang w:eastAsia="zh-CN"/>
        </w:rPr>
        <w:t>2022</w:t>
      </w:r>
      <w:r>
        <w:rPr>
          <w:rFonts w:hint="eastAsia" w:hAnsi="黑体"/>
          <w:b/>
          <w:sz w:val="32"/>
          <w:szCs w:val="32"/>
        </w:rPr>
        <w:t>年度预算绩效情况的说明</w:t>
      </w:r>
    </w:p>
    <w:p>
      <w:pPr>
        <w:pStyle w:val="20"/>
        <w:numPr>
          <w:ilvl w:val="0"/>
          <w:numId w:val="0"/>
        </w:numPr>
        <w:ind w:firstLine="640" w:firstLineChars="200"/>
        <w:rPr>
          <w:rFonts w:hint="default" w:hAnsi="黑体"/>
          <w:b/>
          <w:sz w:val="32"/>
          <w:szCs w:val="32"/>
          <w:lang w:val="en-US" w:eastAsia="zh-CN"/>
        </w:rPr>
      </w:pPr>
      <w:r>
        <w:rPr>
          <w:rFonts w:hint="eastAsia" w:hAnsi="黑体"/>
          <w:b/>
          <w:sz w:val="32"/>
          <w:szCs w:val="32"/>
          <w:lang w:val="en-US" w:eastAsia="zh-CN"/>
        </w:rPr>
        <w:t>详见附件</w:t>
      </w:r>
    </w:p>
    <w:p>
      <w:pPr>
        <w:pStyle w:val="20"/>
        <w:jc w:val="both"/>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both"/>
        <w:rPr>
          <w:sz w:val="72"/>
          <w:szCs w:val="72"/>
        </w:rPr>
      </w:pPr>
    </w:p>
    <w:p>
      <w:pPr>
        <w:pStyle w:val="20"/>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hint="eastAsia" w:cs="黑体" w:asciiTheme="minorEastAsia" w:hAnsiTheme="minorEastAsia"/>
          <w:color w:val="000000"/>
          <w:kern w:val="0"/>
          <w:sz w:val="32"/>
          <w:szCs w:val="32"/>
          <w:lang w:val="en-US" w:eastAsia="zh-CN"/>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一</w:t>
      </w:r>
      <w:r>
        <w:rPr>
          <w:rFonts w:hint="eastAsia" w:cs="黑体" w:asciiTheme="minorEastAsia" w:hAnsiTheme="minorEastAsia"/>
          <w:color w:val="000000"/>
          <w:kern w:val="0"/>
          <w:sz w:val="32"/>
          <w:szCs w:val="32"/>
        </w:rPr>
        <w:t>、基本支出：指高等学校为了保障其正常运转、完成教学科研和其他日常工作任务而发生的支出，包括人员支出和公用支出。</w:t>
      </w:r>
    </w:p>
    <w:p>
      <w:pPr>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二、项目支出：指高等学校为了完成特定工作任务和事业发展目标，在基本支出之外所发生的支出。</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三</w:t>
      </w:r>
      <w:r>
        <w:rPr>
          <w:rFonts w:hint="eastAsia" w:cs="黑体" w:asciiTheme="minorEastAsia" w:hAnsiTheme="minorEastAsia"/>
          <w:color w:val="000000"/>
          <w:kern w:val="0"/>
          <w:sz w:val="32"/>
          <w:szCs w:val="32"/>
        </w:rPr>
        <w:t>、“三公”经费：纳入省（市/县）财政预算管理的“三公</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经费，是指用一般公共预算拨款安排的公务接待费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公务用车购置及运行维护费和因公出国（境）费。其中，公务接待费反映单位按规定开支的各类公务接待支出</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center"/>
        <w:rPr>
          <w:sz w:val="72"/>
          <w:szCs w:val="72"/>
        </w:rPr>
      </w:pPr>
    </w:p>
    <w:p>
      <w:pPr>
        <w:pStyle w:val="20"/>
        <w:jc w:val="both"/>
        <w:rPr>
          <w:sz w:val="72"/>
          <w:szCs w:val="72"/>
        </w:rPr>
      </w:pPr>
    </w:p>
    <w:p>
      <w:pPr>
        <w:pStyle w:val="20"/>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keepNext w:val="0"/>
        <w:keepLines w:val="0"/>
        <w:pageBreakBefore w:val="0"/>
        <w:widowControl w:val="0"/>
        <w:kinsoku/>
        <w:wordWrap/>
        <w:overflowPunct/>
        <w:topLinePunct w:val="0"/>
        <w:autoSpaceDE/>
        <w:autoSpaceDN/>
        <w:bidi w:val="0"/>
        <w:jc w:val="center"/>
        <w:rPr>
          <w:rFonts w:eastAsia="方正小标宋_GBK"/>
          <w:sz w:val="52"/>
          <w:szCs w:val="52"/>
        </w:rPr>
      </w:pPr>
    </w:p>
    <w:p>
      <w:pPr>
        <w:keepNext w:val="0"/>
        <w:keepLines w:val="0"/>
        <w:pageBreakBefore w:val="0"/>
        <w:widowControl w:val="0"/>
        <w:kinsoku/>
        <w:wordWrap/>
        <w:overflowPunct/>
        <w:topLinePunct w:val="0"/>
        <w:autoSpaceDE/>
        <w:autoSpaceDN/>
        <w:bidi w:val="0"/>
        <w:jc w:val="center"/>
        <w:rPr>
          <w:rFonts w:eastAsia="方正小标宋_GBK"/>
          <w:sz w:val="52"/>
          <w:szCs w:val="52"/>
        </w:rPr>
      </w:pPr>
    </w:p>
    <w:p>
      <w:pPr>
        <w:keepNext w:val="0"/>
        <w:keepLines w:val="0"/>
        <w:pageBreakBefore w:val="0"/>
        <w:widowControl w:val="0"/>
        <w:kinsoku/>
        <w:wordWrap/>
        <w:overflowPunct/>
        <w:topLinePunct w:val="0"/>
        <w:autoSpaceDE/>
        <w:autoSpaceDN/>
        <w:bidi w:val="0"/>
        <w:jc w:val="center"/>
        <w:rPr>
          <w:rFonts w:eastAsia="方正小标宋_GBK"/>
          <w:sz w:val="52"/>
          <w:szCs w:val="52"/>
        </w:rPr>
      </w:pPr>
    </w:p>
    <w:p>
      <w:pPr>
        <w:keepNext w:val="0"/>
        <w:keepLines w:val="0"/>
        <w:pageBreakBefore w:val="0"/>
        <w:widowControl w:val="0"/>
        <w:kinsoku/>
        <w:wordWrap/>
        <w:overflowPunct/>
        <w:topLinePunct w:val="0"/>
        <w:autoSpaceDE/>
        <w:autoSpaceDN/>
        <w:bidi w:val="0"/>
        <w:jc w:val="center"/>
        <w:rPr>
          <w:rFonts w:eastAsia="方正小标宋_GBK"/>
          <w:sz w:val="52"/>
          <w:szCs w:val="52"/>
        </w:rPr>
      </w:pPr>
    </w:p>
    <w:p>
      <w:pPr>
        <w:keepNext w:val="0"/>
        <w:keepLines w:val="0"/>
        <w:pageBreakBefore w:val="0"/>
        <w:widowControl w:val="0"/>
        <w:kinsoku/>
        <w:wordWrap/>
        <w:overflowPunct/>
        <w:topLinePunct w:val="0"/>
        <w:autoSpaceDE/>
        <w:autoSpaceDN/>
        <w:bidi w:val="0"/>
        <w:jc w:val="center"/>
        <w:rPr>
          <w:rFonts w:eastAsia="方正小标宋_GBK"/>
          <w:sz w:val="52"/>
          <w:szCs w:val="52"/>
        </w:rPr>
      </w:pPr>
      <w:r>
        <w:rPr>
          <w:rFonts w:eastAsia="方正小标宋_GBK"/>
          <w:sz w:val="52"/>
          <w:szCs w:val="52"/>
        </w:rPr>
        <w:t>2022年度</w:t>
      </w:r>
      <w:r>
        <w:rPr>
          <w:rFonts w:hint="eastAsia" w:eastAsia="方正小标宋_GBK"/>
          <w:sz w:val="52"/>
          <w:szCs w:val="52"/>
          <w:lang w:val="en-US" w:eastAsia="zh-CN"/>
        </w:rPr>
        <w:t>邵阳学院</w:t>
      </w:r>
      <w:r>
        <w:rPr>
          <w:rFonts w:eastAsia="方正小标宋_GBK"/>
          <w:sz w:val="52"/>
          <w:szCs w:val="52"/>
        </w:rPr>
        <w:t>整体支出</w:t>
      </w:r>
    </w:p>
    <w:p>
      <w:pPr>
        <w:keepNext w:val="0"/>
        <w:keepLines w:val="0"/>
        <w:pageBreakBefore w:val="0"/>
        <w:widowControl w:val="0"/>
        <w:kinsoku/>
        <w:wordWrap/>
        <w:overflowPunct/>
        <w:topLinePunct w:val="0"/>
        <w:autoSpaceDE/>
        <w:autoSpaceDN/>
        <w:bidi w:val="0"/>
        <w:jc w:val="center"/>
        <w:rPr>
          <w:rFonts w:eastAsia="方正小标宋_GBK"/>
          <w:sz w:val="52"/>
          <w:szCs w:val="52"/>
        </w:rPr>
      </w:pPr>
      <w:r>
        <w:rPr>
          <w:rFonts w:eastAsia="方正小标宋_GBK"/>
          <w:sz w:val="52"/>
          <w:szCs w:val="52"/>
        </w:rPr>
        <w:t>绩效自评报告</w:t>
      </w:r>
    </w:p>
    <w:p>
      <w:pPr>
        <w:keepNext w:val="0"/>
        <w:keepLines w:val="0"/>
        <w:pageBreakBefore w:val="0"/>
        <w:widowControl w:val="0"/>
        <w:kinsoku/>
        <w:wordWrap/>
        <w:overflowPunct/>
        <w:topLinePunct w:val="0"/>
        <w:autoSpaceDE/>
        <w:autoSpaceDN/>
        <w:bidi w:val="0"/>
        <w:jc w:val="center"/>
        <w:rPr>
          <w:rFonts w:eastAsia="方正小标宋_GBK"/>
          <w:b/>
          <w:sz w:val="52"/>
          <w:szCs w:val="52"/>
        </w:rPr>
      </w:pPr>
    </w:p>
    <w:p>
      <w:pPr>
        <w:keepNext w:val="0"/>
        <w:keepLines w:val="0"/>
        <w:pageBreakBefore w:val="0"/>
        <w:widowControl w:val="0"/>
        <w:kinsoku/>
        <w:wordWrap/>
        <w:overflowPunct/>
        <w:topLinePunct w:val="0"/>
        <w:autoSpaceDE/>
        <w:autoSpaceDN/>
        <w:bidi w:val="0"/>
        <w:jc w:val="center"/>
        <w:rPr>
          <w:rFonts w:eastAsia="楷体_GB2312"/>
          <w:b/>
          <w:sz w:val="32"/>
          <w:szCs w:val="32"/>
        </w:rPr>
      </w:pPr>
    </w:p>
    <w:p>
      <w:pPr>
        <w:keepNext w:val="0"/>
        <w:keepLines w:val="0"/>
        <w:pageBreakBefore w:val="0"/>
        <w:widowControl w:val="0"/>
        <w:kinsoku/>
        <w:wordWrap/>
        <w:overflowPunct/>
        <w:topLinePunct w:val="0"/>
        <w:autoSpaceDE/>
        <w:autoSpaceDN/>
        <w:bidi w:val="0"/>
        <w:jc w:val="center"/>
        <w:rPr>
          <w:rFonts w:eastAsia="黑体"/>
          <w:sz w:val="32"/>
          <w:szCs w:val="32"/>
        </w:rPr>
      </w:pPr>
    </w:p>
    <w:p>
      <w:pPr>
        <w:keepNext w:val="0"/>
        <w:keepLines w:val="0"/>
        <w:pageBreakBefore w:val="0"/>
        <w:widowControl w:val="0"/>
        <w:kinsoku/>
        <w:wordWrap/>
        <w:overflowPunct/>
        <w:topLinePunct w:val="0"/>
        <w:autoSpaceDE/>
        <w:autoSpaceDN/>
        <w:bidi w:val="0"/>
        <w:jc w:val="center"/>
        <w:rPr>
          <w:rFonts w:eastAsia="黑体"/>
          <w:sz w:val="32"/>
          <w:szCs w:val="32"/>
        </w:rPr>
      </w:pPr>
    </w:p>
    <w:p>
      <w:pPr>
        <w:keepNext w:val="0"/>
        <w:keepLines w:val="0"/>
        <w:pageBreakBefore w:val="0"/>
        <w:widowControl w:val="0"/>
        <w:kinsoku/>
        <w:wordWrap/>
        <w:overflowPunct/>
        <w:topLinePunct w:val="0"/>
        <w:autoSpaceDE/>
        <w:autoSpaceDN/>
        <w:bidi w:val="0"/>
        <w:jc w:val="center"/>
        <w:rPr>
          <w:rFonts w:eastAsia="黑体"/>
          <w:sz w:val="32"/>
          <w:szCs w:val="32"/>
        </w:rPr>
      </w:pPr>
    </w:p>
    <w:p>
      <w:pPr>
        <w:keepNext w:val="0"/>
        <w:keepLines w:val="0"/>
        <w:pageBreakBefore w:val="0"/>
        <w:widowControl w:val="0"/>
        <w:kinsoku/>
        <w:wordWrap/>
        <w:overflowPunct/>
        <w:topLinePunct w:val="0"/>
        <w:autoSpaceDE/>
        <w:autoSpaceDN/>
        <w:bidi w:val="0"/>
        <w:jc w:val="center"/>
        <w:rPr>
          <w:rFonts w:eastAsia="黑体"/>
          <w:sz w:val="32"/>
          <w:szCs w:val="32"/>
        </w:rPr>
      </w:pPr>
    </w:p>
    <w:p>
      <w:pPr>
        <w:keepNext w:val="0"/>
        <w:keepLines w:val="0"/>
        <w:pageBreakBefore w:val="0"/>
        <w:widowControl w:val="0"/>
        <w:kinsoku/>
        <w:wordWrap/>
        <w:overflowPunct/>
        <w:topLinePunct w:val="0"/>
        <w:autoSpaceDE/>
        <w:autoSpaceDN/>
        <w:bidi w:val="0"/>
        <w:jc w:val="center"/>
        <w:rPr>
          <w:rFonts w:eastAsia="黑体"/>
          <w:sz w:val="32"/>
          <w:szCs w:val="32"/>
        </w:rPr>
      </w:pPr>
    </w:p>
    <w:p>
      <w:pPr>
        <w:keepNext w:val="0"/>
        <w:keepLines w:val="0"/>
        <w:pageBreakBefore w:val="0"/>
        <w:widowControl w:val="0"/>
        <w:kinsoku/>
        <w:wordWrap/>
        <w:overflowPunct/>
        <w:topLinePunct w:val="0"/>
        <w:autoSpaceDE/>
        <w:autoSpaceDN/>
        <w:bidi w:val="0"/>
        <w:jc w:val="center"/>
        <w:rPr>
          <w:rFonts w:eastAsia="黑体"/>
          <w:sz w:val="32"/>
          <w:szCs w:val="32"/>
        </w:rPr>
      </w:pPr>
    </w:p>
    <w:p>
      <w:pPr>
        <w:keepNext w:val="0"/>
        <w:keepLines w:val="0"/>
        <w:pageBreakBefore w:val="0"/>
        <w:widowControl w:val="0"/>
        <w:kinsoku/>
        <w:wordWrap/>
        <w:overflowPunct/>
        <w:topLinePunct w:val="0"/>
        <w:autoSpaceDE/>
        <w:autoSpaceDN/>
        <w:bidi w:val="0"/>
        <w:spacing w:line="600" w:lineRule="exact"/>
        <w:ind w:firstLine="3200" w:firstLineChars="1000"/>
        <w:jc w:val="both"/>
        <w:rPr>
          <w:rFonts w:eastAsia="仿宋_GB2312"/>
          <w:sz w:val="32"/>
          <w:szCs w:val="32"/>
          <w:u w:val="single"/>
        </w:rPr>
      </w:pPr>
      <w:r>
        <w:rPr>
          <w:rFonts w:eastAsia="仿宋_GB2312"/>
          <w:sz w:val="32"/>
          <w:szCs w:val="32"/>
        </w:rPr>
        <w:t>部门（单位）名称：</w:t>
      </w:r>
      <w:r>
        <w:rPr>
          <w:rFonts w:hint="eastAsia" w:eastAsia="仿宋_GB2312"/>
          <w:sz w:val="32"/>
          <w:szCs w:val="32"/>
          <w:u w:val="single"/>
          <w:lang w:val="en-US" w:eastAsia="zh-CN"/>
        </w:rPr>
        <w:t>邵阳学院</w:t>
      </w:r>
    </w:p>
    <w:p>
      <w:pPr>
        <w:keepNext w:val="0"/>
        <w:keepLines w:val="0"/>
        <w:pageBreakBefore w:val="0"/>
        <w:widowControl w:val="0"/>
        <w:kinsoku/>
        <w:wordWrap/>
        <w:overflowPunct/>
        <w:topLinePunct w:val="0"/>
        <w:autoSpaceDE/>
        <w:autoSpaceDN/>
        <w:bidi w:val="0"/>
        <w:spacing w:line="600" w:lineRule="exact"/>
        <w:ind w:firstLine="4160" w:firstLineChars="1300"/>
        <w:jc w:val="both"/>
        <w:rPr>
          <w:rFonts w:eastAsia="楷体_GB2312"/>
          <w:sz w:val="32"/>
          <w:szCs w:val="32"/>
        </w:rPr>
      </w:pPr>
      <w:r>
        <w:rPr>
          <w:rFonts w:hint="eastAsia" w:eastAsia="楷体_GB2312"/>
          <w:sz w:val="32"/>
          <w:szCs w:val="32"/>
          <w:lang w:val="en-US" w:eastAsia="zh-CN"/>
        </w:rPr>
        <w:t>2023</w:t>
      </w:r>
      <w:r>
        <w:rPr>
          <w:rFonts w:eastAsia="楷体_GB2312"/>
          <w:sz w:val="32"/>
          <w:szCs w:val="32"/>
        </w:rPr>
        <w:t>年</w:t>
      </w:r>
      <w:r>
        <w:rPr>
          <w:rFonts w:hint="eastAsia" w:eastAsia="楷体_GB2312"/>
          <w:sz w:val="32"/>
          <w:szCs w:val="32"/>
          <w:lang w:val="en-US" w:eastAsia="zh-CN"/>
        </w:rPr>
        <w:t>5</w:t>
      </w:r>
      <w:r>
        <w:rPr>
          <w:rFonts w:eastAsia="楷体_GB2312"/>
          <w:sz w:val="32"/>
          <w:szCs w:val="32"/>
        </w:rPr>
        <w:t>月</w:t>
      </w:r>
      <w:r>
        <w:rPr>
          <w:rFonts w:hint="eastAsia" w:eastAsia="楷体_GB2312"/>
          <w:sz w:val="32"/>
          <w:szCs w:val="32"/>
          <w:lang w:val="en-US" w:eastAsia="zh-CN"/>
        </w:rPr>
        <w:t>15</w:t>
      </w:r>
      <w:r>
        <w:rPr>
          <w:rFonts w:eastAsia="楷体_GB2312"/>
          <w:sz w:val="32"/>
          <w:szCs w:val="32"/>
        </w:rPr>
        <w:t>日</w:t>
      </w:r>
    </w:p>
    <w:p>
      <w:pPr>
        <w:keepNext w:val="0"/>
        <w:keepLines w:val="0"/>
        <w:pageBreakBefore w:val="0"/>
        <w:widowControl w:val="0"/>
        <w:kinsoku/>
        <w:wordWrap/>
        <w:overflowPunct/>
        <w:topLinePunct w:val="0"/>
        <w:autoSpaceDE/>
        <w:autoSpaceDN/>
        <w:bidi w:val="0"/>
        <w:jc w:val="center"/>
        <w:rPr>
          <w:rFonts w:eastAsia="黑体"/>
          <w:sz w:val="32"/>
          <w:szCs w:val="32"/>
        </w:rPr>
      </w:pPr>
    </w:p>
    <w:p>
      <w:pPr>
        <w:keepNext w:val="0"/>
        <w:keepLines w:val="0"/>
        <w:pageBreakBefore w:val="0"/>
        <w:widowControl w:val="0"/>
        <w:kinsoku/>
        <w:wordWrap/>
        <w:overflowPunct/>
        <w:topLinePunct w:val="0"/>
        <w:autoSpaceDE/>
        <w:autoSpaceDN/>
        <w:bidi w:val="0"/>
        <w:jc w:val="center"/>
        <w:rPr>
          <w:rFonts w:eastAsia="仿宋_GB2312"/>
          <w:sz w:val="32"/>
          <w:szCs w:val="32"/>
        </w:rPr>
      </w:pPr>
      <w:r>
        <w:rPr>
          <w:rFonts w:eastAsia="仿宋_GB2312"/>
          <w:sz w:val="32"/>
          <w:szCs w:val="32"/>
        </w:rPr>
        <w:br w:type="page"/>
      </w:r>
    </w:p>
    <w:p>
      <w:pPr>
        <w:keepNext w:val="0"/>
        <w:keepLines w:val="0"/>
        <w:pageBreakBefore w:val="0"/>
        <w:widowControl w:val="0"/>
        <w:kinsoku/>
        <w:wordWrap/>
        <w:overflowPunct/>
        <w:topLinePunct w:val="0"/>
        <w:autoSpaceDE/>
        <w:autoSpaceDN/>
        <w:bidi w:val="0"/>
        <w:jc w:val="center"/>
        <w:rPr>
          <w:rFonts w:eastAsia="方正小标宋_GBK"/>
          <w:sz w:val="52"/>
          <w:szCs w:val="52"/>
        </w:rPr>
      </w:pPr>
      <w:r>
        <w:rPr>
          <w:rFonts w:eastAsia="方正小标宋_GBK"/>
          <w:sz w:val="52"/>
          <w:szCs w:val="52"/>
        </w:rPr>
        <w:t>2022年度</w:t>
      </w:r>
      <w:r>
        <w:rPr>
          <w:rFonts w:hint="eastAsia" w:eastAsia="方正小标宋_GBK"/>
          <w:sz w:val="52"/>
          <w:szCs w:val="52"/>
          <w:lang w:val="en-US" w:eastAsia="zh-CN"/>
        </w:rPr>
        <w:t>邵阳学院</w:t>
      </w:r>
      <w:r>
        <w:rPr>
          <w:rFonts w:eastAsia="方正小标宋_GBK"/>
          <w:sz w:val="52"/>
          <w:szCs w:val="52"/>
        </w:rPr>
        <w:t>整体支出</w:t>
      </w:r>
    </w:p>
    <w:p>
      <w:pPr>
        <w:keepNext w:val="0"/>
        <w:keepLines w:val="0"/>
        <w:pageBreakBefore w:val="0"/>
        <w:widowControl w:val="0"/>
        <w:kinsoku/>
        <w:wordWrap/>
        <w:overflowPunct/>
        <w:topLinePunct w:val="0"/>
        <w:autoSpaceDE/>
        <w:autoSpaceDN/>
        <w:bidi w:val="0"/>
        <w:jc w:val="center"/>
        <w:rPr>
          <w:rFonts w:eastAsia="方正小标宋_GBK"/>
          <w:sz w:val="52"/>
          <w:szCs w:val="52"/>
        </w:rPr>
      </w:pPr>
      <w:r>
        <w:rPr>
          <w:rFonts w:eastAsia="方正小标宋_GBK"/>
          <w:sz w:val="52"/>
          <w:szCs w:val="52"/>
        </w:rPr>
        <w:t>绩效自评报告</w:t>
      </w:r>
    </w:p>
    <w:p>
      <w:pPr>
        <w:keepNext w:val="0"/>
        <w:keepLines w:val="0"/>
        <w:pageBreakBefore w:val="0"/>
        <w:widowControl w:val="0"/>
        <w:kinsoku/>
        <w:wordWrap/>
        <w:overflowPunct/>
        <w:topLinePunct w:val="0"/>
        <w:autoSpaceDE/>
        <w:autoSpaceDN/>
        <w:bidi w:val="0"/>
        <w:adjustRightInd/>
        <w:snapToGrid/>
        <w:spacing w:line="560" w:lineRule="exact"/>
        <w:ind w:leftChars="0" w:firstLine="664" w:firstLineChars="200"/>
        <w:textAlignment w:val="auto"/>
        <w:rPr>
          <w:rFonts w:eastAsia="黑体"/>
          <w:sz w:val="32"/>
          <w:szCs w:val="32"/>
        </w:rPr>
      </w:pPr>
      <w:r>
        <w:rPr>
          <w:rFonts w:hint="eastAsia" w:ascii="仿宋" w:hAnsi="仿宋" w:eastAsia="仿宋" w:cs="仿宋"/>
          <w:spacing w:val="6"/>
          <w:sz w:val="32"/>
          <w:szCs w:val="32"/>
        </w:rPr>
        <w:t>为</w:t>
      </w:r>
      <w:r>
        <w:rPr>
          <w:rFonts w:hint="eastAsia" w:ascii="仿宋" w:hAnsi="仿宋" w:eastAsia="仿宋" w:cs="仿宋"/>
          <w:color w:val="000000"/>
          <w:sz w:val="32"/>
          <w:szCs w:val="32"/>
        </w:rPr>
        <w:t>进一步规范和加强财政资金使用管理，强化绩效和责任意识，切实提高财政资金使用效益，</w:t>
      </w:r>
      <w:r>
        <w:rPr>
          <w:rFonts w:hint="eastAsia" w:ascii="仿宋" w:hAnsi="仿宋" w:eastAsia="仿宋" w:cs="仿宋"/>
          <w:spacing w:val="6"/>
          <w:sz w:val="32"/>
          <w:szCs w:val="32"/>
        </w:rPr>
        <w:t>根据《湖南省财政厅关于开展2022年度部门整体支出绩效自评和省级专项资金部门评价工作的通知》（湘财绩〔2023〕1号）和《湖南省教育厅预算支出绩效评价管理办法》（湘教发〔2020〕38号），</w:t>
      </w:r>
      <w:r>
        <w:rPr>
          <w:rFonts w:hint="eastAsia" w:ascii="仿宋" w:hAnsi="仿宋" w:eastAsia="仿宋" w:cs="仿宋"/>
          <w:spacing w:val="6"/>
          <w:sz w:val="32"/>
          <w:szCs w:val="32"/>
          <w:lang w:val="en-US" w:eastAsia="zh-CN"/>
        </w:rPr>
        <w:t>我校组织评价小组实施绩效自评，经过数据资料的采集，分析，汇总形成本绩效自评报告。</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Chars="0" w:firstLine="640" w:firstLineChars="200"/>
        <w:textAlignment w:val="auto"/>
        <w:rPr>
          <w:rFonts w:eastAsia="黑体"/>
          <w:sz w:val="32"/>
          <w:szCs w:val="32"/>
        </w:rPr>
      </w:pPr>
      <w:r>
        <w:rPr>
          <w:rFonts w:eastAsia="黑体"/>
          <w:sz w:val="32"/>
          <w:szCs w:val="32"/>
        </w:rPr>
        <w:t>部门（单位）基本情况</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（一）主要职能</w:t>
      </w:r>
    </w:p>
    <w:p>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Chars="0" w:firstLine="640" w:firstLineChars="200"/>
        <w:textAlignment w:val="auto"/>
        <w:rPr>
          <w:rFonts w:hint="eastAsia" w:ascii="仿宋" w:hAnsi="仿宋" w:eastAsia="仿宋"/>
          <w:kern w:val="2"/>
          <w:sz w:val="32"/>
          <w:highlight w:val="none"/>
        </w:rPr>
      </w:pPr>
      <w:r>
        <w:rPr>
          <w:rFonts w:ascii="仿宋" w:hAnsi="仿宋" w:eastAsia="仿宋"/>
          <w:kern w:val="2"/>
          <w:sz w:val="32"/>
          <w:highlight w:val="none"/>
        </w:rPr>
        <w:t>邵阳学院是经教育部批准的具有硕士学位研究生招生资格的省属多科性本科院校，教育部和卫生部第一批卓越医生教育培养试点项目单位。</w:t>
      </w:r>
      <w:r>
        <w:rPr>
          <w:rFonts w:hint="eastAsia" w:ascii="仿宋" w:hAnsi="仿宋" w:eastAsia="仿宋"/>
          <w:kern w:val="2"/>
          <w:sz w:val="32"/>
          <w:highlight w:val="none"/>
        </w:rPr>
        <w:t>学校</w:t>
      </w:r>
      <w:r>
        <w:rPr>
          <w:rFonts w:ascii="仿宋" w:hAnsi="仿宋" w:eastAsia="仿宋"/>
          <w:kern w:val="2"/>
          <w:sz w:val="32"/>
          <w:highlight w:val="none"/>
        </w:rPr>
        <w:t>以工学为主体，以师范、医学为两翼，多学科专业协调发展</w:t>
      </w:r>
      <w:r>
        <w:rPr>
          <w:rFonts w:hint="eastAsia" w:ascii="仿宋" w:hAnsi="仿宋" w:eastAsia="仿宋"/>
          <w:kern w:val="2"/>
          <w:sz w:val="32"/>
          <w:highlight w:val="none"/>
        </w:rPr>
        <w:t>；</w:t>
      </w:r>
      <w:r>
        <w:rPr>
          <w:rFonts w:ascii="仿宋" w:hAnsi="仿宋" w:eastAsia="仿宋"/>
          <w:kern w:val="2"/>
          <w:sz w:val="32"/>
          <w:highlight w:val="none"/>
        </w:rPr>
        <w:t>以普通全日制本科教育为主</w:t>
      </w:r>
      <w:r>
        <w:rPr>
          <w:rFonts w:hint="eastAsia" w:ascii="仿宋" w:hAnsi="仿宋" w:eastAsia="仿宋"/>
          <w:kern w:val="2"/>
          <w:sz w:val="32"/>
          <w:highlight w:val="none"/>
        </w:rPr>
        <w:t>，同时</w:t>
      </w:r>
      <w:r>
        <w:rPr>
          <w:rFonts w:ascii="仿宋" w:hAnsi="仿宋" w:eastAsia="仿宋"/>
          <w:kern w:val="2"/>
          <w:sz w:val="32"/>
          <w:highlight w:val="none"/>
        </w:rPr>
        <w:t>积极发展研究生教育</w:t>
      </w:r>
      <w:r>
        <w:rPr>
          <w:rFonts w:hint="eastAsia" w:ascii="仿宋" w:hAnsi="仿宋" w:eastAsia="仿宋"/>
          <w:kern w:val="2"/>
          <w:sz w:val="32"/>
          <w:highlight w:val="none"/>
        </w:rPr>
        <w:t>；承担着</w:t>
      </w:r>
      <w:r>
        <w:rPr>
          <w:rFonts w:ascii="仿宋" w:hAnsi="仿宋" w:eastAsia="仿宋"/>
          <w:kern w:val="2"/>
          <w:sz w:val="32"/>
          <w:highlight w:val="none"/>
        </w:rPr>
        <w:t>培养专业基础扎实、知识结构合理、创新实践能力较强、潜心服务基层的高素质应用型人才</w:t>
      </w:r>
      <w:r>
        <w:rPr>
          <w:rFonts w:hint="eastAsia" w:ascii="仿宋" w:hAnsi="仿宋" w:eastAsia="仿宋"/>
          <w:kern w:val="2"/>
          <w:sz w:val="32"/>
          <w:highlight w:val="none"/>
        </w:rPr>
        <w:t>的职能</w:t>
      </w:r>
      <w:r>
        <w:rPr>
          <w:rFonts w:ascii="仿宋" w:hAnsi="仿宋" w:eastAsia="仿宋"/>
          <w:kern w:val="2"/>
          <w:sz w:val="32"/>
          <w:highlight w:val="none"/>
        </w:rPr>
        <w:t>。</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（二）机构情况</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sz w:val="32"/>
          <w:highlight w:val="none"/>
        </w:rPr>
      </w:pPr>
      <w:r>
        <w:rPr>
          <w:rFonts w:hint="eastAsia" w:ascii="仿宋" w:hAnsi="仿宋" w:eastAsia="仿宋"/>
          <w:sz w:val="32"/>
          <w:highlight w:val="none"/>
        </w:rPr>
        <w:t>为贯彻落实高等教育综合改革，提升办学水平，学校设有党政办公室等21个党政管理机构、工会、团委2个群团组织、基建与后勤服务中心等6个教辅机构、马克思主义学院等22个教学机构、2个直属机构附属第一和第二医院。</w:t>
      </w:r>
    </w:p>
    <w:p>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楷体_GB2312" w:cs="Times New Roman"/>
          <w:b/>
          <w:kern w:val="2"/>
          <w:sz w:val="32"/>
          <w:szCs w:val="32"/>
          <w:lang w:val="en-US" w:eastAsia="zh-CN" w:bidi="ar-SA"/>
        </w:rPr>
      </w:pPr>
      <w:r>
        <w:rPr>
          <w:rFonts w:hint="eastAsia" w:ascii="Times New Roman" w:hAnsi="Times New Roman" w:eastAsia="楷体_GB2312" w:cs="Times New Roman"/>
          <w:b/>
          <w:kern w:val="2"/>
          <w:sz w:val="32"/>
          <w:szCs w:val="32"/>
          <w:lang w:val="en-US" w:eastAsia="zh-CN" w:bidi="ar-SA"/>
        </w:rPr>
        <w:t>（三）人员情况</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pPr>
      <w:r>
        <w:rPr>
          <w:rFonts w:hint="eastAsia" w:ascii="仿宋" w:hAnsi="仿宋" w:eastAsia="仿宋"/>
          <w:sz w:val="32"/>
          <w:highlight w:val="none"/>
        </w:rPr>
        <w:t>2022年本单位年未实有在职人数1479人，比上年减少19人。人员变化的主要原因是在职转退休等。2022年末共有全日制在校学生</w:t>
      </w:r>
      <w:r>
        <w:rPr>
          <w:rFonts w:ascii="仿宋" w:hAnsi="仿宋" w:eastAsia="仿宋"/>
          <w:sz w:val="32"/>
          <w:highlight w:val="none"/>
        </w:rPr>
        <w:t>27199</w:t>
      </w:r>
      <w:r>
        <w:rPr>
          <w:rFonts w:hint="eastAsia" w:ascii="仿宋" w:hAnsi="仿宋" w:eastAsia="仿宋"/>
          <w:sz w:val="32"/>
          <w:highlight w:val="none"/>
        </w:rPr>
        <w:t>人。</w:t>
      </w:r>
    </w:p>
    <w:p>
      <w:pPr>
        <w:pStyle w:val="21"/>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黑体"/>
          <w:sz w:val="32"/>
          <w:szCs w:val="32"/>
        </w:rPr>
      </w:pPr>
      <w:r>
        <w:rPr>
          <w:rFonts w:ascii="Times New Roman" w:hAnsi="Times New Roman" w:eastAsia="黑体"/>
          <w:sz w:val="32"/>
          <w:szCs w:val="32"/>
        </w:rPr>
        <w:t>一般公共预算支出情况</w:t>
      </w:r>
    </w:p>
    <w:p>
      <w:pPr>
        <w:keepNext w:val="0"/>
        <w:keepLines w:val="0"/>
        <w:pageBreakBefore w:val="0"/>
        <w:kinsoku/>
        <w:wordWrap/>
        <w:overflowPunct/>
        <w:topLinePunct w:val="0"/>
        <w:autoSpaceDE/>
        <w:autoSpaceDN/>
        <w:bidi w:val="0"/>
        <w:adjustRightInd/>
        <w:snapToGrid/>
        <w:spacing w:line="560" w:lineRule="exact"/>
        <w:ind w:leftChars="0" w:firstLine="664" w:firstLineChars="200"/>
        <w:textAlignment w:val="auto"/>
        <w:rPr>
          <w:rFonts w:ascii="Times New Roman" w:hAnsi="Times New Roman" w:eastAsia="黑体"/>
          <w:sz w:val="32"/>
          <w:szCs w:val="32"/>
        </w:rPr>
      </w:pPr>
      <w:r>
        <w:rPr>
          <w:rFonts w:hint="eastAsia" w:ascii="仿宋" w:hAnsi="仿宋" w:eastAsia="仿宋" w:cs="仿宋"/>
          <w:spacing w:val="6"/>
          <w:sz w:val="32"/>
          <w:szCs w:val="32"/>
          <w:lang w:val="en-US" w:eastAsia="zh-CN"/>
        </w:rPr>
        <w:t>2022年本单位一般公共预算支出总计34069.06万元，其中：</w:t>
      </w:r>
    </w:p>
    <w:p>
      <w:pPr>
        <w:pStyle w:val="21"/>
        <w:keepNext w:val="0"/>
        <w:keepLines w:val="0"/>
        <w:pageBreakBefore w:val="0"/>
        <w:widowControl w:val="0"/>
        <w:numPr>
          <w:ilvl w:val="0"/>
          <w:numId w:val="4"/>
        </w:numPr>
        <w:kinsoku/>
        <w:wordWrap/>
        <w:overflowPunct/>
        <w:topLinePunct w:val="0"/>
        <w:autoSpaceDE/>
        <w:autoSpaceDN/>
        <w:bidi w:val="0"/>
        <w:adjustRightInd/>
        <w:snapToGrid/>
        <w:spacing w:line="560" w:lineRule="exact"/>
        <w:ind w:leftChars="0" w:firstLine="640" w:firstLineChars="200"/>
        <w:textAlignment w:val="auto"/>
        <w:rPr>
          <w:rFonts w:ascii="Times New Roman" w:hAnsi="Times New Roman" w:eastAsia="楷体_GB2312"/>
          <w:b/>
          <w:sz w:val="32"/>
          <w:szCs w:val="32"/>
        </w:rPr>
      </w:pPr>
      <w:r>
        <w:rPr>
          <w:rFonts w:ascii="Times New Roman" w:hAnsi="Times New Roman" w:eastAsia="楷体_GB2312"/>
          <w:b/>
          <w:sz w:val="32"/>
          <w:szCs w:val="32"/>
        </w:rPr>
        <w:t>基本支出情况</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sz w:val="32"/>
          <w:highlight w:val="none"/>
          <w:lang w:eastAsia="zh-CN"/>
        </w:rPr>
      </w:pPr>
      <w:r>
        <w:rPr>
          <w:rFonts w:hint="eastAsia" w:ascii="仿宋" w:hAnsi="仿宋" w:eastAsia="仿宋"/>
          <w:sz w:val="32"/>
          <w:highlight w:val="none"/>
        </w:rPr>
        <w:t>202</w:t>
      </w:r>
      <w:r>
        <w:rPr>
          <w:rFonts w:hint="eastAsia" w:ascii="仿宋" w:hAnsi="仿宋" w:eastAsia="仿宋"/>
          <w:sz w:val="32"/>
          <w:highlight w:val="none"/>
          <w:lang w:val="en-US" w:eastAsia="zh-CN"/>
        </w:rPr>
        <w:t>2</w:t>
      </w:r>
      <w:r>
        <w:rPr>
          <w:rFonts w:hint="eastAsia" w:ascii="仿宋" w:hAnsi="仿宋" w:eastAsia="仿宋"/>
          <w:sz w:val="32"/>
          <w:highlight w:val="none"/>
        </w:rPr>
        <w:t xml:space="preserve">年本单位基本支出 </w:t>
      </w:r>
      <w:r>
        <w:rPr>
          <w:rFonts w:hint="eastAsia" w:ascii="仿宋" w:hAnsi="仿宋" w:eastAsia="仿宋"/>
          <w:sz w:val="32"/>
          <w:highlight w:val="none"/>
          <w:lang w:val="en-US" w:eastAsia="zh-CN"/>
        </w:rPr>
        <w:t>21347.72</w:t>
      </w:r>
      <w:r>
        <w:rPr>
          <w:rFonts w:hint="eastAsia" w:ascii="仿宋" w:hAnsi="仿宋" w:eastAsia="仿宋"/>
          <w:sz w:val="32"/>
          <w:highlight w:val="none"/>
        </w:rPr>
        <w:t>万元，主要是为保障单位机构正常运转、完成日常工作任务而发生的各项支出，包括用于基本工资、津贴补贴等人员经费以及办公费、印刷费、水电费、办公设备购置等日常公用经费</w:t>
      </w:r>
      <w:r>
        <w:rPr>
          <w:rFonts w:hint="eastAsia" w:ascii="仿宋" w:hAnsi="仿宋" w:eastAsia="仿宋"/>
          <w:sz w:val="32"/>
          <w:highlight w:val="none"/>
          <w:lang w:eastAsia="zh-CN"/>
        </w:rPr>
        <w:t>。</w:t>
      </w:r>
    </w:p>
    <w:p>
      <w:pPr>
        <w:pStyle w:val="21"/>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ascii="Times New Roman" w:hAnsi="Times New Roman" w:eastAsia="楷体_GB2312"/>
          <w:b/>
          <w:sz w:val="32"/>
          <w:szCs w:val="32"/>
        </w:rPr>
      </w:pPr>
      <w:r>
        <w:rPr>
          <w:rFonts w:ascii="Times New Roman" w:hAnsi="Times New Roman" w:eastAsia="楷体_GB2312"/>
          <w:b/>
          <w:sz w:val="32"/>
          <w:szCs w:val="32"/>
        </w:rPr>
        <w:t>项目支出情况</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sz w:val="32"/>
          <w:highlight w:val="none"/>
          <w:lang w:val="en-US" w:eastAsia="zh-CN"/>
        </w:rPr>
      </w:pPr>
      <w:r>
        <w:rPr>
          <w:rFonts w:hint="eastAsia" w:ascii="仿宋" w:hAnsi="仿宋" w:eastAsia="仿宋"/>
          <w:sz w:val="32"/>
          <w:highlight w:val="none"/>
        </w:rPr>
        <w:t>2</w:t>
      </w:r>
      <w:r>
        <w:rPr>
          <w:rFonts w:hint="eastAsia" w:ascii="仿宋" w:hAnsi="仿宋" w:eastAsia="仿宋"/>
          <w:sz w:val="32"/>
          <w:highlight w:val="none"/>
          <w:lang w:val="en-US" w:eastAsia="zh-CN"/>
        </w:rPr>
        <w:t>022年本单位项目支出12721.34 万元，这是部门为完成特定行政工作任务或事业发展目标而发生的支出，包括有关事业发展专项、高校“双一流”建设专项等。</w:t>
      </w:r>
    </w:p>
    <w:p>
      <w:pPr>
        <w:pStyle w:val="21"/>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left"/>
        <w:textAlignment w:val="auto"/>
        <w:rPr>
          <w:rFonts w:ascii="Times New Roman" w:hAnsi="Times New Roman" w:eastAsia="黑体"/>
          <w:sz w:val="32"/>
          <w:szCs w:val="32"/>
        </w:rPr>
      </w:pPr>
      <w:r>
        <w:rPr>
          <w:rFonts w:ascii="Times New Roman" w:hAnsi="Times New Roman" w:eastAsia="黑体"/>
          <w:sz w:val="32"/>
          <w:szCs w:val="32"/>
        </w:rPr>
        <w:t>政府性基金预算支出情况</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cs="Times New Roman"/>
          <w:kern w:val="2"/>
          <w:sz w:val="32"/>
          <w:szCs w:val="24"/>
          <w:highlight w:val="none"/>
          <w:lang w:val="en-US" w:eastAsia="zh-CN" w:bidi="ar-SA"/>
        </w:rPr>
      </w:pPr>
      <w:r>
        <w:rPr>
          <w:rFonts w:hint="eastAsia" w:ascii="仿宋" w:hAnsi="仿宋" w:eastAsia="仿宋" w:cs="Times New Roman"/>
          <w:kern w:val="2"/>
          <w:sz w:val="32"/>
          <w:szCs w:val="24"/>
          <w:highlight w:val="none"/>
          <w:lang w:val="en-US" w:eastAsia="zh-CN" w:bidi="ar-SA"/>
        </w:rPr>
        <w:t>2022年本部门无政府性基金预算支出。</w:t>
      </w:r>
    </w:p>
    <w:p>
      <w:pPr>
        <w:pStyle w:val="21"/>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left"/>
        <w:textAlignment w:val="auto"/>
        <w:rPr>
          <w:rFonts w:ascii="Times New Roman" w:hAnsi="Times New Roman" w:eastAsia="黑体"/>
          <w:sz w:val="32"/>
          <w:szCs w:val="32"/>
        </w:rPr>
      </w:pPr>
      <w:r>
        <w:rPr>
          <w:rFonts w:ascii="Times New Roman" w:hAnsi="Times New Roman" w:eastAsia="黑体"/>
          <w:sz w:val="32"/>
          <w:szCs w:val="32"/>
        </w:rPr>
        <w:t>国有资本经营预算支出情况</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cs="Times New Roman"/>
          <w:kern w:val="2"/>
          <w:sz w:val="32"/>
          <w:szCs w:val="24"/>
          <w:highlight w:val="none"/>
          <w:lang w:val="en-US" w:eastAsia="zh-CN" w:bidi="ar-SA"/>
        </w:rPr>
      </w:pPr>
      <w:r>
        <w:rPr>
          <w:rFonts w:hint="eastAsia" w:ascii="仿宋" w:hAnsi="仿宋" w:eastAsia="仿宋" w:cs="Times New Roman"/>
          <w:kern w:val="2"/>
          <w:sz w:val="32"/>
          <w:szCs w:val="24"/>
          <w:highlight w:val="none"/>
          <w:lang w:val="en-US" w:eastAsia="zh-CN" w:bidi="ar-SA"/>
        </w:rPr>
        <w:t>2022 年本部门无国有资本经营预算支出。</w:t>
      </w:r>
    </w:p>
    <w:p>
      <w:pPr>
        <w:pStyle w:val="21"/>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640" w:firstLineChars="200"/>
        <w:jc w:val="left"/>
        <w:textAlignment w:val="auto"/>
        <w:rPr>
          <w:rFonts w:ascii="Times New Roman" w:hAnsi="Times New Roman" w:eastAsia="黑体"/>
          <w:sz w:val="32"/>
          <w:szCs w:val="32"/>
        </w:rPr>
      </w:pPr>
      <w:r>
        <w:rPr>
          <w:rFonts w:ascii="Times New Roman" w:hAnsi="Times New Roman" w:eastAsia="黑体"/>
          <w:sz w:val="32"/>
          <w:szCs w:val="32"/>
        </w:rPr>
        <w:t>社会保险基金预算支出情况</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rPr>
          <w:rFonts w:hint="eastAsia" w:ascii="仿宋" w:hAnsi="仿宋" w:eastAsia="仿宋" w:cs="Times New Roman"/>
          <w:kern w:val="2"/>
          <w:sz w:val="32"/>
          <w:szCs w:val="24"/>
          <w:highlight w:val="none"/>
          <w:lang w:val="en-US" w:eastAsia="zh-CN" w:bidi="ar-SA"/>
        </w:rPr>
      </w:pPr>
      <w:r>
        <w:rPr>
          <w:rFonts w:hint="eastAsia" w:ascii="仿宋" w:hAnsi="仿宋" w:eastAsia="仿宋" w:cs="Times New Roman"/>
          <w:kern w:val="2"/>
          <w:sz w:val="32"/>
          <w:szCs w:val="24"/>
          <w:highlight w:val="none"/>
          <w:lang w:val="en-US" w:eastAsia="zh-CN" w:bidi="ar-SA"/>
        </w:rPr>
        <w:t>2022 年本部门无社会保险基金预算支出</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eastAsia="仿宋_GB2312"/>
          <w:color w:val="000000"/>
          <w:sz w:val="32"/>
          <w:szCs w:val="32"/>
        </w:rPr>
      </w:pPr>
      <w:r>
        <w:rPr>
          <w:rFonts w:eastAsia="黑体"/>
          <w:sz w:val="32"/>
          <w:szCs w:val="32"/>
        </w:rPr>
        <w:t>六、部门整体支出绩效情况</w:t>
      </w:r>
    </w:p>
    <w:p>
      <w:pPr>
        <w:keepNext w:val="0"/>
        <w:keepLines w:val="0"/>
        <w:pageBreakBefore w:val="0"/>
        <w:numPr>
          <w:ilvl w:val="0"/>
          <w:numId w:val="0"/>
        </w:numPr>
        <w:kinsoku/>
        <w:wordWrap/>
        <w:overflowPunct/>
        <w:topLinePunct w:val="0"/>
        <w:autoSpaceDE/>
        <w:autoSpaceDN/>
        <w:bidi w:val="0"/>
        <w:spacing w:line="560" w:lineRule="exact"/>
        <w:ind w:leftChars="0" w:firstLine="640" w:firstLineChars="200"/>
        <w:textAlignment w:val="auto"/>
        <w:rPr>
          <w:rFonts w:hint="eastAsia" w:ascii="仿宋_GB2312" w:hAnsi="宋体" w:eastAsia="仿宋_GB2312" w:cs="仿宋_GB2312"/>
          <w:color w:val="000000"/>
          <w:sz w:val="32"/>
          <w:szCs w:val="32"/>
        </w:rPr>
      </w:pPr>
      <w:r>
        <w:rPr>
          <w:rFonts w:hint="eastAsia" w:ascii="仿宋_GB2312" w:hAnsi="宋体" w:eastAsia="仿宋_GB2312" w:cs="仿宋_GB2312"/>
          <w:color w:val="000000"/>
          <w:sz w:val="32"/>
          <w:szCs w:val="32"/>
          <w:lang w:val="en-US" w:eastAsia="zh-CN"/>
        </w:rPr>
        <w:t>2022年</w:t>
      </w:r>
      <w:r>
        <w:rPr>
          <w:rFonts w:hint="eastAsia" w:ascii="仿宋_GB2312" w:hAnsi="宋体" w:eastAsia="仿宋_GB2312" w:cs="仿宋_GB2312"/>
          <w:color w:val="000000"/>
          <w:sz w:val="32"/>
          <w:szCs w:val="32"/>
        </w:rPr>
        <w:t>，</w:t>
      </w:r>
      <w:r>
        <w:rPr>
          <w:rFonts w:hint="eastAsia" w:ascii="仿宋_GB2312" w:hAnsi="宋体" w:eastAsia="仿宋_GB2312" w:cs="仿宋_GB2312"/>
          <w:color w:val="000000"/>
          <w:sz w:val="32"/>
          <w:szCs w:val="32"/>
          <w:lang w:val="en-US" w:eastAsia="zh-CN"/>
        </w:rPr>
        <w:t>学校</w:t>
      </w:r>
      <w:r>
        <w:rPr>
          <w:rFonts w:hint="eastAsia" w:ascii="仿宋_GB2312" w:hAnsi="宋体" w:eastAsia="仿宋_GB2312" w:cs="仿宋_GB2312"/>
          <w:color w:val="000000"/>
          <w:sz w:val="32"/>
          <w:szCs w:val="32"/>
        </w:rPr>
        <w:t>坚持以习近平新时代中国特色社会主义思想为指导，</w:t>
      </w:r>
      <w:r>
        <w:rPr>
          <w:rFonts w:hint="eastAsia" w:ascii="仿宋_GB2312" w:hAnsi="宋体" w:eastAsia="仿宋_GB2312" w:cs="仿宋_GB2312"/>
          <w:color w:val="000000"/>
          <w:sz w:val="32"/>
          <w:szCs w:val="32"/>
          <w:lang w:val="en-US" w:eastAsia="zh-CN"/>
        </w:rPr>
        <w:t>以</w:t>
      </w:r>
      <w:r>
        <w:rPr>
          <w:rFonts w:hint="eastAsia" w:ascii="仿宋_GB2312" w:hAnsi="宋体" w:eastAsia="仿宋_GB2312" w:cs="仿宋_GB2312"/>
          <w:color w:val="000000"/>
          <w:sz w:val="32"/>
          <w:szCs w:val="32"/>
        </w:rPr>
        <w:t>党的</w:t>
      </w:r>
      <w:r>
        <w:rPr>
          <w:rFonts w:hint="eastAsia" w:ascii="仿宋_GB2312" w:hAnsi="宋体" w:eastAsia="仿宋_GB2312" w:cs="仿宋_GB2312"/>
          <w:color w:val="000000"/>
          <w:sz w:val="32"/>
          <w:szCs w:val="32"/>
          <w:lang w:val="en-US" w:eastAsia="zh-CN"/>
        </w:rPr>
        <w:t>二十大</w:t>
      </w:r>
      <w:r>
        <w:rPr>
          <w:rFonts w:hint="eastAsia" w:ascii="仿宋_GB2312" w:hAnsi="宋体" w:eastAsia="仿宋_GB2312" w:cs="仿宋_GB2312"/>
          <w:color w:val="000000"/>
          <w:sz w:val="32"/>
          <w:szCs w:val="32"/>
        </w:rPr>
        <w:t>精神</w:t>
      </w:r>
      <w:r>
        <w:rPr>
          <w:rFonts w:hint="eastAsia" w:ascii="仿宋_GB2312" w:hAnsi="宋体" w:eastAsia="仿宋_GB2312" w:cs="仿宋_GB2312"/>
          <w:color w:val="000000"/>
          <w:sz w:val="32"/>
          <w:szCs w:val="32"/>
          <w:lang w:val="en-US" w:eastAsia="zh-CN"/>
        </w:rPr>
        <w:t>为指引</w:t>
      </w:r>
      <w:r>
        <w:rPr>
          <w:rFonts w:hint="eastAsia" w:ascii="仿宋_GB2312" w:hAnsi="宋体" w:eastAsia="仿宋_GB2312" w:cs="仿宋_GB2312"/>
          <w:color w:val="000000"/>
          <w:sz w:val="32"/>
          <w:szCs w:val="32"/>
        </w:rPr>
        <w:t>，</w:t>
      </w:r>
      <w:r>
        <w:rPr>
          <w:rFonts w:hint="eastAsia" w:ascii="仿宋_GB2312" w:hAnsi="仿宋_GB2312" w:eastAsia="仿宋_GB2312" w:cs="仿宋_GB2312"/>
          <w:color w:val="auto"/>
          <w:sz w:val="32"/>
          <w:szCs w:val="32"/>
        </w:rPr>
        <w:t>认真贯彻</w:t>
      </w:r>
      <w:r>
        <w:rPr>
          <w:rFonts w:hint="eastAsia" w:ascii="仿宋_GB2312" w:hAnsi="仿宋_GB2312" w:eastAsia="仿宋_GB2312" w:cs="仿宋_GB2312"/>
          <w:color w:val="auto"/>
          <w:sz w:val="32"/>
          <w:szCs w:val="32"/>
          <w:lang w:eastAsia="zh-CN"/>
        </w:rPr>
        <w:t>落实</w:t>
      </w:r>
      <w:r>
        <w:rPr>
          <w:rFonts w:hint="eastAsia" w:ascii="仿宋_GB2312" w:hAnsi="仿宋_GB2312" w:eastAsia="仿宋_GB2312" w:cs="仿宋_GB2312"/>
          <w:color w:val="auto"/>
          <w:sz w:val="32"/>
          <w:szCs w:val="32"/>
        </w:rPr>
        <w:t>习近平总书记对湖南重要讲话重要指示批示精神和省委、省教育厅、教育工委决策部署，坚持稳中求进工作总基调，立足新发展阶段、贯彻新发展理念、融入新发展格局，深度对接湖南省“三高四新”战略定位和使命任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以立德树人为根本任务，</w:t>
      </w:r>
      <w:r>
        <w:rPr>
          <w:rFonts w:hint="eastAsia" w:ascii="仿宋_GB2312" w:hAnsi="宋体" w:eastAsia="仿宋_GB2312" w:cs="仿宋_GB2312"/>
          <w:color w:val="000000"/>
          <w:sz w:val="32"/>
          <w:szCs w:val="32"/>
        </w:rPr>
        <w:t>稳中求进，难中求成，各项工作取得明显成效。</w:t>
      </w:r>
    </w:p>
    <w:p>
      <w:pPr>
        <w:keepNext w:val="0"/>
        <w:keepLines w:val="0"/>
        <w:pageBreakBefore w:val="0"/>
        <w:kinsoku/>
        <w:wordWrap/>
        <w:overflowPunct/>
        <w:topLinePunct w:val="0"/>
        <w:autoSpaceDE/>
        <w:autoSpaceDN/>
        <w:bidi w:val="0"/>
        <w:spacing w:line="560" w:lineRule="exact"/>
        <w:ind w:leftChars="0" w:firstLine="664" w:firstLineChars="200"/>
        <w:textAlignment w:val="auto"/>
        <w:rPr>
          <w:rFonts w:hint="eastAsia"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通过资料收集、整理、审核和自评分析，2022年度，学校预算执行严格有效、预算管理规范，党政建设成效显著，履职效益明显，较好的完成了各项目标工作任务，进一步提升了政务服务公开水平，产生了较好的社会效益，服务对象满意度不断提升。《部门整体支出绩效自评表》综合自评得分为 98分。主要工作成效如下：</w:t>
      </w:r>
    </w:p>
    <w:p>
      <w:pPr>
        <w:pStyle w:val="21"/>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Times New Roman" w:hAnsi="Times New Roman" w:eastAsia="楷体_GB2312"/>
          <w:b/>
          <w:sz w:val="32"/>
          <w:szCs w:val="32"/>
          <w:lang w:val="en-US" w:eastAsia="zh-CN"/>
        </w:rPr>
      </w:pPr>
      <w:r>
        <w:rPr>
          <w:rFonts w:hint="eastAsia" w:ascii="Times New Roman" w:hAnsi="Times New Roman" w:eastAsia="楷体_GB2312"/>
          <w:b/>
          <w:sz w:val="32"/>
          <w:szCs w:val="32"/>
          <w:lang w:val="en-US" w:eastAsia="zh-CN"/>
        </w:rPr>
        <w:t>（一）运行成本方面</w:t>
      </w:r>
    </w:p>
    <w:p>
      <w:pPr>
        <w:pStyle w:val="2"/>
        <w:keepNext w:val="0"/>
        <w:keepLines w:val="0"/>
        <w:pageBreakBefore w:val="0"/>
        <w:kinsoku/>
        <w:wordWrap/>
        <w:overflowPunct/>
        <w:topLinePunct w:val="0"/>
        <w:autoSpaceDE/>
        <w:autoSpaceDN/>
        <w:bidi w:val="0"/>
        <w:spacing w:line="560" w:lineRule="exact"/>
        <w:ind w:leftChars="0" w:firstLine="664" w:firstLineChars="200"/>
        <w:textAlignment w:val="auto"/>
        <w:rPr>
          <w:rFonts w:hint="eastAsia"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1．预算执行严格有效。2022 年学校全年预算数56027.73 万元，全年执行数 60424.4万元，全年预算执行率107.85%。</w:t>
      </w:r>
    </w:p>
    <w:p>
      <w:pPr>
        <w:pStyle w:val="2"/>
        <w:keepNext w:val="0"/>
        <w:keepLines w:val="0"/>
        <w:pageBreakBefore w:val="0"/>
        <w:kinsoku/>
        <w:wordWrap/>
        <w:overflowPunct/>
        <w:topLinePunct w:val="0"/>
        <w:autoSpaceDE/>
        <w:autoSpaceDN/>
        <w:bidi w:val="0"/>
        <w:spacing w:line="560" w:lineRule="exact"/>
        <w:ind w:leftChars="0" w:firstLine="664" w:firstLineChars="200"/>
        <w:textAlignment w:val="auto"/>
        <w:rPr>
          <w:rFonts w:hint="eastAsia"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2．预算管理规范，公用经费及三公经费控制有力。学校严格预算批复的用途使用资金，做到无预算不开支。加强预算执行，提高资金使用效益和防控财务风险；未用一般公共预算拨款安排“三公”经费的支出。</w:t>
      </w:r>
    </w:p>
    <w:p>
      <w:pPr>
        <w:keepNext w:val="0"/>
        <w:keepLines w:val="0"/>
        <w:pageBreakBefore w:val="0"/>
        <w:widowControl/>
        <w:suppressLineNumbers w:val="0"/>
        <w:kinsoku/>
        <w:wordWrap/>
        <w:overflowPunct/>
        <w:topLinePunct w:val="0"/>
        <w:autoSpaceDE/>
        <w:autoSpaceDN/>
        <w:bidi w:val="0"/>
        <w:spacing w:line="560" w:lineRule="exact"/>
        <w:ind w:leftChars="0" w:firstLine="620" w:firstLineChars="200"/>
        <w:jc w:val="left"/>
        <w:textAlignment w:val="auto"/>
      </w:pPr>
      <w:r>
        <w:rPr>
          <w:rFonts w:ascii="楷体" w:hAnsi="楷体" w:eastAsia="楷体" w:cs="楷体"/>
          <w:b/>
          <w:bCs/>
          <w:color w:val="000000"/>
          <w:kern w:val="0"/>
          <w:sz w:val="31"/>
          <w:szCs w:val="31"/>
          <w:lang w:val="en-US" w:eastAsia="zh-CN" w:bidi="ar"/>
        </w:rPr>
        <w:t xml:space="preserve">（二）管理效率及履职效能方面 </w:t>
      </w:r>
    </w:p>
    <w:p>
      <w:pPr>
        <w:keepNext w:val="0"/>
        <w:keepLines w:val="0"/>
        <w:pageBreakBefore w:val="0"/>
        <w:widowControl/>
        <w:suppressLineNumbers w:val="0"/>
        <w:kinsoku/>
        <w:wordWrap/>
        <w:overflowPunct/>
        <w:topLinePunct w:val="0"/>
        <w:autoSpaceDE/>
        <w:autoSpaceDN/>
        <w:bidi w:val="0"/>
        <w:spacing w:line="560" w:lineRule="exact"/>
        <w:ind w:leftChars="0"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2022年，我校狠抓重点工作，较好的完成了各项目标工作任务， 取得了较好的经济和社会效益，履职效能明显提高。</w:t>
      </w:r>
    </w:p>
    <w:p>
      <w:pPr>
        <w:pStyle w:val="2"/>
        <w:keepNext w:val="0"/>
        <w:keepLines w:val="0"/>
        <w:pageBreakBefore w:val="0"/>
        <w:kinsoku/>
        <w:wordWrap/>
        <w:overflowPunct/>
        <w:topLinePunct w:val="0"/>
        <w:autoSpaceDE/>
        <w:autoSpaceDN/>
        <w:bidi w:val="0"/>
        <w:spacing w:line="560" w:lineRule="exact"/>
        <w:ind w:leftChars="0" w:firstLine="640" w:firstLineChars="200"/>
        <w:textAlignment w:val="auto"/>
      </w:pPr>
      <w:r>
        <w:rPr>
          <w:rFonts w:hint="eastAsia" w:ascii="楷体_GB2312" w:hAnsi="楷体_GB2312" w:eastAsia="楷体_GB2312" w:cs="楷体_GB2312"/>
          <w:b/>
          <w:bCs/>
          <w:color w:val="auto"/>
          <w:kern w:val="2"/>
          <w:sz w:val="32"/>
          <w:szCs w:val="32"/>
          <w:lang w:val="en-US" w:eastAsia="zh-CN" w:bidi="ar-SA"/>
        </w:rPr>
        <w:t>1.党的政治建设全面加强。</w:t>
      </w:r>
      <w:r>
        <w:rPr>
          <w:rFonts w:hint="eastAsia" w:ascii="仿宋_GB2312" w:hAnsi="仿宋_GB2312" w:eastAsia="仿宋_GB2312" w:cs="仿宋_GB2312"/>
          <w:b w:val="0"/>
          <w:bCs w:val="0"/>
          <w:color w:val="auto"/>
          <w:kern w:val="2"/>
          <w:sz w:val="32"/>
          <w:szCs w:val="32"/>
          <w:lang w:val="en-US" w:eastAsia="zh-CN" w:bidi="ar-SA"/>
        </w:rPr>
        <w:t>落实新时代党的建设总要求，加强党对学校工作的全面领导，坚持和完善党委领导下的校长负责制。加强基层党组织建设，积极推进支部“五化”建设，隆重举行“光荣在党50年”纪念章颁发仪式。我校2021年度高校党委书记抓基层党建述职评议考核工作在全省被评为“好”等次。</w:t>
      </w:r>
      <w:r>
        <w:rPr>
          <w:rFonts w:hint="eastAsia" w:ascii="仿宋" w:hAnsi="仿宋" w:eastAsia="仿宋" w:cs="仿宋"/>
          <w:bCs/>
          <w:sz w:val="32"/>
          <w:szCs w:val="32"/>
        </w:rPr>
        <w:t>邵阳学院驻湾里村乡村振兴工作队</w:t>
      </w:r>
      <w:r>
        <w:rPr>
          <w:rFonts w:hint="eastAsia" w:ascii="仿宋" w:hAnsi="仿宋" w:eastAsia="仿宋" w:cs="仿宋"/>
          <w:bCs/>
          <w:sz w:val="32"/>
          <w:szCs w:val="32"/>
          <w:lang w:val="en-US" w:eastAsia="zh-CN"/>
        </w:rPr>
        <w:t>成效明显</w:t>
      </w:r>
      <w:r>
        <w:rPr>
          <w:rFonts w:hint="eastAsia" w:ascii="仿宋" w:hAnsi="仿宋" w:eastAsia="仿宋" w:cs="仿宋"/>
          <w:bCs/>
          <w:sz w:val="32"/>
          <w:szCs w:val="32"/>
        </w:rPr>
        <w:t>，有效利用政府衔接资金和学校专项帮扶资金，</w:t>
      </w:r>
      <w:r>
        <w:rPr>
          <w:rFonts w:hint="default" w:ascii="仿宋" w:hAnsi="仿宋" w:eastAsia="仿宋" w:cs="仿宋"/>
          <w:bCs/>
          <w:sz w:val="32"/>
          <w:szCs w:val="32"/>
        </w:rPr>
        <w:t>实现</w:t>
      </w:r>
      <w:r>
        <w:rPr>
          <w:rFonts w:hint="eastAsia" w:ascii="仿宋" w:hAnsi="仿宋" w:eastAsia="仿宋" w:cs="仿宋"/>
          <w:bCs/>
          <w:sz w:val="32"/>
          <w:szCs w:val="32"/>
        </w:rPr>
        <w:t>村集体经济收入突破15万元</w:t>
      </w:r>
      <w:r>
        <w:rPr>
          <w:rFonts w:hint="default" w:ascii="仿宋" w:hAnsi="仿宋" w:eastAsia="仿宋" w:cs="仿宋"/>
          <w:bCs/>
          <w:sz w:val="32"/>
          <w:szCs w:val="32"/>
          <w:lang w:eastAsia="zh-CN"/>
        </w:rPr>
        <w:t>。</w:t>
      </w:r>
    </w:p>
    <w:p>
      <w:pPr>
        <w:keepNext w:val="0"/>
        <w:keepLines w:val="0"/>
        <w:pageBreakBefore w:val="0"/>
        <w:kinsoku/>
        <w:wordWrap/>
        <w:overflowPunct/>
        <w:topLinePunct w:val="0"/>
        <w:autoSpaceDE/>
        <w:autoSpaceDN/>
        <w:bidi w:val="0"/>
        <w:spacing w:line="560" w:lineRule="exact"/>
        <w:ind w:leftChars="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楷体_GB2312" w:hAnsi="楷体_GB2312" w:eastAsia="楷体_GB2312" w:cs="楷体_GB2312"/>
          <w:b/>
          <w:bCs/>
          <w:color w:val="auto"/>
          <w:kern w:val="2"/>
          <w:sz w:val="32"/>
          <w:szCs w:val="32"/>
          <w:lang w:val="en-US" w:eastAsia="zh-CN" w:bidi="ar-SA"/>
        </w:rPr>
        <w:t>2.宣传统战工作稳步推进。</w:t>
      </w:r>
      <w:r>
        <w:rPr>
          <w:rFonts w:hint="eastAsia" w:ascii="仿宋_GB2312" w:hAnsi="仿宋_GB2312" w:eastAsia="仿宋_GB2312" w:cs="仿宋_GB2312"/>
          <w:b w:val="0"/>
          <w:bCs w:val="0"/>
          <w:color w:val="auto"/>
          <w:kern w:val="2"/>
          <w:sz w:val="32"/>
          <w:szCs w:val="32"/>
          <w:lang w:val="en-US" w:eastAsia="zh-CN" w:bidi="ar-SA"/>
        </w:rPr>
        <w:t>牢牢把握意识形态工作领导权，加强舆情监控，确保网络安全。监测各类涉校负面网帖、信息近7万起，近百条官方媒体投诉均100%予以妥善处置。全年外宣省级以上媒体发稿232篇，在校网站发布新闻801篇，官方微信公众号发文325篇，官方微博发布2893条。举行党外人士座谈会，汇聚各民主党派、侨联、无党派人士共谋学校发展的合力。民进支部、农工党基层委员会分别荣获2021年度“市先进基层支部”和“优秀基层组织”称号。</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both"/>
        <w:textAlignment w:val="auto"/>
        <w:rPr>
          <w:rFonts w:hint="eastAsia"/>
          <w:lang w:val="en-US" w:eastAsia="zh-CN"/>
        </w:rPr>
      </w:pPr>
      <w:r>
        <w:rPr>
          <w:rFonts w:hint="eastAsia" w:ascii="楷体_GB2312" w:hAnsi="楷体_GB2312" w:eastAsia="楷体_GB2312" w:cs="楷体_GB2312"/>
          <w:b/>
          <w:bCs/>
          <w:color w:val="auto"/>
          <w:sz w:val="32"/>
          <w:szCs w:val="32"/>
          <w:lang w:val="en-US" w:eastAsia="zh-CN"/>
        </w:rPr>
        <w:t>3.疫情防控有力有序。</w:t>
      </w:r>
      <w:r>
        <w:rPr>
          <w:rFonts w:hint="eastAsia" w:ascii="仿宋_GB2312" w:hAnsi="仿宋_GB2312" w:eastAsia="仿宋_GB2312" w:cs="仿宋_GB2312"/>
          <w:b w:val="0"/>
          <w:bCs w:val="0"/>
          <w:i w:val="0"/>
          <w:iCs w:val="0"/>
          <w:caps w:val="0"/>
          <w:color w:val="000000"/>
          <w:spacing w:val="0"/>
          <w:kern w:val="0"/>
          <w:sz w:val="32"/>
          <w:szCs w:val="32"/>
          <w:shd w:val="clear" w:color="auto" w:fill="FFFFFF"/>
          <w:lang w:val="en-US" w:eastAsia="zh-CN" w:bidi="ar"/>
        </w:rPr>
        <w:t>11月学校发生疫情以来，学校党委统筹安全与发展，高度重视疫情防控和涉疫维稳工作，坚持人民至上，生命至上，严格落实“四方责任”，第一时间决策，第一时间部署，第一时间现场调度，突出“快准狠”，打了一场疫情防控攻坚战、保卫战、阻击战。一是党委立即启动应急预案，深夜召开疫情防控领导小组会议，迅速成立疫情防控工作专班，压实各方责任，在2小时内逐级上报疫情；二是及时制定《邵阳学院疫情防控期间静态管理工作实施细则》等系列方案，第一时间对涉疫区域进行管控，5小时内全部将密接人员转运隔离，迅速切断疫情传播链条。三是坚持一校区一策一片区一策，实行精细化、网格化管理，对各级各类人员分级分类管理，严格落实各项疫情防控措施。在省教育工委、省教育厅和市委市政府的关心支持下，学校党委带领全校师生员工，众志成城，有力有序抗击疫情，确保校园平安。</w:t>
      </w:r>
    </w:p>
    <w:p>
      <w:pPr>
        <w:keepNext w:val="0"/>
        <w:keepLines w:val="0"/>
        <w:pageBreakBefore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宋体" w:eastAsia="仿宋_GB2312" w:cs="仿宋_GB2312"/>
          <w:sz w:val="32"/>
          <w:szCs w:val="32"/>
          <w:lang w:eastAsia="zh-CN"/>
        </w:rPr>
      </w:pPr>
      <w:r>
        <w:rPr>
          <w:rFonts w:hint="eastAsia" w:ascii="楷体_GB2312" w:hAnsi="楷体_GB2312" w:eastAsia="楷体_GB2312" w:cs="楷体_GB2312"/>
          <w:b/>
          <w:bCs w:val="0"/>
          <w:kern w:val="32"/>
          <w:sz w:val="32"/>
          <w:szCs w:val="32"/>
          <w:lang w:val="en-US" w:eastAsia="zh-CN" w:bidi="ar-SA"/>
        </w:rPr>
        <w:t>4.课程建设持续推进。</w:t>
      </w:r>
      <w:r>
        <w:rPr>
          <w:rFonts w:hint="eastAsia" w:ascii="仿宋_GB2312" w:hAnsi="宋体" w:eastAsia="仿宋_GB2312" w:cs="仿宋_GB2312"/>
          <w:sz w:val="32"/>
          <w:szCs w:val="32"/>
        </w:rPr>
        <w:t>搭建云端“大讲堂”，开通展翼青年云团直播间，邀请专家直播宣讲；坚持以赛促讲，开展“学习新思想 奋进新征程”教师微宣讲比赛</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1人被评为2021年湖南省高等学校思想政治教育研究先进个人；获2021年湖南省高等学校思想政治教育研究优秀论文、案例三等奖2项。坚持项目驱动，做优思政项目</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获省级思想政治工作重大攻关项目、省级思想政治工作研究项目、省级思想政治工作精品项目等8项。</w:t>
      </w:r>
      <w:r>
        <w:rPr>
          <w:rFonts w:hint="eastAsia" w:ascii="仿宋_GB2312" w:hAnsi="宋体" w:eastAsia="仿宋_GB2312" w:cs="Times New Roman"/>
          <w:sz w:val="32"/>
          <w:szCs w:val="32"/>
        </w:rPr>
        <w:t>立项校级课程思政示范课程20门</w:t>
      </w:r>
      <w:r>
        <w:rPr>
          <w:rFonts w:hint="eastAsia" w:ascii="仿宋_GB2312" w:hAnsi="宋体" w:eastAsia="仿宋_GB2312" w:cs="Times New Roman"/>
          <w:sz w:val="32"/>
          <w:szCs w:val="32"/>
          <w:lang w:eastAsia="zh-CN"/>
        </w:rPr>
        <w:t>。</w:t>
      </w:r>
    </w:p>
    <w:p>
      <w:pPr>
        <w:pStyle w:val="21"/>
        <w:keepNext w:val="0"/>
        <w:keepLines w:val="0"/>
        <w:pageBreakBefore w:val="0"/>
        <w:widowControl w:val="0"/>
        <w:numPr>
          <w:ilvl w:val="0"/>
          <w:numId w:val="0"/>
        </w:numPr>
        <w:kinsoku/>
        <w:wordWrap/>
        <w:overflowPunct/>
        <w:topLinePunct w:val="0"/>
        <w:autoSpaceDE/>
        <w:autoSpaceDN/>
        <w:bidi w:val="0"/>
        <w:spacing w:line="560" w:lineRule="exact"/>
        <w:ind w:leftChars="0" w:firstLine="640" w:firstLineChars="200"/>
        <w:textAlignment w:val="auto"/>
        <w:rPr>
          <w:rFonts w:hint="eastAsia" w:ascii="仿宋" w:hAnsi="仿宋" w:eastAsia="仿宋" w:cs="仿宋"/>
          <w:spacing w:val="6"/>
          <w:sz w:val="32"/>
          <w:szCs w:val="32"/>
          <w:lang w:val="en-US" w:eastAsia="zh-CN"/>
        </w:rPr>
      </w:pPr>
      <w:r>
        <w:rPr>
          <w:rFonts w:hint="eastAsia" w:ascii="楷体_GB2312" w:hAnsi="楷体_GB2312" w:eastAsia="楷体_GB2312" w:cs="楷体_GB2312"/>
          <w:b/>
          <w:bCs w:val="0"/>
          <w:kern w:val="32"/>
          <w:sz w:val="32"/>
          <w:szCs w:val="32"/>
          <w:lang w:val="en-US" w:eastAsia="zh-CN" w:bidi="ar-SA"/>
        </w:rPr>
        <w:t>5.思政教育成效提升。</w:t>
      </w:r>
      <w:r>
        <w:rPr>
          <w:rFonts w:hint="eastAsia" w:ascii="仿宋_GB2312" w:hAnsi="宋体" w:eastAsia="仿宋_GB2312" w:cs="Times New Roman"/>
          <w:sz w:val="32"/>
          <w:szCs w:val="32"/>
        </w:rPr>
        <w:t>进一步深化思想政治教育品牌建设</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着力打造了“青春之歌”--百校百场庆百年红色剧《蔡锷》。湖南省“十四五”美育教育研究基地正式启动。共青团在全国获得国家级奖项总计32项，省级奖项总计63项，市级奖项总计10项。“三下乡”共获得国家级奖励22项，省级奖励37项，第八次获得全国大中专学生志愿者暑期“三下乡”社会实践活动优秀单位；1人获评全国社会实践优秀个人；2人被评为“中国大学生自强之星”，“邵阳红”智助乡村青年创新团队获评“湖南青年五四奖章集体”。33名志愿者入选西部计划。97名大学生应征入伍。学生心理健康教育不断强化，</w:t>
      </w:r>
      <w:r>
        <w:rPr>
          <w:rFonts w:hint="eastAsia" w:ascii="仿宋_GB2312" w:hAnsi="仿宋_GB2312" w:eastAsia="仿宋_GB2312" w:cs="仿宋_GB2312"/>
          <w:b w:val="0"/>
          <w:bCs w:val="0"/>
          <w:color w:val="auto"/>
          <w:kern w:val="2"/>
          <w:sz w:val="32"/>
          <w:szCs w:val="32"/>
          <w:lang w:val="en-US" w:eastAsia="zh-CN" w:bidi="ar-SA"/>
        </w:rPr>
        <w:t>呵护学生心理健康</w:t>
      </w:r>
      <w:r>
        <w:rPr>
          <w:rFonts w:hint="eastAsia" w:ascii="仿宋_GB2312" w:hAnsi="宋体" w:eastAsia="仿宋_GB2312" w:cs="Times New Roman"/>
          <w:sz w:val="32"/>
          <w:szCs w:val="32"/>
          <w:lang w:val="en-US" w:eastAsia="zh-CN"/>
        </w:rPr>
        <w:t>。荣获“2022年度湖南省高校易班建设先进单位”。</w:t>
      </w:r>
    </w:p>
    <w:p>
      <w:pPr>
        <w:keepNext w:val="0"/>
        <w:keepLines w:val="0"/>
        <w:pageBreakBefore w:val="0"/>
        <w:kinsoku/>
        <w:wordWrap/>
        <w:overflowPunct/>
        <w:topLinePunct w:val="0"/>
        <w:autoSpaceDE/>
        <w:autoSpaceDN/>
        <w:bidi w:val="0"/>
        <w:spacing w:line="560" w:lineRule="exact"/>
        <w:ind w:leftChars="0" w:firstLine="640" w:firstLineChars="200"/>
        <w:textAlignment w:val="auto"/>
        <w:rPr>
          <w:rFonts w:hint="eastAsia" w:ascii="仿宋_GB2312" w:hAnsi="宋体" w:eastAsia="仿宋_GB2312" w:cs="Times New Roman"/>
          <w:sz w:val="32"/>
          <w:szCs w:val="32"/>
        </w:rPr>
      </w:pPr>
      <w:r>
        <w:rPr>
          <w:rFonts w:hint="eastAsia" w:ascii="楷体_GB2312" w:hAnsi="楷体_GB2312" w:eastAsia="楷体_GB2312" w:cs="楷体_GB2312"/>
          <w:b/>
          <w:bCs w:val="0"/>
          <w:kern w:val="32"/>
          <w:sz w:val="32"/>
          <w:szCs w:val="32"/>
          <w:lang w:val="en-US" w:eastAsia="zh-CN" w:bidi="ar-SA"/>
        </w:rPr>
        <w:t>6.学科建设不断推进。</w:t>
      </w:r>
      <w:r>
        <w:rPr>
          <w:rFonts w:hint="eastAsia" w:ascii="仿宋_GB2312" w:hAnsi="宋体" w:eastAsia="仿宋_GB2312" w:cs="Times New Roman"/>
          <w:sz w:val="32"/>
          <w:szCs w:val="32"/>
        </w:rPr>
        <w:t>全面推进高水平应用特色学院建设。按照“分类建设、目标管理、绩效考核”的建设思路，推进重点学科建设；召开多次学科建设研讨会，完成省级“双一流”建设成效评价，6个省级应用特色学科建设成效评价为“比较显著</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w:t>
      </w:r>
      <w:r>
        <w:rPr>
          <w:rFonts w:hint="eastAsia" w:ascii="仿宋_GB2312" w:hAnsi="宋体" w:eastAsia="仿宋_GB2312" w:cs="Times New Roman"/>
          <w:sz w:val="32"/>
          <w:szCs w:val="32"/>
          <w:lang w:val="en-US" w:eastAsia="zh-CN"/>
        </w:rPr>
        <w:t>获</w:t>
      </w:r>
      <w:r>
        <w:rPr>
          <w:rFonts w:hint="eastAsia" w:ascii="仿宋_GB2312" w:hAnsi="宋体" w:eastAsia="仿宋_GB2312" w:cs="Times New Roman"/>
          <w:sz w:val="32"/>
          <w:szCs w:val="32"/>
        </w:rPr>
        <w:t>“十四五”省级应用特色学科6个。启动“双一流”项目制建设，规划未来三年（2023-2025）项目。</w:t>
      </w:r>
      <w:r>
        <w:rPr>
          <w:rFonts w:hint="eastAsia" w:ascii="仿宋_GB2312" w:hAnsi="宋体" w:eastAsia="仿宋_GB2312" w:cs="Times New Roman"/>
          <w:sz w:val="32"/>
          <w:szCs w:val="32"/>
          <w:lang w:val="en-US" w:eastAsia="zh-CN"/>
        </w:rPr>
        <w:t>获湖南省研究生科研创新项目16项，完成申硕推进方案中的各项指标。</w:t>
      </w:r>
    </w:p>
    <w:p>
      <w:pPr>
        <w:keepNext w:val="0"/>
        <w:keepLines w:val="0"/>
        <w:pageBreakBefore w:val="0"/>
        <w:kinsoku/>
        <w:wordWrap/>
        <w:overflowPunct/>
        <w:topLinePunct w:val="0"/>
        <w:autoSpaceDE/>
        <w:autoSpaceDN/>
        <w:bidi w:val="0"/>
        <w:spacing w:line="560" w:lineRule="exact"/>
        <w:ind w:leftChars="0"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楷体_GB2312" w:hAnsi="楷体_GB2312" w:eastAsia="楷体_GB2312" w:cs="楷体_GB2312"/>
          <w:b/>
          <w:bCs w:val="0"/>
          <w:kern w:val="32"/>
          <w:sz w:val="32"/>
          <w:szCs w:val="32"/>
          <w:lang w:val="en-US" w:eastAsia="zh-CN" w:bidi="ar-SA"/>
        </w:rPr>
        <w:t>7.科研项目再创佳绩。</w:t>
      </w:r>
      <w:r>
        <w:rPr>
          <w:rFonts w:hint="eastAsia" w:ascii="仿宋_GB2312" w:hAnsi="Times New Roman" w:eastAsia="仿宋_GB2312" w:cs="Times New Roman"/>
          <w:kern w:val="2"/>
          <w:sz w:val="32"/>
          <w:szCs w:val="32"/>
          <w:lang w:val="en-US" w:eastAsia="zh-CN" w:bidi="ar-SA"/>
        </w:rPr>
        <w:t>今年，我校获国家自然科学基金项目7项（其中面上项目2项、青年项目5项），国家社科基金项目1项、国家艺术基金项目1项，教育部人文社科项目2项。获得省自然科学基金项目96项，立项数在全省排名第五。获得湖南省科学技术奖4项，发表学术论文1300余篇，其中SCI、EI、CPCI等三大收录150余篇，出版学术专著38部，获得国家授权发明专利54项，实用新型专利129余项。全年科研立项254项，纵向科研项目立项经费 980余万元，累计进校科研立项经费达3180余万元。</w:t>
      </w:r>
    </w:p>
    <w:p>
      <w:pPr>
        <w:keepNext w:val="0"/>
        <w:keepLines w:val="0"/>
        <w:pageBreakBefore w:val="0"/>
        <w:widowControl/>
        <w:suppressLineNumbers w:val="0"/>
        <w:kinsoku/>
        <w:wordWrap/>
        <w:overflowPunct/>
        <w:topLinePunct w:val="0"/>
        <w:autoSpaceDE/>
        <w:autoSpaceDN/>
        <w:bidi w:val="0"/>
        <w:spacing w:line="560" w:lineRule="exact"/>
        <w:ind w:leftChars="0" w:firstLine="620" w:firstLineChars="200"/>
        <w:jc w:val="left"/>
        <w:textAlignment w:val="auto"/>
      </w:pPr>
      <w:r>
        <w:rPr>
          <w:rFonts w:ascii="楷体" w:hAnsi="楷体" w:eastAsia="楷体" w:cs="楷体"/>
          <w:b/>
          <w:bCs/>
          <w:color w:val="000000"/>
          <w:kern w:val="0"/>
          <w:sz w:val="31"/>
          <w:szCs w:val="31"/>
          <w:lang w:val="en-US" w:eastAsia="zh-CN" w:bidi="ar"/>
        </w:rPr>
        <w:t>（三）社会效益方面</w:t>
      </w:r>
    </w:p>
    <w:p>
      <w:pPr>
        <w:keepNext w:val="0"/>
        <w:keepLines w:val="0"/>
        <w:pageBreakBefore w:val="0"/>
        <w:kinsoku/>
        <w:wordWrap/>
        <w:overflowPunct/>
        <w:topLinePunct w:val="0"/>
        <w:autoSpaceDE/>
        <w:autoSpaceDN/>
        <w:bidi w:val="0"/>
        <w:spacing w:line="560" w:lineRule="exact"/>
        <w:ind w:leftChars="0" w:firstLine="640" w:firstLineChars="200"/>
        <w:textAlignment w:val="auto"/>
        <w:rPr>
          <w:rFonts w:hint="eastAsia" w:ascii="仿宋_GB2312" w:hAnsi="宋体" w:eastAsia="仿宋_GB2312" w:cs="Times New Roman"/>
          <w:sz w:val="32"/>
          <w:szCs w:val="32"/>
          <w:lang w:val="en-US" w:eastAsia="zh-CN"/>
        </w:rPr>
      </w:pPr>
      <w:r>
        <w:rPr>
          <w:rFonts w:hint="eastAsia" w:ascii="楷体_GB2312" w:hAnsi="楷体_GB2312" w:eastAsia="楷体_GB2312" w:cs="楷体_GB2312"/>
          <w:b/>
          <w:bCs w:val="0"/>
          <w:kern w:val="32"/>
          <w:sz w:val="32"/>
          <w:szCs w:val="32"/>
          <w:lang w:val="en-US" w:eastAsia="zh-CN" w:bidi="ar-SA"/>
        </w:rPr>
        <w:t>1.招生就业稳步推进。</w:t>
      </w:r>
      <w:r>
        <w:rPr>
          <w:rFonts w:hint="eastAsia" w:ascii="仿宋_GB2312" w:hAnsi="宋体" w:eastAsia="仿宋_GB2312" w:cs="Times New Roman"/>
          <w:b/>
          <w:bCs/>
          <w:sz w:val="32"/>
          <w:szCs w:val="32"/>
          <w:lang w:val="en-US" w:eastAsia="zh-CN"/>
        </w:rPr>
        <w:t>一是招生工作积极推进。</w:t>
      </w:r>
      <w:r>
        <w:rPr>
          <w:rFonts w:hint="eastAsia" w:ascii="仿宋_GB2312" w:hAnsi="宋体" w:eastAsia="仿宋_GB2312" w:cs="Times New Roman"/>
          <w:sz w:val="32"/>
          <w:szCs w:val="32"/>
          <w:lang w:val="en-US" w:eastAsia="zh-CN"/>
        </w:rPr>
        <w:t>圆满完成30个省（直辖市、自治区）57个批次的招生任务，共录取新生6810人。在湖南普通类首选科目物理类9个专业组，超出500分以上123人，最高分为561分，高出省控线147分。</w:t>
      </w:r>
      <w:r>
        <w:rPr>
          <w:rFonts w:hint="eastAsia" w:ascii="仿宋_GB2312" w:hAnsi="宋体" w:eastAsia="仿宋_GB2312" w:cs="Times New Roman"/>
          <w:b/>
          <w:bCs/>
          <w:sz w:val="32"/>
          <w:szCs w:val="32"/>
          <w:lang w:val="en-US" w:eastAsia="zh-CN"/>
        </w:rPr>
        <w:t>二积极拓展就业市场。</w:t>
      </w:r>
      <w:r>
        <w:rPr>
          <w:rFonts w:hint="eastAsia" w:ascii="仿宋_GB2312" w:hAnsi="仿宋_GB2312" w:eastAsia="仿宋_GB2312" w:cs="仿宋_GB2312"/>
          <w:b w:val="0"/>
          <w:bCs w:val="0"/>
          <w:color w:val="auto"/>
          <w:kern w:val="2"/>
          <w:sz w:val="32"/>
          <w:szCs w:val="32"/>
          <w:lang w:val="en-US" w:eastAsia="zh-CN" w:bidi="ar-SA"/>
        </w:rPr>
        <w:t>今年是史上大学生毕业生最多的一年，上半年疫情影响，没有举行线下大型招聘会，但通过线上和线下落实就业创业工作“一把手”工程，走访联系用人单位100余家，提供毕业生就业岗位88351个，毕业生初次就业率为78.94%，</w:t>
      </w:r>
      <w:r>
        <w:rPr>
          <w:rFonts w:hint="eastAsia" w:ascii="仿宋_GB2312" w:hAnsi="宋体" w:eastAsia="仿宋_GB2312" w:cs="Times New Roman"/>
          <w:sz w:val="32"/>
          <w:szCs w:val="32"/>
          <w:lang w:val="en-US" w:eastAsia="zh-CN"/>
        </w:rPr>
        <w:t>高质量就业37%，比去年高出6个百分点。红网等多家媒体对学校访企拓岗专项行动进行了宣传报道。2人</w:t>
      </w:r>
      <w:r>
        <w:rPr>
          <w:rFonts w:hint="eastAsia" w:ascii="仿宋_GB2312" w:hAnsi="Times New Roman" w:eastAsia="仿宋_GB2312" w:cs="Times New Roman"/>
          <w:sz w:val="32"/>
          <w:szCs w:val="32"/>
          <w:lang w:val="en-US" w:eastAsia="zh-CN"/>
        </w:rPr>
        <w:t>获评省级基层就业典型人物。</w:t>
      </w:r>
      <w:r>
        <w:rPr>
          <w:rFonts w:hint="eastAsia" w:ascii="仿宋_GB2312" w:hAnsi="宋体" w:eastAsia="仿宋_GB2312" w:cs="Times New Roman"/>
          <w:sz w:val="32"/>
          <w:szCs w:val="32"/>
          <w:lang w:val="en-US" w:eastAsia="zh-CN"/>
        </w:rPr>
        <w:t>获“互联网+”大学生创新创业大赛省级三等奖以上奖励8项。新增15个大学生创业项目入驻大学生生创业孵化基地。</w:t>
      </w:r>
      <w:r>
        <w:rPr>
          <w:rFonts w:hint="eastAsia" w:ascii="仿宋_GB2312" w:hAnsi="仿宋_GB2312" w:eastAsia="仿宋_GB2312" w:cs="仿宋_GB2312"/>
          <w:b w:val="0"/>
          <w:bCs w:val="0"/>
          <w:color w:val="auto"/>
          <w:kern w:val="2"/>
          <w:sz w:val="32"/>
          <w:szCs w:val="32"/>
          <w:lang w:val="en-US" w:eastAsia="zh-CN" w:bidi="ar-SA"/>
        </w:rPr>
        <w:t>学校被省教育厅评为“湖南省普通高等学校毕业生就业区域性行业性常设市场。</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cs="仿宋"/>
          <w:color w:val="000000"/>
          <w:sz w:val="32"/>
          <w:szCs w:val="32"/>
          <w:lang w:val="en-US" w:eastAsia="zh-CN"/>
        </w:rPr>
      </w:pPr>
      <w:r>
        <w:rPr>
          <w:rFonts w:hint="eastAsia" w:ascii="楷体" w:hAnsi="楷体" w:eastAsia="楷体" w:cs="楷体"/>
          <w:b/>
          <w:bCs/>
          <w:color w:val="000000"/>
          <w:sz w:val="32"/>
          <w:szCs w:val="32"/>
          <w:lang w:val="en-US" w:eastAsia="zh-CN"/>
        </w:rPr>
        <w:t>2.坚持城校共生、产教融合。</w:t>
      </w:r>
      <w:r>
        <w:rPr>
          <w:rFonts w:hint="eastAsia" w:ascii="仿宋" w:hAnsi="仿宋" w:eastAsia="仿宋" w:cs="仿宋"/>
          <w:color w:val="000000"/>
          <w:sz w:val="32"/>
          <w:szCs w:val="32"/>
          <w:lang w:val="en-US" w:eastAsia="zh-CN"/>
        </w:rPr>
        <w:t>聚焦国家和湖南重大战略需求，紧跟邵阳经济社会发展需求，打造“水乳交融、共生共荣”的校地关系。充分发挥学校人才、智力和科技优势，深入开展服务邵阳经济社会发展“双百工程”，构建了校地双赢的新格局。组织100名博士教授服务100家企业，深化与邵阳神风动力公司、邵阳维克液压股份有限公司等企业的合作。继续推进“邵阳红”农产品品牌建设。豆制品产教融合的经验做法被央视科教频道的采访报道，对豆制品工艺和装备的共性关键技术突破表示高度赞赏。</w:t>
      </w:r>
    </w:p>
    <w:p>
      <w:pPr>
        <w:keepNext w:val="0"/>
        <w:keepLines w:val="0"/>
        <w:pageBreakBefore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 w:hAnsi="仿宋" w:eastAsia="仿宋" w:cs="仿宋"/>
          <w:color w:val="0000FF"/>
          <w:sz w:val="32"/>
          <w:szCs w:val="32"/>
        </w:rPr>
      </w:pPr>
      <w:r>
        <w:rPr>
          <w:rFonts w:hint="eastAsia" w:ascii="楷体" w:hAnsi="楷体" w:eastAsia="楷体" w:cs="楷体"/>
          <w:b/>
          <w:bCs/>
          <w:color w:val="000000"/>
          <w:sz w:val="32"/>
          <w:szCs w:val="32"/>
          <w:lang w:val="en-US" w:eastAsia="zh-CN"/>
        </w:rPr>
        <w:t>3.加强国内合作。</w:t>
      </w:r>
      <w:r>
        <w:rPr>
          <w:rFonts w:hint="eastAsia" w:ascii="仿宋_GB2312" w:hAnsi="仿宋_GB2312" w:eastAsia="仿宋_GB2312" w:cs="仿宋_GB2312"/>
          <w:b w:val="0"/>
          <w:bCs w:val="0"/>
          <w:color w:val="auto"/>
          <w:kern w:val="2"/>
          <w:sz w:val="32"/>
          <w:szCs w:val="32"/>
          <w:lang w:val="en-US" w:eastAsia="zh-CN" w:bidi="ar-SA"/>
        </w:rPr>
        <w:t>理顺国内合作管理体制机制，成立国内合作与校友工作处，统筹规范国内合作事宜。</w:t>
      </w:r>
      <w:r>
        <w:rPr>
          <w:rFonts w:hint="eastAsia" w:ascii="仿宋" w:hAnsi="仿宋" w:eastAsia="仿宋" w:cs="仿宋"/>
          <w:color w:val="000000"/>
          <w:sz w:val="32"/>
          <w:szCs w:val="32"/>
        </w:rPr>
        <w:t>在2022届毕业生中选聘148名校友联络员，努力拓展校友信息资源</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完成校友信息收集超10万人</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举办“校庆日”系列活动。多渠道讲好优秀校友故事</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共</w:t>
      </w:r>
      <w:r>
        <w:rPr>
          <w:rFonts w:hint="eastAsia" w:ascii="仿宋" w:hAnsi="仿宋" w:eastAsia="仿宋" w:cs="仿宋"/>
          <w:color w:val="000000"/>
          <w:sz w:val="32"/>
          <w:szCs w:val="32"/>
          <w:lang w:val="en-US" w:eastAsia="zh-CN"/>
        </w:rPr>
        <w:t>发布微信推文201篇。校友捐赠</w:t>
      </w:r>
      <w:r>
        <w:rPr>
          <w:rFonts w:hint="eastAsia" w:ascii="仿宋" w:hAnsi="仿宋" w:eastAsia="仿宋" w:cs="仿宋"/>
          <w:color w:val="000000"/>
          <w:sz w:val="32"/>
          <w:szCs w:val="32"/>
        </w:rPr>
        <w:t>图书5.5万余册，价值达220余万元。</w:t>
      </w:r>
      <w:r>
        <w:rPr>
          <w:rFonts w:hint="eastAsia" w:ascii="仿宋" w:hAnsi="仿宋" w:eastAsia="仿宋" w:cs="仿宋"/>
          <w:sz w:val="32"/>
          <w:szCs w:val="32"/>
        </w:rPr>
        <w:t>筹建邵阳学院教育基金会，完成校友企业横向课题经费</w:t>
      </w:r>
      <w:r>
        <w:rPr>
          <w:rFonts w:hint="eastAsia" w:ascii="仿宋" w:hAnsi="仿宋" w:eastAsia="仿宋" w:cs="仿宋"/>
          <w:color w:val="000000"/>
          <w:sz w:val="32"/>
          <w:szCs w:val="32"/>
        </w:rPr>
        <w:t>51</w:t>
      </w:r>
      <w:r>
        <w:rPr>
          <w:rFonts w:hint="eastAsia" w:ascii="仿宋" w:hAnsi="仿宋" w:eastAsia="仿宋" w:cs="仿宋"/>
          <w:color w:val="000000"/>
          <w:sz w:val="32"/>
          <w:szCs w:val="32"/>
          <w:lang w:eastAsia="zh-CN"/>
        </w:rPr>
        <w:t>0</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万元。</w:t>
      </w:r>
      <w:r>
        <w:rPr>
          <w:rFonts w:hint="eastAsia" w:ascii="仿宋" w:hAnsi="仿宋" w:eastAsia="仿宋" w:cs="仿宋"/>
          <w:sz w:val="32"/>
          <w:szCs w:val="32"/>
        </w:rPr>
        <w:t>加强校友企业沟通，为毕业生提供更多就业机会。</w:t>
      </w:r>
    </w:p>
    <w:p>
      <w:pPr>
        <w:keepNext w:val="0"/>
        <w:keepLines w:val="0"/>
        <w:pageBreakBefore w:val="0"/>
        <w:widowControl/>
        <w:suppressLineNumbers w:val="0"/>
        <w:kinsoku/>
        <w:wordWrap/>
        <w:overflowPunct/>
        <w:topLinePunct w:val="0"/>
        <w:autoSpaceDE/>
        <w:autoSpaceDN/>
        <w:bidi w:val="0"/>
        <w:spacing w:line="560" w:lineRule="exact"/>
        <w:ind w:leftChars="0" w:firstLine="620" w:firstLineChars="200"/>
        <w:jc w:val="left"/>
        <w:textAlignment w:val="auto"/>
      </w:pPr>
      <w:r>
        <w:rPr>
          <w:rFonts w:ascii="楷体" w:hAnsi="楷体" w:eastAsia="楷体" w:cs="楷体"/>
          <w:b/>
          <w:bCs/>
          <w:color w:val="000000"/>
          <w:kern w:val="0"/>
          <w:sz w:val="31"/>
          <w:szCs w:val="31"/>
          <w:lang w:val="en-US" w:eastAsia="zh-CN" w:bidi="ar"/>
        </w:rPr>
        <w:t>（四）服务对象满意度等方面</w:t>
      </w:r>
    </w:p>
    <w:p>
      <w:pPr>
        <w:keepNext w:val="0"/>
        <w:keepLines w:val="0"/>
        <w:pageBreakBefore w:val="0"/>
        <w:kinsoku/>
        <w:wordWrap/>
        <w:overflowPunct/>
        <w:topLinePunct w:val="0"/>
        <w:autoSpaceDE/>
        <w:autoSpaceDN/>
        <w:bidi w:val="0"/>
        <w:spacing w:line="560" w:lineRule="exact"/>
        <w:ind w:leftChars="0" w:firstLine="640" w:firstLineChars="200"/>
        <w:textAlignment w:val="auto"/>
        <w:rPr>
          <w:rFonts w:hint="eastAsia" w:ascii="仿宋" w:hAnsi="仿宋" w:eastAsia="仿宋" w:cs="仿宋"/>
          <w:sz w:val="32"/>
          <w:szCs w:val="32"/>
        </w:rPr>
      </w:pPr>
      <w:r>
        <w:rPr>
          <w:rFonts w:hint="eastAsia" w:ascii="楷体" w:hAnsi="楷体" w:eastAsia="楷体" w:cs="楷体"/>
          <w:b/>
          <w:bCs/>
          <w:color w:val="000000"/>
          <w:sz w:val="32"/>
          <w:szCs w:val="32"/>
          <w:lang w:val="en-US" w:eastAsia="zh-CN"/>
        </w:rPr>
        <w:t>1.美丽校园建设不断推进。</w:t>
      </w:r>
      <w:r>
        <w:rPr>
          <w:rFonts w:hint="eastAsia" w:ascii="仿宋_GB2312" w:hAnsi="仿宋_GB2312" w:eastAsia="仿宋_GB2312" w:cs="仿宋_GB2312"/>
          <w:b w:val="0"/>
          <w:bCs w:val="0"/>
          <w:color w:val="auto"/>
          <w:kern w:val="2"/>
          <w:sz w:val="32"/>
          <w:szCs w:val="32"/>
          <w:lang w:val="en-US" w:eastAsia="zh-CN" w:bidi="ar-SA"/>
        </w:rPr>
        <w:t>历史遗留的6栋民房成功拆除，历时20多年，在市委市政府高度重视大力支持下，历经多届党委行政的不懈努力，基建等部门精心协调，艰苦工作，成功得以拆除，彻底接触困扰学校发展的难题。电气楼医学楼今年顺利完工投入使用，完成李子园校区7#宿舍改造等项目，人工湖雨污分流项目已完成75%。两型校园建设成效明显。拆除校区内违章建筑，累计约1848平方米。圆满完成七里坪体育馆羽毛球馆地面维修等13个维修项目。完成后勤维修15841单，学生满意率为98.72%。《节水降耗、互利共赢》案例入选2021-2022年度全国公共机构能源资源节约示范案例。</w:t>
      </w:r>
      <w:r>
        <w:rPr>
          <w:rFonts w:hint="eastAsia" w:ascii="仿宋" w:hAnsi="仿宋" w:eastAsia="仿宋" w:cs="仿宋"/>
          <w:sz w:val="32"/>
          <w:szCs w:val="32"/>
        </w:rPr>
        <w:t>学校被省教育厅、省发改委评为湖南省第一批绿色学校创建示范单位。</w:t>
      </w:r>
    </w:p>
    <w:p>
      <w:pPr>
        <w:pStyle w:val="12"/>
        <w:keepNext w:val="0"/>
        <w:keepLines w:val="0"/>
        <w:pageBreakBefore w:val="0"/>
        <w:kinsoku/>
        <w:wordWrap/>
        <w:overflowPunct/>
        <w:topLinePunct w:val="0"/>
        <w:autoSpaceDE/>
        <w:autoSpaceDN/>
        <w:bidi w:val="0"/>
        <w:adjustRightInd/>
        <w:snapToGrid/>
        <w:spacing w:after="0" w:afterLines="0" w:afterAutospacing="0" w:line="560" w:lineRule="exact"/>
        <w:ind w:left="0" w:leftChars="0" w:right="0" w:rightChars="0" w:firstLine="640" w:firstLineChars="200"/>
        <w:jc w:val="both"/>
        <w:textAlignment w:val="auto"/>
        <w:rPr>
          <w:rFonts w:hint="eastAsia"/>
          <w:lang w:val="en-US" w:eastAsia="zh-CN"/>
        </w:rPr>
      </w:pPr>
      <w:r>
        <w:rPr>
          <w:rFonts w:hint="eastAsia" w:ascii="楷体" w:hAnsi="楷体" w:eastAsia="楷体" w:cs="楷体"/>
          <w:b/>
          <w:bCs/>
          <w:color w:val="000000"/>
          <w:kern w:val="2"/>
          <w:sz w:val="32"/>
          <w:szCs w:val="32"/>
          <w:lang w:val="en-US" w:eastAsia="zh-CN" w:bidi="ar-SA"/>
        </w:rPr>
        <w:t>2.工会离退休工作不断加强。</w:t>
      </w:r>
      <w:r>
        <w:rPr>
          <w:rFonts w:hint="eastAsia" w:ascii="仿宋" w:hAnsi="仿宋" w:eastAsia="仿宋" w:cs="仿宋"/>
          <w:color w:val="000000"/>
          <w:kern w:val="2"/>
          <w:sz w:val="32"/>
          <w:szCs w:val="32"/>
          <w:lang w:val="en-US" w:eastAsia="zh-CN" w:bidi="ar-SA"/>
        </w:rPr>
        <w:t>成功召开邵阳学院五届一次“双代会”，收集整理代表提案45 件，归纳整理代表意见161 条。完成2021年度教职工医疗互助补助26.28万元。落实离退休同志待遇，开展形式多样的老同志活动，完成江北离退休职工活动中心建设与整体搬迁工作。文学院、护理学院关工委被授予“全省教育系统关心下一代工作先进集体”荣誉称号，2名同志被授予“全省教育系统关心下一代工作先进工作者”荣誉称号。</w:t>
      </w:r>
    </w:p>
    <w:p>
      <w:pPr>
        <w:keepNext w:val="0"/>
        <w:keepLines w:val="0"/>
        <w:pageBreakBefore w:val="0"/>
        <w:kinsoku/>
        <w:wordWrap/>
        <w:overflowPunct/>
        <w:topLinePunct w:val="0"/>
        <w:bidi w:val="0"/>
        <w:spacing w:line="560" w:lineRule="exact"/>
        <w:ind w:firstLine="640" w:firstLineChars="200"/>
        <w:textAlignment w:val="auto"/>
        <w:rPr>
          <w:rFonts w:hint="eastAsia" w:ascii="仿宋_GB2312" w:hAnsi="宋体" w:eastAsia="仿宋_GB2312"/>
          <w:sz w:val="32"/>
          <w:szCs w:val="32"/>
          <w:lang w:eastAsia="zh-CN"/>
        </w:rPr>
      </w:pPr>
      <w:r>
        <w:rPr>
          <w:rFonts w:hint="eastAsia" w:ascii="楷体_GB2312" w:hAnsi="楷体_GB2312" w:eastAsia="楷体_GB2312" w:cs="楷体_GB2312"/>
          <w:b/>
          <w:bCs w:val="0"/>
          <w:kern w:val="32"/>
          <w:sz w:val="32"/>
          <w:szCs w:val="32"/>
          <w:lang w:val="en-US" w:eastAsia="zh-CN" w:bidi="ar-SA"/>
        </w:rPr>
        <w:t>3.教育教学能力不断提升、办学条件不断改善。</w:t>
      </w:r>
      <w:r>
        <w:rPr>
          <w:rFonts w:hint="eastAsia" w:ascii="仿宋_GB2312" w:hAnsi="宋体" w:eastAsia="仿宋_GB2312"/>
          <w:sz w:val="32"/>
          <w:szCs w:val="32"/>
        </w:rPr>
        <w:t>完成</w:t>
      </w:r>
      <w:r>
        <w:rPr>
          <w:rFonts w:hint="eastAsia" w:ascii="仿宋_GB2312" w:hAnsi="宋体" w:eastAsia="仿宋_GB2312"/>
          <w:sz w:val="32"/>
          <w:szCs w:val="32"/>
          <w:lang w:eastAsia="zh-CN"/>
        </w:rPr>
        <w:t>《</w:t>
      </w:r>
      <w:r>
        <w:rPr>
          <w:rFonts w:hint="eastAsia" w:ascii="仿宋_GB2312" w:hAnsi="宋体" w:eastAsia="仿宋_GB2312"/>
          <w:sz w:val="32"/>
          <w:szCs w:val="32"/>
        </w:rPr>
        <w:t>2022版本科专业人才培养方案</w:t>
      </w:r>
      <w:r>
        <w:rPr>
          <w:rFonts w:hint="eastAsia" w:ascii="仿宋_GB2312" w:hAnsi="宋体" w:eastAsia="仿宋_GB2312"/>
          <w:sz w:val="32"/>
          <w:szCs w:val="32"/>
          <w:lang w:eastAsia="zh-CN"/>
        </w:rPr>
        <w:t>》</w:t>
      </w:r>
      <w:r>
        <w:rPr>
          <w:rFonts w:hint="eastAsia" w:ascii="仿宋_GB2312" w:hAnsi="宋体" w:eastAsia="仿宋_GB2312"/>
          <w:sz w:val="32"/>
          <w:szCs w:val="32"/>
        </w:rPr>
        <w:t>《邵阳学院教学改革项目管理办法</w:t>
      </w:r>
      <w:r>
        <w:rPr>
          <w:rFonts w:hint="eastAsia" w:ascii="仿宋_GB2312" w:hAnsi="宋体" w:eastAsia="仿宋_GB2312" w:cs="Times New Roman"/>
          <w:sz w:val="32"/>
          <w:szCs w:val="32"/>
        </w:rPr>
        <w:t>》的修订，启动了各类教学大纲的编制；推荐省级教改项目37项；湖南省普通高校教师教学创新大赛和教师课堂教学竞赛获奖数量居全省同类高校前列。</w:t>
      </w:r>
      <w:r>
        <w:rPr>
          <w:rFonts w:hint="eastAsia" w:ascii="仿宋_GB2312" w:hAnsi="宋体" w:eastAsia="仿宋_GB2312" w:cs="Times New Roman"/>
          <w:sz w:val="32"/>
          <w:szCs w:val="32"/>
          <w:lang w:val="en-US" w:eastAsia="zh-CN"/>
        </w:rPr>
        <w:t>专业建设成绩喜人，电子信息工程获批国家级一流专业。</w:t>
      </w:r>
      <w:r>
        <w:rPr>
          <w:rFonts w:hint="eastAsia" w:ascii="仿宋_GB2312" w:hAnsi="宋体" w:eastAsia="仿宋_GB2312" w:cs="Times New Roman"/>
          <w:sz w:val="32"/>
          <w:szCs w:val="32"/>
        </w:rPr>
        <w:t>电气工程及其自动化专业通过工程教育专业认证；</w:t>
      </w:r>
      <w:r>
        <w:rPr>
          <w:rFonts w:hint="eastAsia" w:ascii="仿宋_GB2312" w:hAnsi="宋体" w:eastAsia="仿宋_GB2312"/>
          <w:sz w:val="32"/>
          <w:szCs w:val="32"/>
          <w:lang w:eastAsia="zh-CN"/>
        </w:rPr>
        <w:t>有6343</w:t>
      </w:r>
      <w:r>
        <w:rPr>
          <w:rFonts w:hint="eastAsia" w:ascii="仿宋_GB2312" w:hAnsi="宋体" w:eastAsia="仿宋_GB2312"/>
          <w:sz w:val="32"/>
          <w:szCs w:val="32"/>
          <w:lang w:val="en-US" w:eastAsia="zh-CN"/>
        </w:rPr>
        <w:t>名学生</w:t>
      </w:r>
      <w:r>
        <w:rPr>
          <w:rFonts w:hint="eastAsia" w:ascii="仿宋_GB2312" w:hAnsi="宋体" w:eastAsia="仿宋_GB2312"/>
          <w:sz w:val="32"/>
          <w:szCs w:val="32"/>
          <w:lang w:eastAsia="zh-CN"/>
        </w:rPr>
        <w:t>获得了本科毕业证书，毕业率为99.69%，6329人获得了学士学位证书，学位授予率为99.78%</w:t>
      </w:r>
      <w:r>
        <w:rPr>
          <w:rFonts w:hint="eastAsia" w:ascii="仿宋_GB2312" w:hAnsi="宋体" w:eastAsia="仿宋_GB2312" w:cs="Times New Roman"/>
          <w:sz w:val="32"/>
          <w:szCs w:val="32"/>
          <w:lang w:eastAsia="zh-CN"/>
        </w:rPr>
        <w:t>。</w:t>
      </w:r>
      <w:r>
        <w:rPr>
          <w:rFonts w:hint="eastAsia" w:ascii="仿宋" w:hAnsi="仿宋" w:eastAsia="仿宋" w:cs="仿宋"/>
          <w:color w:val="000000"/>
          <w:sz w:val="32"/>
          <w:szCs w:val="32"/>
          <w:lang w:val="en-US" w:eastAsia="zh-CN"/>
        </w:rPr>
        <w:t>2022年度完成采购项目108个（审批金额3455万元)，节约资金467万元；新增固定资产2199台/件，2598.69万元，其中教学仪器设备1907台/件，216848万元；</w:t>
      </w:r>
      <w:r>
        <w:rPr>
          <w:rFonts w:hint="eastAsia" w:ascii="仿宋_GB2312" w:hAnsi="宋体" w:eastAsia="仿宋_GB2312"/>
          <w:sz w:val="32"/>
          <w:szCs w:val="32"/>
          <w:lang w:val="en-US" w:eastAsia="zh-CN"/>
        </w:rPr>
        <w:t>加大投入，建立校级危险化学品仓库，完善实验室安全基础设施，升级实验室应急设施。</w:t>
      </w:r>
    </w:p>
    <w:p>
      <w:pPr>
        <w:keepNext w:val="0"/>
        <w:keepLines w:val="0"/>
        <w:pageBreakBefore w:val="0"/>
        <w:kinsoku/>
        <w:wordWrap/>
        <w:overflowPunct/>
        <w:topLinePunct w:val="0"/>
        <w:bidi w:val="0"/>
        <w:spacing w:line="56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楷体_GB2312" w:hAnsi="楷体_GB2312" w:eastAsia="楷体_GB2312" w:cs="楷体_GB2312"/>
          <w:b/>
          <w:bCs w:val="0"/>
          <w:kern w:val="32"/>
          <w:sz w:val="32"/>
          <w:szCs w:val="32"/>
          <w:lang w:val="en-US" w:eastAsia="zh-CN" w:bidi="ar-SA"/>
        </w:rPr>
        <w:t>4.科研体制不断完善。</w:t>
      </w:r>
      <w:r>
        <w:rPr>
          <w:rFonts w:hint="eastAsia" w:ascii="仿宋_GB2312" w:hAnsi="Times New Roman" w:eastAsia="仿宋_GB2312" w:cs="Times New Roman"/>
          <w:kern w:val="2"/>
          <w:sz w:val="32"/>
          <w:szCs w:val="32"/>
          <w:lang w:val="en-US" w:eastAsia="zh-CN" w:bidi="ar-SA"/>
        </w:rPr>
        <w:t>修订《邵阳学院横向科研项目管理办法（2022年修订）》等相关制度文件6个</w:t>
      </w:r>
      <w:r>
        <w:rPr>
          <w:rFonts w:hint="eastAsia" w:ascii="仿宋_GB2312" w:eastAsia="仿宋_GB2312" w:cs="Times New Roman"/>
          <w:kern w:val="2"/>
          <w:sz w:val="32"/>
          <w:szCs w:val="32"/>
          <w:lang w:val="en-US" w:eastAsia="zh-CN" w:bidi="ar-SA"/>
        </w:rPr>
        <w:t>，极大地激发了教职工的科研热情。</w:t>
      </w:r>
      <w:r>
        <w:rPr>
          <w:rFonts w:hint="eastAsia" w:ascii="仿宋_GB2312" w:hAnsi="Times New Roman" w:eastAsia="仿宋_GB2312" w:cs="Times New Roman"/>
          <w:kern w:val="2"/>
          <w:sz w:val="32"/>
          <w:szCs w:val="32"/>
          <w:lang w:val="en-US" w:eastAsia="zh-CN" w:bidi="ar-SA"/>
        </w:rPr>
        <w:t>新增省级科普培育基地3个</w:t>
      </w:r>
      <w:r>
        <w:rPr>
          <w:rFonts w:hint="eastAsia" w:ascii="仿宋_GB2312" w:eastAsia="仿宋_GB2312" w:cs="Times New Roman"/>
          <w:kern w:val="2"/>
          <w:sz w:val="32"/>
          <w:szCs w:val="32"/>
          <w:lang w:val="en-US" w:eastAsia="zh-CN" w:bidi="ar-SA"/>
        </w:rPr>
        <w:t>；</w:t>
      </w:r>
      <w:r>
        <w:rPr>
          <w:rFonts w:hint="eastAsia" w:ascii="仿宋_GB2312" w:hAnsi="Times New Roman" w:eastAsia="仿宋_GB2312" w:cs="Times New Roman"/>
          <w:kern w:val="2"/>
          <w:sz w:val="32"/>
          <w:szCs w:val="32"/>
          <w:lang w:val="en-US" w:eastAsia="zh-CN" w:bidi="ar-SA"/>
        </w:rPr>
        <w:t>获省“十四五”教育科学研究重点培育基地1个；服务企事业单位近200家，签订横向科研项目145项，累计进校经费2200余万元。高质量专利实施许可转让10余项，签约金额达200万元；学报影响因子稳步上升，学报影响因子水平在全省同类院校中处于前列。</w:t>
      </w:r>
    </w:p>
    <w:p>
      <w:pPr>
        <w:pStyle w:val="21"/>
        <w:keepNext w:val="0"/>
        <w:keepLines w:val="0"/>
        <w:pageBreakBefore w:val="0"/>
        <w:widowControl w:val="0"/>
        <w:numPr>
          <w:ilvl w:val="0"/>
          <w:numId w:val="0"/>
        </w:numPr>
        <w:kinsoku/>
        <w:wordWrap/>
        <w:overflowPunct/>
        <w:topLinePunct w:val="0"/>
        <w:autoSpaceDE/>
        <w:autoSpaceDN/>
        <w:bidi w:val="0"/>
        <w:spacing w:line="540" w:lineRule="exact"/>
        <w:ind w:firstLine="640" w:firstLineChars="200"/>
        <w:textAlignment w:val="auto"/>
        <w:rPr>
          <w:rFonts w:hint="eastAsia" w:ascii="仿宋_GB2312" w:hAnsi="Times New Roman" w:eastAsia="仿宋_GB2312" w:cs="Times New Roman"/>
          <w:kern w:val="2"/>
          <w:sz w:val="32"/>
          <w:szCs w:val="32"/>
          <w:lang w:val="en-US" w:eastAsia="zh-CN" w:bidi="ar-SA"/>
        </w:rPr>
      </w:pPr>
      <w:r>
        <w:rPr>
          <w:rFonts w:hint="eastAsia" w:ascii="楷体_GB2312" w:hAnsi="楷体_GB2312" w:eastAsia="楷体_GB2312" w:cs="楷体_GB2312"/>
          <w:b/>
          <w:bCs w:val="0"/>
          <w:kern w:val="32"/>
          <w:sz w:val="32"/>
          <w:szCs w:val="32"/>
          <w:lang w:val="en-US" w:eastAsia="zh-CN" w:bidi="ar-SA"/>
        </w:rPr>
        <w:t>5.师生获得感和幸福感不断提高。</w:t>
      </w:r>
      <w:r>
        <w:rPr>
          <w:rFonts w:hint="eastAsia" w:ascii="仿宋_GB2312" w:hAnsi="Times New Roman" w:eastAsia="仿宋_GB2312" w:cs="Times New Roman"/>
          <w:kern w:val="2"/>
          <w:sz w:val="32"/>
          <w:szCs w:val="32"/>
          <w:lang w:val="en-US" w:eastAsia="zh-CN" w:bidi="ar-SA"/>
        </w:rPr>
        <w:t>根据破“五唯”要求，对高校教师系列职称评审制度进行调整，出台《2022年高校教师系列职称评审补充规定》，突出业绩、能力和贡献的价值导向，顺利实施，22年职称评审平稳有序，同时为2023年职称改革奠定了良好基础。根据2022年版人才培养方案和教师长期诉求，对专任教师尤其是年满57岁教师的教学工作量进行了调减，同时停止了不合理项目。改革学生评价，多措并举帮助学生树立科学成才观，完善德育评价、强化体育评价、改进美育评价、加强劳动教育评价、严格学生学业质量评价，促进学生德智体美劳全面发展。</w:t>
      </w:r>
    </w:p>
    <w:p>
      <w:pPr>
        <w:pStyle w:val="2"/>
        <w:rPr>
          <w:rFonts w:hint="default"/>
          <w:lang w:val="en-US" w:eastAsia="zh-CN"/>
        </w:rPr>
      </w:pPr>
    </w:p>
    <w:p>
      <w:pPr>
        <w:keepNext w:val="0"/>
        <w:keepLines w:val="0"/>
        <w:pageBreakBefore w:val="0"/>
        <w:kinsoku/>
        <w:wordWrap/>
        <w:overflowPunct/>
        <w:topLinePunct w:val="0"/>
        <w:bidi w:val="0"/>
        <w:spacing w:line="560" w:lineRule="exact"/>
        <w:ind w:firstLine="640" w:firstLineChars="200"/>
        <w:textAlignment w:val="auto"/>
        <w:rPr>
          <w:rFonts w:hint="eastAsia" w:eastAsia="仿宋_GB2312"/>
          <w:sz w:val="32"/>
          <w:szCs w:val="32"/>
        </w:rPr>
      </w:pPr>
      <w:r>
        <w:rPr>
          <w:rFonts w:ascii="Times New Roman" w:hAnsi="Times New Roman" w:eastAsia="黑体"/>
          <w:sz w:val="32"/>
          <w:szCs w:val="32"/>
        </w:rPr>
        <w:t>七、存在的问题及原因分析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eastAsia="仿宋_GB2312"/>
          <w:sz w:val="32"/>
          <w:szCs w:val="32"/>
        </w:rPr>
      </w:pPr>
      <w:r>
        <w:rPr>
          <w:rFonts w:hint="eastAsia" w:eastAsia="仿宋_GB2312"/>
          <w:sz w:val="32"/>
          <w:szCs w:val="32"/>
          <w:lang w:val="en-US" w:eastAsia="zh-CN"/>
        </w:rPr>
        <w:t>1.</w:t>
      </w:r>
      <w:r>
        <w:rPr>
          <w:rFonts w:hint="eastAsia" w:eastAsia="仿宋_GB2312"/>
          <w:sz w:val="32"/>
          <w:szCs w:val="32"/>
        </w:rPr>
        <w:t>在建立健全制度方面仍需进一步完善。我校虽然制定了相关的财务制度与一系列的资金管理制度，但与绩效评价工作的要求还有一定的差距，需进一步完善。</w:t>
      </w:r>
    </w:p>
    <w:p>
      <w:pPr>
        <w:keepNext w:val="0"/>
        <w:keepLines w:val="0"/>
        <w:pageBreakBefore w:val="0"/>
        <w:widowControl w:val="0"/>
        <w:kinsoku/>
        <w:wordWrap/>
        <w:overflowPunct/>
        <w:topLinePunct w:val="0"/>
        <w:autoSpaceDE/>
        <w:autoSpaceDN/>
        <w:bidi w:val="0"/>
        <w:adjustRightInd/>
        <w:snapToGrid/>
        <w:spacing w:line="560" w:lineRule="exact"/>
        <w:ind w:leftChars="0" w:firstLine="640" w:firstLineChars="200"/>
        <w:jc w:val="left"/>
        <w:textAlignment w:val="auto"/>
        <w:rPr>
          <w:rFonts w:hint="eastAsia" w:eastAsia="仿宋_GB2312"/>
          <w:sz w:val="32"/>
          <w:szCs w:val="32"/>
        </w:rPr>
      </w:pPr>
      <w:r>
        <w:rPr>
          <w:rFonts w:hint="eastAsia" w:eastAsia="仿宋_GB2312"/>
          <w:sz w:val="32"/>
          <w:szCs w:val="32"/>
          <w:lang w:val="en-US" w:eastAsia="zh-CN"/>
        </w:rPr>
        <w:t>2.</w:t>
      </w:r>
      <w:r>
        <w:rPr>
          <w:rFonts w:hint="eastAsia" w:eastAsia="仿宋_GB2312"/>
          <w:sz w:val="32"/>
          <w:szCs w:val="32"/>
        </w:rPr>
        <w:t>财务信息化管理过程中“业财融合”仍不够深入，财务信息化管理水平有待进一步提高。</w:t>
      </w:r>
    </w:p>
    <w:p>
      <w:pPr>
        <w:keepNext w:val="0"/>
        <w:keepLines w:val="0"/>
        <w:pageBreakBefore w:val="0"/>
        <w:kinsoku/>
        <w:wordWrap/>
        <w:overflowPunct/>
        <w:topLinePunct w:val="0"/>
        <w:autoSpaceDE/>
        <w:autoSpaceDN/>
        <w:bidi w:val="0"/>
        <w:adjustRightInd/>
        <w:snapToGrid/>
        <w:spacing w:line="560" w:lineRule="exact"/>
        <w:ind w:leftChars="0" w:firstLine="664" w:firstLineChars="200"/>
        <w:textAlignment w:val="auto"/>
        <w:rPr>
          <w:rFonts w:hint="eastAsia"/>
        </w:rPr>
      </w:pPr>
      <w:r>
        <w:rPr>
          <w:rFonts w:hint="eastAsia" w:ascii="仿宋" w:hAnsi="仿宋" w:eastAsia="仿宋" w:cs="仿宋"/>
          <w:spacing w:val="6"/>
          <w:sz w:val="32"/>
          <w:szCs w:val="32"/>
          <w:lang w:val="en-US" w:eastAsia="zh-CN"/>
        </w:rPr>
        <w:t>3.</w:t>
      </w:r>
      <w:r>
        <w:rPr>
          <w:rFonts w:hint="eastAsia" w:ascii="仿宋" w:hAnsi="仿宋" w:eastAsia="仿宋" w:cs="仿宋"/>
          <w:spacing w:val="6"/>
          <w:sz w:val="32"/>
          <w:szCs w:val="32"/>
        </w:rPr>
        <w:t>由于省财政部分预算资金</w:t>
      </w:r>
      <w:r>
        <w:rPr>
          <w:rFonts w:hint="eastAsia" w:ascii="仿宋" w:hAnsi="仿宋" w:eastAsia="仿宋" w:cs="仿宋"/>
          <w:spacing w:val="6"/>
          <w:sz w:val="32"/>
          <w:szCs w:val="32"/>
          <w:lang w:val="en-US" w:eastAsia="zh-CN"/>
        </w:rPr>
        <w:t>拨付时间较晚，</w:t>
      </w:r>
      <w:r>
        <w:rPr>
          <w:rFonts w:hint="eastAsia" w:ascii="仿宋" w:hAnsi="仿宋" w:eastAsia="仿宋" w:cs="仿宋"/>
          <w:spacing w:val="6"/>
          <w:sz w:val="32"/>
          <w:szCs w:val="32"/>
        </w:rPr>
        <w:t>政府采购周期较长，导致部份项目资金当年执行不到位。</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Chars="0" w:firstLine="640" w:firstLineChars="200"/>
        <w:jc w:val="left"/>
        <w:textAlignment w:val="auto"/>
        <w:rPr>
          <w:rFonts w:eastAsia="黑体"/>
          <w:sz w:val="32"/>
          <w:szCs w:val="32"/>
        </w:rPr>
      </w:pPr>
      <w:r>
        <w:rPr>
          <w:rFonts w:eastAsia="黑体"/>
          <w:sz w:val="32"/>
          <w:szCs w:val="32"/>
        </w:rPr>
        <w:t>下一步改进措施</w:t>
      </w:r>
    </w:p>
    <w:p>
      <w:pPr>
        <w:keepNext w:val="0"/>
        <w:keepLines w:val="0"/>
        <w:pageBreakBefore w:val="0"/>
        <w:kinsoku/>
        <w:wordWrap/>
        <w:overflowPunct/>
        <w:topLinePunct w:val="0"/>
        <w:autoSpaceDE/>
        <w:autoSpaceDN/>
        <w:bidi w:val="0"/>
        <w:adjustRightInd/>
        <w:snapToGrid/>
        <w:spacing w:line="560" w:lineRule="exact"/>
        <w:ind w:leftChars="0" w:firstLine="664" w:firstLineChars="200"/>
        <w:textAlignment w:val="auto"/>
        <w:rPr>
          <w:rFonts w:hint="eastAsia"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针对上述存在的问题，拟采取以下改进措施：</w:t>
      </w:r>
    </w:p>
    <w:p>
      <w:pPr>
        <w:keepNext w:val="0"/>
        <w:keepLines w:val="0"/>
        <w:pageBreakBefore w:val="0"/>
        <w:widowControl/>
        <w:suppressLineNumbers w:val="0"/>
        <w:kinsoku/>
        <w:wordWrap/>
        <w:overflowPunct/>
        <w:topLinePunct w:val="0"/>
        <w:autoSpaceDE/>
        <w:autoSpaceDN/>
        <w:bidi w:val="0"/>
        <w:adjustRightInd/>
        <w:snapToGrid/>
        <w:spacing w:line="560" w:lineRule="exact"/>
        <w:ind w:leftChars="0" w:firstLine="620" w:firstLineChars="200"/>
        <w:jc w:val="left"/>
        <w:textAlignment w:val="auto"/>
        <w:rPr>
          <w:rFonts w:hint="default" w:ascii="楷体" w:hAnsi="楷体" w:eastAsia="楷体" w:cs="楷体"/>
          <w:b/>
          <w:bCs/>
          <w:color w:val="000000"/>
          <w:kern w:val="0"/>
          <w:sz w:val="31"/>
          <w:szCs w:val="31"/>
          <w:lang w:val="en-US" w:eastAsia="zh-CN" w:bidi="ar"/>
        </w:rPr>
      </w:pPr>
      <w:r>
        <w:rPr>
          <w:rFonts w:hint="eastAsia" w:ascii="楷体" w:hAnsi="楷体" w:eastAsia="楷体" w:cs="楷体"/>
          <w:b/>
          <w:bCs/>
          <w:color w:val="000000"/>
          <w:kern w:val="0"/>
          <w:sz w:val="31"/>
          <w:szCs w:val="31"/>
          <w:lang w:val="en-US" w:eastAsia="zh-CN" w:bidi="ar"/>
        </w:rPr>
        <w:t>（一）完善各项制度</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rPr>
      </w:pPr>
      <w:r>
        <w:rPr>
          <w:rFonts w:hint="eastAsia" w:ascii="仿宋" w:hAnsi="仿宋" w:eastAsia="仿宋"/>
          <w:sz w:val="32"/>
          <w:highlight w:val="none"/>
        </w:rPr>
        <w:t>进一步完善财务制度和资金管理制度，以确保制度的全面性和有效性，并结合绩效评价工作的具体要求，对制度进行调整和优化。</w:t>
      </w:r>
    </w:p>
    <w:p>
      <w:pPr>
        <w:keepNext w:val="0"/>
        <w:keepLines w:val="0"/>
        <w:pageBreakBefore w:val="0"/>
        <w:widowControl/>
        <w:suppressLineNumbers w:val="0"/>
        <w:kinsoku/>
        <w:wordWrap/>
        <w:overflowPunct/>
        <w:topLinePunct w:val="0"/>
        <w:autoSpaceDE/>
        <w:autoSpaceDN/>
        <w:bidi w:val="0"/>
        <w:adjustRightInd/>
        <w:snapToGrid/>
        <w:spacing w:line="560" w:lineRule="exact"/>
        <w:ind w:leftChars="0" w:firstLine="620" w:firstLineChars="200"/>
        <w:jc w:val="left"/>
        <w:textAlignment w:val="auto"/>
      </w:pPr>
      <w:r>
        <w:rPr>
          <w:rFonts w:ascii="楷体" w:hAnsi="楷体" w:eastAsia="楷体" w:cs="楷体"/>
          <w:b/>
          <w:bCs/>
          <w:color w:val="000000"/>
          <w:kern w:val="0"/>
          <w:sz w:val="31"/>
          <w:szCs w:val="31"/>
          <w:lang w:val="en-US" w:eastAsia="zh-CN" w:bidi="ar"/>
        </w:rPr>
        <w:t>（</w:t>
      </w:r>
      <w:r>
        <w:rPr>
          <w:rFonts w:hint="eastAsia" w:ascii="楷体" w:hAnsi="楷体" w:eastAsia="楷体" w:cs="楷体"/>
          <w:b/>
          <w:bCs/>
          <w:color w:val="000000"/>
          <w:kern w:val="0"/>
          <w:sz w:val="31"/>
          <w:szCs w:val="31"/>
          <w:lang w:val="en-US" w:eastAsia="zh-CN" w:bidi="ar"/>
        </w:rPr>
        <w:t>二</w:t>
      </w:r>
      <w:r>
        <w:rPr>
          <w:rFonts w:ascii="楷体" w:hAnsi="楷体" w:eastAsia="楷体" w:cs="楷体"/>
          <w:b/>
          <w:bCs/>
          <w:color w:val="000000"/>
          <w:kern w:val="0"/>
          <w:sz w:val="31"/>
          <w:szCs w:val="31"/>
          <w:lang w:val="en-US" w:eastAsia="zh-CN" w:bidi="ar"/>
        </w:rPr>
        <w:t>）</w:t>
      </w:r>
      <w:r>
        <w:rPr>
          <w:rFonts w:hint="eastAsia" w:ascii="楷体" w:hAnsi="楷体" w:eastAsia="楷体" w:cs="楷体"/>
          <w:b/>
          <w:bCs/>
          <w:color w:val="000000"/>
          <w:kern w:val="0"/>
          <w:sz w:val="31"/>
          <w:szCs w:val="31"/>
          <w:lang w:val="en-US" w:eastAsia="zh-CN" w:bidi="ar"/>
        </w:rPr>
        <w:t>推进</w:t>
      </w:r>
      <w:r>
        <w:rPr>
          <w:rFonts w:ascii="楷体" w:hAnsi="楷体" w:eastAsia="楷体" w:cs="楷体"/>
          <w:b/>
          <w:bCs/>
          <w:color w:val="000000"/>
          <w:kern w:val="0"/>
          <w:sz w:val="31"/>
          <w:szCs w:val="31"/>
          <w:lang w:val="en-US" w:eastAsia="zh-CN" w:bidi="ar"/>
        </w:rPr>
        <w:t xml:space="preserve">财务信息化系统建设 </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rPr>
      </w:pPr>
      <w:r>
        <w:rPr>
          <w:rFonts w:hint="eastAsia" w:ascii="仿宋" w:hAnsi="仿宋" w:eastAsia="仿宋"/>
          <w:sz w:val="32"/>
          <w:highlight w:val="none"/>
          <w:lang w:val="en-US" w:eastAsia="zh-CN"/>
        </w:rPr>
        <w:t>充分利用银校合作契机，搭建财务管理平台，运用信息技术加强内部控制，强化“业财融合”，不断完善财务信息化建设，推进预算管理、网上报账、财务信息自助查询等多个财务信息化系统， 提高工作效率，为我校的财务决策提供更高质量的服务。</w:t>
      </w:r>
    </w:p>
    <w:p>
      <w:pPr>
        <w:keepNext w:val="0"/>
        <w:keepLines w:val="0"/>
        <w:pageBreakBefore w:val="0"/>
        <w:widowControl/>
        <w:suppressLineNumbers w:val="0"/>
        <w:kinsoku/>
        <w:wordWrap/>
        <w:overflowPunct/>
        <w:topLinePunct w:val="0"/>
        <w:autoSpaceDE/>
        <w:autoSpaceDN/>
        <w:bidi w:val="0"/>
        <w:adjustRightInd/>
        <w:snapToGrid/>
        <w:spacing w:line="560" w:lineRule="exact"/>
        <w:ind w:leftChars="0" w:firstLine="620" w:firstLineChars="200"/>
        <w:jc w:val="left"/>
        <w:textAlignment w:val="auto"/>
        <w:rPr>
          <w:rFonts w:hint="default"/>
          <w:lang w:val="en-US"/>
        </w:rPr>
      </w:pPr>
      <w:r>
        <w:rPr>
          <w:rFonts w:ascii="楷体" w:hAnsi="楷体" w:eastAsia="楷体" w:cs="楷体"/>
          <w:b/>
          <w:bCs/>
          <w:color w:val="000000"/>
          <w:kern w:val="0"/>
          <w:sz w:val="31"/>
          <w:szCs w:val="31"/>
          <w:lang w:val="en-US" w:eastAsia="zh-CN" w:bidi="ar"/>
        </w:rPr>
        <w:t>（</w:t>
      </w:r>
      <w:r>
        <w:rPr>
          <w:rFonts w:hint="eastAsia" w:ascii="楷体" w:hAnsi="楷体" w:eastAsia="楷体" w:cs="楷体"/>
          <w:b/>
          <w:bCs/>
          <w:color w:val="000000"/>
          <w:kern w:val="0"/>
          <w:sz w:val="31"/>
          <w:szCs w:val="31"/>
          <w:lang w:val="en-US" w:eastAsia="zh-CN" w:bidi="ar"/>
        </w:rPr>
        <w:t>三</w:t>
      </w:r>
      <w:r>
        <w:rPr>
          <w:rFonts w:ascii="楷体" w:hAnsi="楷体" w:eastAsia="楷体" w:cs="楷体"/>
          <w:b/>
          <w:bCs/>
          <w:color w:val="000000"/>
          <w:kern w:val="0"/>
          <w:sz w:val="31"/>
          <w:szCs w:val="31"/>
          <w:lang w:val="en-US" w:eastAsia="zh-CN" w:bidi="ar"/>
        </w:rPr>
        <w:t>）</w:t>
      </w:r>
      <w:r>
        <w:rPr>
          <w:rFonts w:hint="eastAsia" w:ascii="楷体" w:hAnsi="楷体" w:eastAsia="楷体" w:cs="楷体"/>
          <w:b/>
          <w:bCs/>
          <w:color w:val="000000"/>
          <w:kern w:val="0"/>
          <w:sz w:val="31"/>
          <w:szCs w:val="31"/>
          <w:lang w:val="en-US" w:eastAsia="zh-CN" w:bidi="ar"/>
        </w:rPr>
        <w:t>加强沟通协调</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rPr>
      </w:pPr>
      <w:r>
        <w:rPr>
          <w:rFonts w:hint="eastAsia" w:ascii="仿宋" w:hAnsi="仿宋" w:eastAsia="仿宋"/>
          <w:sz w:val="32"/>
          <w:highlight w:val="none"/>
          <w:lang w:val="en-US" w:eastAsia="zh-CN"/>
        </w:rPr>
        <w:t>加强与相关部门的沟通和协调，及时掌握省财政部分预算资金的拨付情况和使用进度，以便及时调整采购计划和安排，确保资金的及时到位和有效使用。采取更加灵活、多样化的采购方式和招标方式，以缩短政府采购周期，提高资金使用效益。</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jc w:val="left"/>
        <w:textAlignment w:val="auto"/>
        <w:rPr>
          <w:rFonts w:eastAsia="黑体"/>
          <w:sz w:val="32"/>
          <w:szCs w:val="32"/>
        </w:rPr>
      </w:pPr>
      <w:r>
        <w:rPr>
          <w:rFonts w:eastAsia="黑体"/>
          <w:sz w:val="32"/>
          <w:szCs w:val="32"/>
        </w:rPr>
        <w:t>部门整体支出绩效自评结果拟应用和公开情况</w:t>
      </w:r>
    </w:p>
    <w:p>
      <w:pPr>
        <w:keepNext w:val="0"/>
        <w:keepLines w:val="0"/>
        <w:pageBreakBefore w:val="0"/>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sz w:val="32"/>
          <w:highlight w:val="none"/>
        </w:rPr>
      </w:pPr>
      <w:r>
        <w:rPr>
          <w:rFonts w:hint="eastAsia" w:ascii="仿宋" w:hAnsi="仿宋" w:eastAsia="仿宋"/>
          <w:sz w:val="32"/>
          <w:highlight w:val="none"/>
        </w:rPr>
        <w:t>学校</w:t>
      </w:r>
      <w:r>
        <w:rPr>
          <w:rFonts w:hint="eastAsia" w:ascii="仿宋" w:hAnsi="仿宋" w:eastAsia="仿宋"/>
          <w:sz w:val="32"/>
          <w:highlight w:val="none"/>
          <w:lang w:val="en-US" w:eastAsia="zh-CN"/>
        </w:rPr>
        <w:t>整体支出</w:t>
      </w:r>
      <w:r>
        <w:rPr>
          <w:rFonts w:hint="eastAsia" w:ascii="仿宋" w:hAnsi="仿宋" w:eastAsia="仿宋"/>
          <w:sz w:val="32"/>
          <w:highlight w:val="none"/>
        </w:rPr>
        <w:t>绩效自评结果将作为完善政策和改进管理的重要依据，拟应用于进一步提升预算绩效管理工作中，按照上级有关政策</w:t>
      </w:r>
      <w:r>
        <w:rPr>
          <w:rFonts w:hint="eastAsia" w:ascii="仿宋" w:hAnsi="仿宋" w:eastAsia="仿宋"/>
          <w:sz w:val="32"/>
          <w:highlight w:val="none"/>
          <w:lang w:val="en-US" w:eastAsia="zh-CN"/>
        </w:rPr>
        <w:t>在学校</w:t>
      </w:r>
      <w:r>
        <w:rPr>
          <w:rFonts w:hint="eastAsia" w:ascii="仿宋" w:hAnsi="仿宋" w:eastAsia="仿宋"/>
          <w:sz w:val="32"/>
          <w:highlight w:val="none"/>
        </w:rPr>
        <w:t>网站上进行公开。</w:t>
      </w:r>
    </w:p>
    <w:p>
      <w:pPr>
        <w:keepNext w:val="0"/>
        <w:keepLines w:val="0"/>
        <w:pageBreakBefore w:val="0"/>
        <w:widowControl/>
        <w:kinsoku/>
        <w:wordWrap/>
        <w:overflowPunct/>
        <w:topLinePunct w:val="0"/>
        <w:autoSpaceDE/>
        <w:autoSpaceDN/>
        <w:bidi w:val="0"/>
        <w:adjustRightInd/>
        <w:snapToGrid/>
        <w:spacing w:line="560" w:lineRule="exact"/>
        <w:ind w:leftChars="0" w:firstLine="640" w:firstLineChars="200"/>
        <w:jc w:val="left"/>
        <w:textAlignment w:val="auto"/>
        <w:rPr>
          <w:rFonts w:eastAsia="黑体"/>
          <w:sz w:val="32"/>
          <w:szCs w:val="32"/>
        </w:rPr>
      </w:pPr>
      <w:r>
        <w:rPr>
          <w:rFonts w:eastAsia="黑体"/>
          <w:sz w:val="32"/>
          <w:szCs w:val="32"/>
        </w:rPr>
        <w:t>其他需要说明的情况</w:t>
      </w:r>
    </w:p>
    <w:p>
      <w:pPr>
        <w:keepNext w:val="0"/>
        <w:keepLines w:val="0"/>
        <w:pageBreakBefore w:val="0"/>
        <w:widowControl/>
        <w:kinsoku/>
        <w:wordWrap/>
        <w:overflowPunct/>
        <w:topLinePunct w:val="0"/>
        <w:autoSpaceDE/>
        <w:autoSpaceDN/>
        <w:bidi w:val="0"/>
        <w:adjustRightInd/>
        <w:snapToGrid/>
        <w:spacing w:line="560" w:lineRule="exact"/>
        <w:ind w:leftChars="0"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无</w:t>
      </w:r>
    </w:p>
    <w:p>
      <w:pPr>
        <w:pStyle w:val="23"/>
        <w:keepNext w:val="0"/>
        <w:keepLines w:val="0"/>
        <w:pageBreakBefore w:val="0"/>
        <w:widowControl w:val="0"/>
        <w:kinsoku/>
        <w:wordWrap/>
        <w:overflowPunct/>
        <w:topLinePunct w:val="0"/>
        <w:autoSpaceDE/>
        <w:autoSpaceDN/>
        <w:bidi w:val="0"/>
        <w:ind w:firstLine="0" w:firstLineChars="0"/>
        <w:rPr>
          <w:rFonts w:hint="eastAsia" w:ascii="Times New Roman" w:hAnsi="Times New Roman" w:eastAsia="黑体"/>
          <w:szCs w:val="32"/>
          <w:lang w:eastAsia="zh-CN"/>
        </w:rPr>
      </w:pPr>
      <w:r>
        <w:rPr>
          <w:rFonts w:eastAsia="仿宋_GB2312"/>
          <w:sz w:val="22"/>
        </w:rPr>
        <w:br w:type="page"/>
      </w:r>
      <w:r>
        <w:rPr>
          <w:rFonts w:ascii="Times New Roman" w:hAnsi="Times New Roman" w:eastAsia="黑体"/>
          <w:szCs w:val="32"/>
        </w:rPr>
        <w:t>附件</w:t>
      </w:r>
      <w:r>
        <w:rPr>
          <w:rFonts w:hint="eastAsia" w:ascii="Times New Roman" w:hAnsi="Times New Roman" w:eastAsia="黑体"/>
          <w:szCs w:val="32"/>
          <w:lang w:val="en-US" w:eastAsia="zh-CN"/>
        </w:rPr>
        <w:t>1</w:t>
      </w:r>
    </w:p>
    <w:p>
      <w:pPr>
        <w:keepNext w:val="0"/>
        <w:keepLines w:val="0"/>
        <w:pageBreakBefore w:val="0"/>
        <w:widowControl w:val="0"/>
        <w:kinsoku/>
        <w:wordWrap/>
        <w:overflowPunct/>
        <w:topLinePunct w:val="0"/>
        <w:autoSpaceDE/>
        <w:autoSpaceDN/>
        <w:bidi w:val="0"/>
        <w:spacing w:after="156" w:afterLines="50" w:line="600" w:lineRule="exact"/>
        <w:jc w:val="center"/>
        <w:rPr>
          <w:rFonts w:eastAsia="方正小标宋_GBK"/>
          <w:sz w:val="36"/>
          <w:szCs w:val="36"/>
        </w:rPr>
      </w:pPr>
      <w:r>
        <w:rPr>
          <w:rFonts w:eastAsia="方正小标宋_GBK"/>
          <w:sz w:val="44"/>
          <w:szCs w:val="44"/>
        </w:rPr>
        <w:t>2022年度部门整体支出绩效评价基础数据表</w:t>
      </w:r>
    </w:p>
    <w:tbl>
      <w:tblPr>
        <w:tblStyle w:val="13"/>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CellMar>
            <w:top w:w="0" w:type="dxa"/>
            <w:left w:w="108" w:type="dxa"/>
            <w:bottom w:w="0" w:type="dxa"/>
            <w:right w:w="108" w:type="dxa"/>
          </w:tblCellMar>
        </w:tblPrEx>
        <w:trPr>
          <w:jc w:val="center"/>
        </w:trPr>
        <w:tc>
          <w:tcPr>
            <w:tcW w:w="3354"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
                <w:bCs/>
                <w:sz w:val="20"/>
                <w:szCs w:val="20"/>
              </w:rPr>
            </w:pPr>
            <w:r>
              <w:rPr>
                <w:rFonts w:hint="eastAsia" w:ascii="宋体" w:hAnsi="宋体" w:cs="宋体"/>
                <w:b/>
                <w:bCs/>
                <w:sz w:val="20"/>
                <w:szCs w:val="20"/>
              </w:rPr>
              <w:t>编制数</w:t>
            </w:r>
          </w:p>
        </w:tc>
        <w:tc>
          <w:tcPr>
            <w:tcW w:w="22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
                <w:bCs/>
                <w:sz w:val="20"/>
                <w:szCs w:val="20"/>
              </w:rPr>
            </w:pPr>
            <w:r>
              <w:rPr>
                <w:rFonts w:hint="eastAsia" w:ascii="宋体" w:hAnsi="宋体" w:cs="宋体"/>
                <w:b/>
                <w:bCs/>
                <w:sz w:val="20"/>
                <w:szCs w:val="20"/>
              </w:rPr>
              <w:t>2022年实际在职人数</w:t>
            </w:r>
          </w:p>
        </w:tc>
        <w:tc>
          <w:tcPr>
            <w:tcW w:w="204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
                <w:bCs/>
                <w:sz w:val="20"/>
                <w:szCs w:val="20"/>
              </w:rPr>
            </w:pPr>
            <w:r>
              <w:rPr>
                <w:rFonts w:hint="eastAsia" w:ascii="宋体" w:hAnsi="宋体" w:cs="宋体"/>
                <w:b/>
                <w:bCs/>
                <w:sz w:val="20"/>
                <w:szCs w:val="20"/>
              </w:rPr>
              <w:t>控制率</w:t>
            </w:r>
          </w:p>
        </w:tc>
      </w:tr>
      <w:tr>
        <w:tblPrEx>
          <w:tblCellMar>
            <w:top w:w="0" w:type="dxa"/>
            <w:left w:w="108" w:type="dxa"/>
            <w:bottom w:w="0" w:type="dxa"/>
            <w:right w:w="108" w:type="dxa"/>
          </w:tblCellMar>
        </w:tblPrEx>
        <w:trPr>
          <w:jc w:val="center"/>
        </w:trPr>
        <w:tc>
          <w:tcPr>
            <w:tcW w:w="3354"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p>
        </w:tc>
        <w:tc>
          <w:tcPr>
            <w:tcW w:w="2038"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　</w:t>
            </w:r>
            <w:r>
              <w:rPr>
                <w:rFonts w:hint="default" w:ascii="Times New Roman" w:hAnsi="Times New Roman" w:cs="Times New Roman"/>
                <w:sz w:val="20"/>
                <w:szCs w:val="20"/>
                <w:lang w:val="en-US" w:eastAsia="zh-CN"/>
              </w:rPr>
              <w:t>1910</w:t>
            </w:r>
          </w:p>
        </w:tc>
        <w:tc>
          <w:tcPr>
            <w:tcW w:w="224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　</w:t>
            </w:r>
            <w:r>
              <w:rPr>
                <w:rFonts w:hint="default" w:ascii="Times New Roman" w:hAnsi="Times New Roman" w:cs="Times New Roman"/>
                <w:sz w:val="20"/>
                <w:szCs w:val="20"/>
                <w:lang w:val="en-US" w:eastAsia="zh-CN"/>
              </w:rPr>
              <w:t>1479</w:t>
            </w:r>
          </w:p>
        </w:tc>
        <w:tc>
          <w:tcPr>
            <w:tcW w:w="2041"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77.43%</w:t>
            </w:r>
            <w:r>
              <w:rPr>
                <w:rFonts w:hint="default" w:ascii="Times New Roman" w:hAnsi="Times New Roman" w:cs="Times New Roman"/>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
                <w:bCs/>
                <w:sz w:val="20"/>
                <w:szCs w:val="20"/>
              </w:rPr>
            </w:pPr>
            <w:r>
              <w:rPr>
                <w:rFonts w:hint="eastAsia" w:ascii="宋体" w:hAnsi="宋体" w:cs="宋体"/>
                <w:b/>
                <w:bCs/>
                <w:sz w:val="20"/>
                <w:szCs w:val="20"/>
              </w:rPr>
              <w:t>2021年决算数</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
                <w:bCs/>
                <w:sz w:val="20"/>
                <w:szCs w:val="20"/>
              </w:rPr>
            </w:pPr>
            <w:r>
              <w:rPr>
                <w:rFonts w:hint="eastAsia" w:ascii="宋体" w:hAnsi="宋体" w:cs="宋体"/>
                <w:b/>
                <w:bCs/>
                <w:sz w:val="20"/>
                <w:szCs w:val="20"/>
              </w:rPr>
              <w:t>2022年预算数</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
                <w:bCs/>
                <w:sz w:val="20"/>
                <w:szCs w:val="20"/>
              </w:rPr>
            </w:pPr>
            <w:r>
              <w:rPr>
                <w:rFonts w:hint="eastAsia" w:ascii="宋体" w:hAnsi="宋体" w:cs="宋体"/>
                <w:b/>
                <w:bCs/>
                <w:sz w:val="20"/>
                <w:szCs w:val="20"/>
              </w:rPr>
              <w:t>2022年决算数</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三公经费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111.99</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100</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23.44</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76.02</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44</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16.38</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35.96</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40.06</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44</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16.38</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35.97</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56</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7.06</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项目支出：</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49869.55　</w:t>
            </w:r>
          </w:p>
        </w:tc>
        <w:tc>
          <w:tcPr>
            <w:tcW w:w="2240" w:type="dxa"/>
            <w:gridSpan w:val="2"/>
            <w:tcBorders>
              <w:top w:val="single" w:color="auto" w:sz="4" w:space="0"/>
              <w:left w:val="nil"/>
              <w:bottom w:val="single" w:color="auto" w:sz="4" w:space="0"/>
              <w:right w:val="single" w:color="000000" w:sz="4" w:space="0"/>
            </w:tcBorders>
            <w:vAlign w:val="bottom"/>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28324.72</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17961.75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hint="default" w:ascii="宋体" w:hAnsi="宋体" w:eastAsia="宋体" w:cs="宋体"/>
                <w:sz w:val="20"/>
                <w:szCs w:val="20"/>
                <w:lang w:val="en-US" w:eastAsia="zh-CN"/>
              </w:rPr>
            </w:pPr>
            <w:r>
              <w:rPr>
                <w:rFonts w:hint="eastAsia" w:ascii="宋体" w:hAnsi="宋体" w:cs="宋体"/>
                <w:sz w:val="20"/>
                <w:szCs w:val="20"/>
              </w:rPr>
              <w:t xml:space="preserve">    1、</w:t>
            </w:r>
            <w:r>
              <w:rPr>
                <w:rFonts w:hint="eastAsia" w:ascii="宋体" w:hAnsi="宋体" w:cs="宋体"/>
                <w:sz w:val="20"/>
                <w:szCs w:val="20"/>
                <w:lang w:val="en-US" w:eastAsia="zh-CN"/>
              </w:rPr>
              <w:t>其他预算事业发展基金</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45820.88</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23864.34</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13536.38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宋体" w:hAnsi="宋体" w:cs="宋体"/>
                <w:sz w:val="20"/>
                <w:szCs w:val="20"/>
                <w:lang w:val="en-US" w:eastAsia="zh-CN"/>
              </w:rPr>
            </w:pPr>
            <w:r>
              <w:rPr>
                <w:rFonts w:hint="eastAsia" w:ascii="宋体" w:hAnsi="宋体" w:cs="宋体"/>
                <w:sz w:val="20"/>
                <w:szCs w:val="20"/>
                <w:lang w:val="en-US" w:eastAsia="zh-CN"/>
              </w:rPr>
              <w:t>2</w:t>
            </w:r>
            <w:r>
              <w:rPr>
                <w:rFonts w:hint="eastAsia" w:ascii="宋体" w:hAnsi="宋体" w:cs="宋体"/>
                <w:sz w:val="20"/>
                <w:szCs w:val="20"/>
              </w:rPr>
              <w:t>、</w:t>
            </w:r>
            <w:r>
              <w:rPr>
                <w:rFonts w:hint="eastAsia" w:ascii="宋体" w:hAnsi="宋体" w:cs="宋体"/>
                <w:sz w:val="20"/>
                <w:szCs w:val="20"/>
                <w:lang w:eastAsia="zh-CN"/>
              </w:rPr>
              <w:t>省级双一流专项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1139</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1138.3</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1138.02</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宋体" w:hAnsi="宋体" w:cs="宋体"/>
                <w:sz w:val="20"/>
                <w:szCs w:val="20"/>
                <w:lang w:val="en-US" w:eastAsia="zh-CN"/>
              </w:rPr>
            </w:pPr>
            <w:r>
              <w:rPr>
                <w:rFonts w:hint="eastAsia" w:ascii="宋体" w:hAnsi="宋体" w:cs="宋体"/>
                <w:sz w:val="20"/>
                <w:szCs w:val="20"/>
                <w:lang w:val="en-US" w:eastAsia="zh-CN"/>
              </w:rPr>
              <w:t>3、农村教师公费定向培养</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1227</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1278.09</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1278.09</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宋体" w:hAnsi="宋体" w:cs="宋体"/>
                <w:sz w:val="20"/>
                <w:szCs w:val="20"/>
                <w:lang w:val="en-US" w:eastAsia="zh-CN"/>
              </w:rPr>
            </w:pPr>
            <w:r>
              <w:rPr>
                <w:rFonts w:hint="eastAsia" w:ascii="宋体" w:hAnsi="宋体" w:cs="宋体"/>
                <w:sz w:val="20"/>
                <w:szCs w:val="20"/>
                <w:lang w:val="en-US" w:eastAsia="zh-CN"/>
              </w:rPr>
              <w:t>4、支持地方高校改革发展</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1682.67</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2043.99</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2009.26</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3、省级专项资金（一个专项一行）</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　</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　</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　</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宋体" w:hAnsi="宋体" w:cs="宋体"/>
                <w:sz w:val="20"/>
                <w:szCs w:val="20"/>
                <w:lang w:val="en-US" w:eastAsia="zh-CN"/>
              </w:rPr>
            </w:pPr>
            <w:r>
              <w:rPr>
                <w:rFonts w:hint="eastAsia" w:ascii="宋体" w:hAnsi="宋体" w:cs="宋体"/>
                <w:sz w:val="20"/>
                <w:szCs w:val="20"/>
                <w:lang w:val="en-US" w:eastAsia="zh-CN"/>
              </w:rPr>
              <w:t>基础教育发展专项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宋体" w:hAnsi="宋体" w:eastAsia="宋体" w:cs="宋体"/>
                <w:sz w:val="20"/>
                <w:szCs w:val="20"/>
                <w:lang w:val="en-US" w:eastAsia="zh-CN"/>
              </w:rPr>
            </w:pPr>
            <w:r>
              <w:rPr>
                <w:rFonts w:hint="eastAsia" w:ascii="宋体" w:hAnsi="宋体" w:cs="宋体"/>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宋体" w:hAnsi="宋体" w:eastAsia="宋体" w:cs="宋体"/>
                <w:sz w:val="20"/>
                <w:szCs w:val="20"/>
                <w:lang w:val="en-US" w:eastAsia="zh-CN"/>
              </w:rPr>
            </w:pPr>
            <w:r>
              <w:rPr>
                <w:rFonts w:hint="eastAsia" w:ascii="宋体" w:hAnsi="宋体" w:cs="宋体"/>
                <w:sz w:val="20"/>
                <w:szCs w:val="20"/>
                <w:lang w:val="en-US" w:eastAsia="zh-CN"/>
              </w:rPr>
              <w:t>26</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宋体" w:hAnsi="宋体" w:eastAsia="宋体" w:cs="宋体"/>
                <w:sz w:val="20"/>
                <w:szCs w:val="20"/>
                <w:lang w:val="en-US" w:eastAsia="zh-CN"/>
              </w:rPr>
            </w:pPr>
            <w:r>
              <w:rPr>
                <w:rFonts w:hint="eastAsia" w:ascii="宋体" w:hAnsi="宋体" w:cs="宋体"/>
                <w:sz w:val="20"/>
                <w:szCs w:val="20"/>
                <w:lang w:val="en-US" w:eastAsia="zh-CN"/>
              </w:rPr>
              <w:t>26</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宋体" w:hAnsi="宋体" w:cs="宋体"/>
                <w:sz w:val="20"/>
                <w:szCs w:val="20"/>
                <w:lang w:val="en-US" w:eastAsia="zh-CN"/>
              </w:rPr>
            </w:pPr>
            <w:r>
              <w:rPr>
                <w:rFonts w:hint="eastAsia" w:ascii="宋体" w:hAnsi="宋体" w:cs="宋体"/>
                <w:sz w:val="20"/>
                <w:szCs w:val="20"/>
                <w:lang w:val="en-US" w:eastAsia="zh-CN"/>
              </w:rPr>
              <w:t>教育综合发展专项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lang w:val="en-US" w:eastAsia="zh-CN"/>
              </w:rPr>
              <w:t>0</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lang w:val="en-US" w:eastAsia="zh-CN"/>
              </w:rPr>
              <w:t>6</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宋体" w:hAnsi="宋体" w:eastAsia="宋体" w:cs="宋体"/>
                <w:sz w:val="20"/>
                <w:szCs w:val="20"/>
                <w:lang w:val="en-US" w:eastAsia="zh-CN"/>
              </w:rPr>
            </w:pPr>
            <w:r>
              <w:rPr>
                <w:rFonts w:hint="eastAsia" w:ascii="宋体" w:hAnsi="宋体" w:cs="宋体"/>
                <w:sz w:val="20"/>
                <w:szCs w:val="20"/>
                <w:lang w:val="en-US" w:eastAsia="zh-CN"/>
              </w:rPr>
              <w:t>6</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公用经费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10041.17</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6642.27</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13298.49</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455.62</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100</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344.34</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2008.14</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1800</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1915.5</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46.59</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80</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64.92</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政府采购金额</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r>
              <w:rPr>
                <w:rFonts w:hint="eastAsia" w:ascii="宋体" w:hAnsi="宋体" w:cs="宋体"/>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2240"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204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r>
      <w:tr>
        <w:tblPrEx>
          <w:tblCellMar>
            <w:top w:w="0" w:type="dxa"/>
            <w:left w:w="108" w:type="dxa"/>
            <w:bottom w:w="0" w:type="dxa"/>
            <w:right w:w="108" w:type="dxa"/>
          </w:tblCellMar>
        </w:tblPrEx>
        <w:trPr>
          <w:jc w:val="center"/>
        </w:trPr>
        <w:tc>
          <w:tcPr>
            <w:tcW w:w="3354"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楼堂馆所控制情况</w:t>
            </w:r>
            <w:r>
              <w:rPr>
                <w:rFonts w:hint="eastAsia" w:ascii="宋体" w:hAnsi="宋体" w:cs="宋体"/>
                <w:sz w:val="20"/>
                <w:szCs w:val="20"/>
              </w:rPr>
              <w:br w:type="textWrapping"/>
            </w:r>
            <w:r>
              <w:rPr>
                <w:rFonts w:hint="eastAsia" w:ascii="宋体" w:hAnsi="宋体" w:cs="宋体"/>
                <w:sz w:val="20"/>
                <w:szCs w:val="20"/>
              </w:rPr>
              <w:t>（2022年完工项目）</w:t>
            </w:r>
          </w:p>
        </w:tc>
        <w:tc>
          <w:tcPr>
            <w:tcW w:w="118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Cs/>
                <w:sz w:val="20"/>
                <w:szCs w:val="20"/>
              </w:rPr>
            </w:pPr>
            <w:r>
              <w:rPr>
                <w:rFonts w:hint="eastAsia" w:ascii="宋体" w:hAnsi="宋体" w:cs="宋体"/>
                <w:bCs/>
                <w:sz w:val="20"/>
                <w:szCs w:val="20"/>
              </w:rPr>
              <w:t>批复规模</w:t>
            </w:r>
            <w:r>
              <w:rPr>
                <w:rFonts w:hint="eastAsia" w:ascii="宋体" w:hAnsi="宋体" w:cs="宋体"/>
                <w:bCs/>
                <w:sz w:val="20"/>
                <w:szCs w:val="20"/>
              </w:rPr>
              <w:br w:type="textWrapping"/>
            </w:r>
            <w:r>
              <w:rPr>
                <w:rFonts w:hint="eastAsia" w:ascii="宋体" w:hAnsi="宋体" w:cs="宋体"/>
                <w:bCs/>
                <w:sz w:val="20"/>
                <w:szCs w:val="20"/>
              </w:rPr>
              <w:t>（㎡）</w:t>
            </w:r>
          </w:p>
        </w:tc>
        <w:tc>
          <w:tcPr>
            <w:tcW w:w="84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Cs/>
                <w:sz w:val="20"/>
                <w:szCs w:val="20"/>
              </w:rPr>
            </w:pPr>
            <w:r>
              <w:rPr>
                <w:rFonts w:hint="eastAsia" w:ascii="宋体" w:hAnsi="宋体" w:cs="宋体"/>
                <w:bCs/>
                <w:sz w:val="20"/>
                <w:szCs w:val="20"/>
              </w:rPr>
              <w:t>实际规模（㎡）</w:t>
            </w:r>
          </w:p>
        </w:tc>
        <w:tc>
          <w:tcPr>
            <w:tcW w:w="112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Cs/>
                <w:sz w:val="20"/>
                <w:szCs w:val="20"/>
              </w:rPr>
            </w:pPr>
            <w:r>
              <w:rPr>
                <w:rFonts w:hint="eastAsia" w:ascii="宋体" w:hAnsi="宋体" w:cs="宋体"/>
                <w:bCs/>
                <w:sz w:val="20"/>
                <w:szCs w:val="20"/>
              </w:rPr>
              <w:t>规模控制率</w:t>
            </w:r>
          </w:p>
        </w:tc>
        <w:tc>
          <w:tcPr>
            <w:tcW w:w="11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Cs/>
                <w:sz w:val="20"/>
                <w:szCs w:val="20"/>
              </w:rPr>
            </w:pPr>
            <w:r>
              <w:rPr>
                <w:rFonts w:hint="eastAsia" w:ascii="宋体" w:hAnsi="宋体" w:cs="宋体"/>
                <w:bCs/>
                <w:sz w:val="20"/>
                <w:szCs w:val="20"/>
              </w:rPr>
              <w:t>预算投资（万元）</w:t>
            </w:r>
          </w:p>
        </w:tc>
        <w:tc>
          <w:tcPr>
            <w:tcW w:w="108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Cs/>
                <w:sz w:val="20"/>
                <w:szCs w:val="20"/>
              </w:rPr>
            </w:pPr>
            <w:r>
              <w:rPr>
                <w:rFonts w:hint="eastAsia" w:ascii="宋体" w:hAnsi="宋体" w:cs="宋体"/>
                <w:bCs/>
                <w:sz w:val="20"/>
                <w:szCs w:val="20"/>
              </w:rPr>
              <w:t>实际投资（万元）</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bCs/>
                <w:sz w:val="20"/>
                <w:szCs w:val="20"/>
              </w:rPr>
            </w:pPr>
            <w:r>
              <w:rPr>
                <w:rFonts w:hint="eastAsia" w:ascii="宋体" w:hAnsi="宋体" w:cs="宋体"/>
                <w:bCs/>
                <w:sz w:val="20"/>
                <w:szCs w:val="20"/>
              </w:rPr>
              <w:t>投资概算控制率</w:t>
            </w:r>
          </w:p>
        </w:tc>
      </w:tr>
      <w:tr>
        <w:tblPrEx>
          <w:tblCellMar>
            <w:top w:w="0" w:type="dxa"/>
            <w:left w:w="108" w:type="dxa"/>
            <w:bottom w:w="0" w:type="dxa"/>
            <w:right w:w="108" w:type="dxa"/>
          </w:tblCellMar>
        </w:tblPrEx>
        <w:trPr>
          <w:jc w:val="center"/>
        </w:trPr>
        <w:tc>
          <w:tcPr>
            <w:tcW w:w="335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left"/>
              <w:rPr>
                <w:rFonts w:ascii="宋体" w:hAnsi="宋体" w:cs="宋体"/>
                <w:sz w:val="20"/>
                <w:szCs w:val="20"/>
              </w:rPr>
            </w:pPr>
          </w:p>
        </w:tc>
        <w:tc>
          <w:tcPr>
            <w:tcW w:w="118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84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112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11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108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c>
          <w:tcPr>
            <w:tcW w:w="96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w:t>
            </w:r>
          </w:p>
        </w:tc>
      </w:tr>
      <w:tr>
        <w:tblPrEx>
          <w:tblCellMar>
            <w:top w:w="0" w:type="dxa"/>
            <w:left w:w="108" w:type="dxa"/>
            <w:bottom w:w="0" w:type="dxa"/>
            <w:right w:w="108" w:type="dxa"/>
          </w:tblCellMar>
        </w:tblPrEx>
        <w:trPr>
          <w:jc w:val="center"/>
        </w:trPr>
        <w:tc>
          <w:tcPr>
            <w:tcW w:w="3354" w:type="dxa"/>
            <w:tcBorders>
              <w:top w:val="nil"/>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cs="宋体"/>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360" w:lineRule="exact"/>
              <w:jc w:val="center"/>
              <w:rPr>
                <w:rFonts w:ascii="宋体" w:hAnsi="宋体" w:cs="宋体"/>
                <w:sz w:val="20"/>
                <w:szCs w:val="20"/>
              </w:rPr>
            </w:pPr>
            <w:r>
              <w:rPr>
                <w:rFonts w:hint="eastAsia" w:ascii="宋体" w:hAnsi="宋体" w:eastAsia="宋体"/>
                <w:kern w:val="0"/>
                <w:szCs w:val="21"/>
                <w:lang w:eastAsia="zh-CN"/>
              </w:rPr>
              <w:t>进一步压减一般性支出，</w:t>
            </w:r>
            <w:r>
              <w:rPr>
                <w:rFonts w:hint="eastAsia" w:ascii="宋体" w:hAnsi="宋体"/>
                <w:kern w:val="0"/>
                <w:szCs w:val="21"/>
                <w:lang w:val="en-US" w:eastAsia="zh-CN"/>
              </w:rPr>
              <w:t>从严从紧管理使用</w:t>
            </w:r>
            <w:r>
              <w:rPr>
                <w:rFonts w:hint="eastAsia" w:ascii="宋体" w:hAnsi="宋体" w:eastAsia="宋体"/>
                <w:kern w:val="0"/>
                <w:szCs w:val="21"/>
                <w:lang w:eastAsia="zh-CN"/>
              </w:rPr>
              <w:t>三公经费</w:t>
            </w:r>
            <w:r>
              <w:rPr>
                <w:rFonts w:hint="eastAsia" w:ascii="宋体" w:hAnsi="宋体" w:cs="宋体"/>
                <w:sz w:val="20"/>
                <w:szCs w:val="20"/>
              </w:rPr>
              <w:t>　</w:t>
            </w:r>
          </w:p>
        </w:tc>
      </w:tr>
    </w:tbl>
    <w:p>
      <w:pPr>
        <w:keepNext w:val="0"/>
        <w:keepLines w:val="0"/>
        <w:pageBreakBefore w:val="0"/>
        <w:widowControl w:val="0"/>
        <w:kinsoku/>
        <w:wordWrap/>
        <w:overflowPunct/>
        <w:topLinePunct w:val="0"/>
        <w:autoSpaceDE/>
        <w:autoSpaceDN/>
        <w:bidi w:val="0"/>
        <w:spacing w:line="400" w:lineRule="exact"/>
        <w:jc w:val="left"/>
        <w:rPr>
          <w:rFonts w:ascii="宋体" w:hAnsi="宋体" w:cs="宋体"/>
          <w:sz w:val="22"/>
        </w:rPr>
      </w:pPr>
      <w:r>
        <w:rPr>
          <w:rFonts w:hint="eastAsia" w:ascii="宋体" w:hAnsi="宋体" w:cs="宋体"/>
          <w:sz w:val="22"/>
        </w:rPr>
        <w:t>说明：“项目支出”需要填报基本支出以外的所有项目支出情况，“公用经费”填报基本支出中的一般商品和服务支出。</w:t>
      </w:r>
    </w:p>
    <w:p>
      <w:pPr>
        <w:keepNext w:val="0"/>
        <w:keepLines w:val="0"/>
        <w:pageBreakBefore w:val="0"/>
        <w:widowControl w:val="0"/>
        <w:kinsoku/>
        <w:wordWrap/>
        <w:overflowPunct/>
        <w:topLinePunct w:val="0"/>
        <w:autoSpaceDE/>
        <w:autoSpaceDN/>
        <w:bidi w:val="0"/>
        <w:spacing w:line="400" w:lineRule="exact"/>
        <w:jc w:val="left"/>
        <w:rPr>
          <w:rFonts w:ascii="宋体" w:hAnsi="宋体" w:cs="宋体"/>
          <w:sz w:val="22"/>
        </w:rPr>
      </w:pPr>
    </w:p>
    <w:p>
      <w:pPr>
        <w:keepNext w:val="0"/>
        <w:keepLines w:val="0"/>
        <w:pageBreakBefore w:val="0"/>
        <w:widowControl w:val="0"/>
        <w:kinsoku/>
        <w:wordWrap/>
        <w:overflowPunct/>
        <w:topLinePunct w:val="0"/>
        <w:autoSpaceDE/>
        <w:autoSpaceDN/>
        <w:bidi w:val="0"/>
        <w:spacing w:line="400" w:lineRule="exact"/>
        <w:jc w:val="left"/>
        <w:rPr>
          <w:rFonts w:hint="eastAsia" w:eastAsia="黑体"/>
          <w:sz w:val="32"/>
          <w:szCs w:val="32"/>
          <w:lang w:val="en-US" w:eastAsia="zh-CN"/>
        </w:rPr>
      </w:pPr>
      <w:r>
        <w:rPr>
          <w:rFonts w:hint="eastAsia" w:ascii="宋体" w:hAnsi="宋体" w:cs="宋体"/>
          <w:sz w:val="22"/>
        </w:rPr>
        <w:t>填表人：</w:t>
      </w:r>
      <w:r>
        <w:rPr>
          <w:rFonts w:hint="eastAsia" w:ascii="宋体" w:hAnsi="宋体" w:cs="宋体"/>
          <w:sz w:val="22"/>
          <w:lang w:val="en-US" w:eastAsia="zh-CN"/>
        </w:rPr>
        <w:t>李朔一</w:t>
      </w:r>
      <w:r>
        <w:rPr>
          <w:rFonts w:hint="eastAsia" w:ascii="宋体" w:hAnsi="宋体" w:cs="宋体"/>
          <w:sz w:val="22"/>
        </w:rPr>
        <w:t xml:space="preserve">  填报日期：</w:t>
      </w:r>
      <w:r>
        <w:rPr>
          <w:rFonts w:hint="eastAsia" w:ascii="宋体" w:hAnsi="宋体" w:cs="宋体"/>
          <w:sz w:val="22"/>
          <w:lang w:val="en-US" w:eastAsia="zh-CN"/>
        </w:rPr>
        <w:t>2023.5.15</w:t>
      </w:r>
      <w:r>
        <w:rPr>
          <w:rFonts w:hint="eastAsia" w:ascii="宋体" w:hAnsi="宋体" w:cs="宋体"/>
          <w:sz w:val="22"/>
        </w:rPr>
        <w:t xml:space="preserve">  联系电话：</w:t>
      </w:r>
      <w:r>
        <w:rPr>
          <w:rFonts w:hint="eastAsia" w:ascii="宋体" w:hAnsi="宋体" w:cs="宋体"/>
          <w:sz w:val="22"/>
          <w:lang w:val="en-US" w:eastAsia="zh-CN"/>
        </w:rPr>
        <w:t xml:space="preserve">13450163905  </w:t>
      </w:r>
      <w:r>
        <w:rPr>
          <w:rFonts w:hint="eastAsia" w:ascii="宋体" w:hAnsi="宋体" w:cs="宋体"/>
          <w:sz w:val="22"/>
        </w:rPr>
        <w:t>单位负责人签字：</w:t>
      </w:r>
      <w:r>
        <w:rPr>
          <w:rFonts w:hint="eastAsia" w:ascii="宋体" w:hAnsi="宋体" w:cs="宋体"/>
          <w:sz w:val="22"/>
        </w:rPr>
        <w:br w:type="page"/>
      </w:r>
      <w:r>
        <w:rPr>
          <w:rFonts w:eastAsia="黑体"/>
          <w:sz w:val="32"/>
          <w:szCs w:val="32"/>
        </w:rPr>
        <w:t>附件</w:t>
      </w:r>
      <w:r>
        <w:rPr>
          <w:rFonts w:hint="eastAsia" w:eastAsia="黑体"/>
          <w:sz w:val="32"/>
          <w:szCs w:val="32"/>
          <w:lang w:val="en-US" w:eastAsia="zh-CN"/>
        </w:rPr>
        <w:t>2</w:t>
      </w:r>
    </w:p>
    <w:p>
      <w:pPr>
        <w:keepNext w:val="0"/>
        <w:keepLines w:val="0"/>
        <w:pageBreakBefore w:val="0"/>
        <w:widowControl w:val="0"/>
        <w:kinsoku/>
        <w:wordWrap/>
        <w:overflowPunct/>
        <w:topLinePunct w:val="0"/>
        <w:autoSpaceDE/>
        <w:autoSpaceDN/>
        <w:bidi w:val="0"/>
        <w:snapToGrid w:val="0"/>
        <w:jc w:val="center"/>
        <w:rPr>
          <w:rFonts w:eastAsia="方正小标宋_GBK"/>
          <w:color w:val="000000"/>
          <w:sz w:val="44"/>
          <w:szCs w:val="44"/>
        </w:rPr>
      </w:pPr>
      <w:r>
        <w:rPr>
          <w:rFonts w:eastAsia="方正小标宋_GBK"/>
          <w:color w:val="000000"/>
          <w:sz w:val="44"/>
          <w:szCs w:val="44"/>
        </w:rPr>
        <w:t>2022年度部门整体支出绩效自评表</w:t>
      </w:r>
    </w:p>
    <w:tbl>
      <w:tblPr>
        <w:tblStyle w:val="13"/>
        <w:tblW w:w="10079" w:type="dxa"/>
        <w:jc w:val="center"/>
        <w:tblLayout w:type="autofit"/>
        <w:tblCellMar>
          <w:top w:w="0" w:type="dxa"/>
          <w:left w:w="108" w:type="dxa"/>
          <w:bottom w:w="0" w:type="dxa"/>
          <w:right w:w="108" w:type="dxa"/>
        </w:tblCellMar>
      </w:tblPr>
      <w:tblGrid>
        <w:gridCol w:w="1069"/>
        <w:gridCol w:w="1069"/>
        <w:gridCol w:w="1020"/>
        <w:gridCol w:w="1265"/>
        <w:gridCol w:w="1305"/>
        <w:gridCol w:w="1266"/>
        <w:gridCol w:w="712"/>
        <w:gridCol w:w="951"/>
        <w:gridCol w:w="1422"/>
      </w:tblGrid>
      <w:tr>
        <w:tblPrEx>
          <w:tblCellMar>
            <w:top w:w="0" w:type="dxa"/>
            <w:left w:w="108" w:type="dxa"/>
            <w:bottom w:w="0" w:type="dxa"/>
            <w:right w:w="108" w:type="dxa"/>
          </w:tblCellMar>
        </w:tblPrEx>
        <w:trPr>
          <w:trHeight w:val="283" w:hRule="atLeast"/>
          <w:jc w:val="center"/>
        </w:trPr>
        <w:tc>
          <w:tcPr>
            <w:tcW w:w="108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省级预算部门名称</w:t>
            </w:r>
          </w:p>
        </w:tc>
        <w:tc>
          <w:tcPr>
            <w:tcW w:w="8999" w:type="dxa"/>
            <w:gridSpan w:val="8"/>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lang w:val="en-US" w:eastAsia="zh-CN"/>
              </w:rPr>
              <w:t>邵阳学院</w:t>
            </w:r>
            <w:r>
              <w:rPr>
                <w:rFonts w:hint="eastAsia" w:ascii="宋体" w:hAnsi="宋体" w:cs="宋体"/>
                <w:color w:val="000000"/>
                <w:szCs w:val="21"/>
              </w:rPr>
              <w:t>　</w:t>
            </w:r>
          </w:p>
        </w:tc>
      </w:tr>
      <w:tr>
        <w:tblPrEx>
          <w:tblCellMar>
            <w:top w:w="0" w:type="dxa"/>
            <w:left w:w="108" w:type="dxa"/>
            <w:bottom w:w="0" w:type="dxa"/>
            <w:right w:w="108" w:type="dxa"/>
          </w:tblCellMar>
        </w:tblPrEx>
        <w:trPr>
          <w:trHeight w:val="283" w:hRule="atLeast"/>
          <w:jc w:val="center"/>
        </w:trPr>
        <w:tc>
          <w:tcPr>
            <w:tcW w:w="1080" w:type="dxa"/>
            <w:vMerge w:val="restart"/>
            <w:tcBorders>
              <w:top w:val="nil"/>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年度预</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算申请</w:t>
            </w:r>
            <w:r>
              <w:rPr>
                <w:rFonts w:hint="eastAsia" w:ascii="宋体" w:hAnsi="宋体" w:cs="宋体"/>
                <w:color w:val="000000"/>
                <w:szCs w:val="21"/>
              </w:rPr>
              <w:br w:type="textWrapping"/>
            </w:r>
            <w:r>
              <w:rPr>
                <w:rFonts w:hint="eastAsia" w:ascii="宋体" w:hAnsi="宋体" w:cs="宋体"/>
                <w:color w:val="000000"/>
                <w:szCs w:val="21"/>
              </w:rPr>
              <w:t>（万元）</w:t>
            </w:r>
          </w:p>
        </w:tc>
        <w:tc>
          <w:tcPr>
            <w:tcW w:w="2114" w:type="dxa"/>
            <w:gridSpan w:val="2"/>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szCs w:val="21"/>
              </w:rPr>
              <w:t>年初预算数</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szCs w:val="21"/>
              </w:rPr>
              <w:t>全年预算数</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szCs w:val="21"/>
              </w:rPr>
              <w:t>全年执行数</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szCs w:val="21"/>
              </w:rPr>
              <w:t>分值</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szCs w:val="21"/>
              </w:rPr>
              <w:t>执行率</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szCs w:val="21"/>
              </w:rPr>
              <w:t>得分</w:t>
            </w:r>
          </w:p>
        </w:tc>
      </w:tr>
      <w:tr>
        <w:tblPrEx>
          <w:tblCellMar>
            <w:top w:w="0" w:type="dxa"/>
            <w:left w:w="108" w:type="dxa"/>
            <w:bottom w:w="0" w:type="dxa"/>
            <w:right w:w="108" w:type="dxa"/>
          </w:tblCellMar>
        </w:tblPrEx>
        <w:trPr>
          <w:trHeight w:val="283" w:hRule="atLeast"/>
          <w:jc w:val="center"/>
        </w:trPr>
        <w:tc>
          <w:tcPr>
            <w:tcW w:w="1080" w:type="dxa"/>
            <w:vMerge w:val="continue"/>
            <w:tcBorders>
              <w:top w:val="nil"/>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2114" w:type="dxa"/>
            <w:gridSpan w:val="2"/>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color w:val="000000"/>
                <w:szCs w:val="21"/>
              </w:rPr>
              <w:t>年度资金总额</w:t>
            </w: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宋体" w:hAnsi="宋体" w:eastAsia="宋体" w:cs="宋体"/>
                <w:szCs w:val="21"/>
                <w:lang w:val="en-US" w:eastAsia="zh-CN"/>
              </w:rPr>
            </w:pPr>
            <w:r>
              <w:rPr>
                <w:rFonts w:hint="eastAsia" w:ascii="宋体" w:hAnsi="宋体" w:cs="宋体"/>
                <w:szCs w:val="21"/>
                <w:lang w:val="en-US" w:eastAsia="zh-CN"/>
              </w:rPr>
              <w:t>66615.85</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宋体" w:hAnsi="宋体" w:eastAsia="宋体" w:cs="宋体"/>
                <w:szCs w:val="21"/>
                <w:lang w:val="en-US" w:eastAsia="zh-CN"/>
              </w:rPr>
            </w:pPr>
            <w:r>
              <w:rPr>
                <w:rFonts w:hint="eastAsia" w:ascii="宋体" w:hAnsi="宋体" w:cs="宋体"/>
                <w:szCs w:val="21"/>
                <w:lang w:val="en-US" w:eastAsia="zh-CN"/>
              </w:rPr>
              <w:t>56027.73</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宋体" w:hAnsi="宋体" w:eastAsia="宋体" w:cs="宋体"/>
                <w:szCs w:val="21"/>
                <w:lang w:val="en-US" w:eastAsia="zh-CN"/>
              </w:rPr>
            </w:pPr>
            <w:r>
              <w:rPr>
                <w:rFonts w:hint="eastAsia" w:ascii="宋体" w:hAnsi="宋体" w:cs="宋体"/>
                <w:szCs w:val="21"/>
                <w:lang w:val="en-US" w:eastAsia="zh-CN"/>
              </w:rPr>
              <w:t>60424.4</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szCs w:val="21"/>
              </w:rPr>
            </w:pPr>
            <w:r>
              <w:rPr>
                <w:rFonts w:hint="eastAsia" w:ascii="宋体" w:hAnsi="宋体" w:cs="宋体"/>
                <w:szCs w:val="21"/>
              </w:rPr>
              <w:t>10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宋体" w:hAnsi="宋体" w:eastAsia="宋体" w:cs="宋体"/>
                <w:szCs w:val="21"/>
                <w:lang w:val="en-US" w:eastAsia="zh-CN"/>
              </w:rPr>
            </w:pPr>
            <w:r>
              <w:rPr>
                <w:rFonts w:hint="eastAsia" w:ascii="宋体" w:hAnsi="宋体" w:cs="宋体"/>
                <w:szCs w:val="21"/>
                <w:lang w:val="en-US" w:eastAsia="zh-CN"/>
              </w:rPr>
              <w:t>107.85%</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宋体" w:hAnsi="宋体" w:eastAsia="宋体" w:cs="宋体"/>
                <w:szCs w:val="21"/>
                <w:lang w:val="en-US" w:eastAsia="zh-CN"/>
              </w:rPr>
            </w:pPr>
            <w:r>
              <w:rPr>
                <w:rFonts w:hint="eastAsia" w:ascii="宋体" w:hAnsi="宋体" w:cs="宋体"/>
                <w:szCs w:val="21"/>
                <w:lang w:val="en-US" w:eastAsia="zh-CN"/>
              </w:rPr>
              <w:t>10</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4695"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按收入性质分：</w:t>
            </w:r>
          </w:p>
        </w:tc>
        <w:tc>
          <w:tcPr>
            <w:tcW w:w="4304"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按支出性质分：</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4695"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default" w:ascii="宋体" w:hAnsi="宋体" w:eastAsia="宋体" w:cs="宋体"/>
                <w:color w:val="000000"/>
                <w:szCs w:val="21"/>
                <w:lang w:val="en-US" w:eastAsia="zh-CN"/>
              </w:rPr>
            </w:pPr>
            <w:r>
              <w:rPr>
                <w:rFonts w:hint="eastAsia" w:ascii="宋体" w:hAnsi="宋体" w:cs="宋体"/>
                <w:color w:val="000000"/>
                <w:szCs w:val="21"/>
              </w:rPr>
              <w:t xml:space="preserve">  其中：  一般公共预算：</w:t>
            </w:r>
            <w:r>
              <w:rPr>
                <w:rFonts w:hint="eastAsia" w:ascii="宋体" w:hAnsi="宋体" w:cs="宋体"/>
                <w:color w:val="000000"/>
                <w:szCs w:val="21"/>
                <w:lang w:val="en-US" w:eastAsia="zh-CN"/>
              </w:rPr>
              <w:t>34147.69</w:t>
            </w:r>
          </w:p>
        </w:tc>
        <w:tc>
          <w:tcPr>
            <w:tcW w:w="4304"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default" w:ascii="宋体" w:hAnsi="宋体" w:eastAsia="宋体" w:cs="宋体"/>
                <w:color w:val="000000"/>
                <w:szCs w:val="21"/>
                <w:lang w:val="en-US" w:eastAsia="zh-CN"/>
              </w:rPr>
            </w:pPr>
            <w:r>
              <w:rPr>
                <w:rFonts w:hint="eastAsia" w:ascii="宋体" w:hAnsi="宋体" w:cs="宋体"/>
                <w:color w:val="000000"/>
                <w:szCs w:val="21"/>
              </w:rPr>
              <w:t>其中：基本支出：</w:t>
            </w:r>
            <w:r>
              <w:rPr>
                <w:rFonts w:hint="eastAsia" w:ascii="宋体" w:hAnsi="宋体" w:cs="宋体"/>
                <w:color w:val="000000"/>
                <w:szCs w:val="21"/>
                <w:lang w:val="en-US" w:eastAsia="zh-CN"/>
              </w:rPr>
              <w:t>42462.64</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4695"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840" w:firstLineChars="400"/>
              <w:jc w:val="left"/>
              <w:rPr>
                <w:rFonts w:hint="default" w:ascii="宋体" w:hAnsi="宋体" w:eastAsia="宋体" w:cs="宋体"/>
                <w:color w:val="000000"/>
                <w:szCs w:val="21"/>
                <w:lang w:val="en-US" w:eastAsia="zh-CN"/>
              </w:rPr>
            </w:pPr>
            <w:r>
              <w:rPr>
                <w:rFonts w:hint="eastAsia" w:ascii="宋体" w:hAnsi="宋体" w:cs="宋体"/>
                <w:color w:val="000000"/>
                <w:szCs w:val="21"/>
              </w:rPr>
              <w:t>政府性基金拨款：</w:t>
            </w:r>
          </w:p>
        </w:tc>
        <w:tc>
          <w:tcPr>
            <w:tcW w:w="4304"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630" w:firstLineChars="300"/>
              <w:jc w:val="left"/>
              <w:rPr>
                <w:rFonts w:hint="default" w:ascii="宋体" w:hAnsi="宋体" w:eastAsia="宋体" w:cs="宋体"/>
                <w:color w:val="000000"/>
                <w:szCs w:val="21"/>
                <w:lang w:val="en-US" w:eastAsia="zh-CN"/>
              </w:rPr>
            </w:pPr>
            <w:r>
              <w:rPr>
                <w:rFonts w:hint="eastAsia" w:ascii="宋体" w:hAnsi="宋体" w:cs="宋体"/>
                <w:color w:val="000000"/>
                <w:szCs w:val="21"/>
              </w:rPr>
              <w:t>项目支出：</w:t>
            </w:r>
            <w:r>
              <w:rPr>
                <w:rFonts w:hint="eastAsia" w:ascii="宋体" w:hAnsi="宋体" w:cs="宋体"/>
                <w:color w:val="000000"/>
                <w:szCs w:val="21"/>
                <w:lang w:val="en-US" w:eastAsia="zh-CN"/>
              </w:rPr>
              <w:t>17961.75</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4695"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纳入专户管理的非税收入拨款：</w:t>
            </w:r>
            <w:r>
              <w:rPr>
                <w:rFonts w:hint="eastAsia" w:ascii="宋体" w:hAnsi="宋体" w:cs="宋体"/>
                <w:color w:val="000000"/>
                <w:szCs w:val="21"/>
                <w:lang w:val="en-US" w:eastAsia="zh-CN"/>
              </w:rPr>
              <w:t>19626.6</w:t>
            </w:r>
          </w:p>
        </w:tc>
        <w:tc>
          <w:tcPr>
            <w:tcW w:w="4304"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4695"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ind w:firstLine="1470" w:firstLineChars="700"/>
              <w:jc w:val="left"/>
              <w:rPr>
                <w:rFonts w:hint="default" w:ascii="宋体" w:hAnsi="宋体" w:eastAsia="宋体" w:cs="宋体"/>
                <w:color w:val="000000"/>
                <w:szCs w:val="21"/>
                <w:lang w:val="en-US" w:eastAsia="zh-CN"/>
              </w:rPr>
            </w:pPr>
            <w:r>
              <w:rPr>
                <w:rFonts w:hint="eastAsia" w:ascii="宋体" w:hAnsi="宋体" w:cs="宋体"/>
                <w:color w:val="000000"/>
                <w:szCs w:val="21"/>
              </w:rPr>
              <w:t>其他资金：</w:t>
            </w:r>
            <w:r>
              <w:rPr>
                <w:rFonts w:hint="eastAsia" w:ascii="宋体" w:hAnsi="宋体" w:cs="宋体"/>
                <w:color w:val="000000"/>
                <w:szCs w:val="21"/>
                <w:lang w:val="en-US" w:eastAsia="zh-CN"/>
              </w:rPr>
              <w:t>6984.21</w:t>
            </w:r>
          </w:p>
        </w:tc>
        <w:tc>
          <w:tcPr>
            <w:tcW w:w="4304" w:type="dxa"/>
            <w:gridSpan w:val="4"/>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r>
      <w:tr>
        <w:tblPrEx>
          <w:tblCellMar>
            <w:top w:w="0" w:type="dxa"/>
            <w:left w:w="108" w:type="dxa"/>
            <w:bottom w:w="0" w:type="dxa"/>
            <w:right w:w="108" w:type="dxa"/>
          </w:tblCellMar>
        </w:tblPrEx>
        <w:trPr>
          <w:trHeight w:val="283" w:hRule="atLeast"/>
          <w:jc w:val="center"/>
        </w:trPr>
        <w:tc>
          <w:tcPr>
            <w:tcW w:w="1080" w:type="dxa"/>
            <w:vMerge w:val="restart"/>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年度总体目标</w:t>
            </w:r>
          </w:p>
        </w:tc>
        <w:tc>
          <w:tcPr>
            <w:tcW w:w="4695"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预期目标</w:t>
            </w:r>
          </w:p>
        </w:tc>
        <w:tc>
          <w:tcPr>
            <w:tcW w:w="4304"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实际完成情况　</w:t>
            </w:r>
          </w:p>
        </w:tc>
      </w:tr>
      <w:tr>
        <w:tblPrEx>
          <w:tblCellMar>
            <w:top w:w="0" w:type="dxa"/>
            <w:left w:w="108" w:type="dxa"/>
            <w:bottom w:w="0" w:type="dxa"/>
            <w:right w:w="108" w:type="dxa"/>
          </w:tblCellMar>
        </w:tblPrEx>
        <w:trPr>
          <w:trHeight w:val="4161" w:hRule="atLeast"/>
          <w:jc w:val="center"/>
        </w:trPr>
        <w:tc>
          <w:tcPr>
            <w:tcW w:w="1080" w:type="dxa"/>
            <w:vMerge w:val="continue"/>
            <w:tcBorders>
              <w:top w:val="nil"/>
              <w:left w:val="single" w:color="auto" w:sz="4" w:space="0"/>
              <w:bottom w:val="single" w:color="000000"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4695" w:type="dxa"/>
            <w:gridSpan w:val="4"/>
            <w:tcBorders>
              <w:top w:val="single" w:color="auto" w:sz="4" w:space="0"/>
              <w:left w:val="nil"/>
              <w:bottom w:val="single" w:color="auto" w:sz="4" w:space="0"/>
              <w:right w:val="single" w:color="000000" w:sz="4" w:space="0"/>
            </w:tcBorders>
            <w:vAlign w:val="center"/>
          </w:tcPr>
          <w:p>
            <w:pPr>
              <w:keepNext w:val="0"/>
              <w:keepLines w:val="0"/>
              <w:pageBreakBefore w:val="0"/>
              <w:widowControl w:val="0"/>
              <w:numPr>
                <w:ilvl w:val="0"/>
                <w:numId w:val="6"/>
              </w:numPr>
              <w:kinsoku/>
              <w:wordWrap/>
              <w:overflowPunct/>
              <w:topLinePunct w:val="0"/>
              <w:autoSpaceDE/>
              <w:autoSpaceDN/>
              <w:bidi w:val="0"/>
              <w:spacing w:line="240" w:lineRule="exact"/>
              <w:jc w:val="left"/>
              <w:rPr>
                <w:rFonts w:hint="eastAsia" w:ascii="楷体" w:hAnsi="楷体" w:eastAsia="楷体" w:cs="楷体"/>
              </w:rPr>
            </w:pPr>
            <w:r>
              <w:rPr>
                <w:rFonts w:hint="eastAsia" w:ascii="楷体" w:hAnsi="楷体" w:eastAsia="楷体" w:cs="楷体"/>
              </w:rPr>
              <w:t>深入学习贯彻习近平新时代中国特色社会主义思想，坚持党的</w:t>
            </w:r>
            <w:r>
              <w:rPr>
                <w:rFonts w:hint="eastAsia" w:ascii="楷体" w:hAnsi="楷体" w:eastAsia="楷体" w:cs="楷体"/>
                <w:lang w:val="en-US" w:eastAsia="zh-CN"/>
              </w:rPr>
              <w:t>全面</w:t>
            </w:r>
            <w:r>
              <w:rPr>
                <w:rFonts w:hint="eastAsia" w:ascii="楷体" w:hAnsi="楷体" w:eastAsia="楷体" w:cs="楷体"/>
              </w:rPr>
              <w:t>领导　</w:t>
            </w:r>
          </w:p>
          <w:p>
            <w:pPr>
              <w:keepNext w:val="0"/>
              <w:keepLines w:val="0"/>
              <w:pageBreakBefore w:val="0"/>
              <w:widowControl w:val="0"/>
              <w:numPr>
                <w:ilvl w:val="0"/>
                <w:numId w:val="6"/>
              </w:numPr>
              <w:kinsoku/>
              <w:wordWrap/>
              <w:overflowPunct/>
              <w:topLinePunct w:val="0"/>
              <w:autoSpaceDE/>
              <w:autoSpaceDN/>
              <w:bidi w:val="0"/>
              <w:spacing w:line="240" w:lineRule="exact"/>
              <w:jc w:val="left"/>
              <w:rPr>
                <w:rFonts w:hint="eastAsia" w:ascii="楷体" w:hAnsi="楷体" w:eastAsia="楷体" w:cs="楷体"/>
              </w:rPr>
            </w:pPr>
            <w:r>
              <w:rPr>
                <w:rFonts w:hint="eastAsia" w:ascii="楷体" w:hAnsi="楷体" w:eastAsia="楷体" w:cs="楷体"/>
              </w:rPr>
              <w:t>落实立德树人根本任务，着力提高人才培养质量</w:t>
            </w:r>
          </w:p>
          <w:p>
            <w:pPr>
              <w:keepNext w:val="0"/>
              <w:keepLines w:val="0"/>
              <w:pageBreakBefore w:val="0"/>
              <w:widowControl w:val="0"/>
              <w:numPr>
                <w:ilvl w:val="0"/>
                <w:numId w:val="6"/>
              </w:numPr>
              <w:kinsoku/>
              <w:wordWrap/>
              <w:overflowPunct/>
              <w:topLinePunct w:val="0"/>
              <w:autoSpaceDE/>
              <w:autoSpaceDN/>
              <w:bidi w:val="0"/>
              <w:spacing w:line="240" w:lineRule="exact"/>
              <w:jc w:val="left"/>
              <w:rPr>
                <w:rFonts w:hint="eastAsia" w:ascii="楷体" w:hAnsi="楷体" w:eastAsia="楷体" w:cs="楷体"/>
              </w:rPr>
            </w:pPr>
            <w:r>
              <w:rPr>
                <w:rFonts w:hint="eastAsia" w:ascii="楷体" w:hAnsi="楷体" w:eastAsia="楷体" w:cs="楷体"/>
              </w:rPr>
              <w:t>坚持内涵发展，不断提升学校综合实力</w:t>
            </w:r>
          </w:p>
          <w:p>
            <w:pPr>
              <w:pStyle w:val="2"/>
              <w:numPr>
                <w:ilvl w:val="0"/>
                <w:numId w:val="6"/>
              </w:numPr>
              <w:ind w:left="0" w:leftChars="0" w:firstLine="0" w:firstLineChars="0"/>
              <w:rPr>
                <w:rFonts w:hint="eastAsia" w:ascii="楷体" w:hAnsi="楷体" w:eastAsia="楷体" w:cs="楷体"/>
                <w:lang w:val="en-US" w:eastAsia="zh-CN"/>
              </w:rPr>
            </w:pPr>
            <w:r>
              <w:rPr>
                <w:rFonts w:hint="eastAsia" w:ascii="楷体" w:hAnsi="楷体" w:eastAsia="楷体" w:cs="楷体"/>
                <w:lang w:val="en-US" w:eastAsia="zh-CN"/>
              </w:rPr>
              <w:t>深化综合改革，不断完善现代化治理体系</w:t>
            </w:r>
          </w:p>
          <w:p>
            <w:pPr>
              <w:pStyle w:val="2"/>
              <w:numPr>
                <w:ilvl w:val="0"/>
                <w:numId w:val="6"/>
              </w:numPr>
              <w:ind w:left="0" w:leftChars="0" w:firstLine="0" w:firstLineChars="0"/>
              <w:rPr>
                <w:rFonts w:hint="eastAsia" w:ascii="楷体" w:hAnsi="楷体" w:eastAsia="楷体" w:cs="楷体"/>
                <w:lang w:val="en-US" w:eastAsia="zh-CN"/>
              </w:rPr>
            </w:pPr>
            <w:r>
              <w:rPr>
                <w:rFonts w:hint="eastAsia" w:ascii="楷体" w:hAnsi="楷体" w:eastAsia="楷体" w:cs="楷体"/>
                <w:lang w:val="en-US" w:eastAsia="zh-CN"/>
              </w:rPr>
              <w:t>深入推进交流合作，开放办学水平不断提高</w:t>
            </w:r>
          </w:p>
          <w:p>
            <w:pPr>
              <w:pStyle w:val="2"/>
              <w:numPr>
                <w:ilvl w:val="0"/>
                <w:numId w:val="6"/>
              </w:numPr>
              <w:ind w:left="0" w:leftChars="0" w:firstLine="0" w:firstLineChars="0"/>
              <w:rPr>
                <w:rFonts w:hint="eastAsia" w:ascii="楷体" w:hAnsi="楷体" w:eastAsia="楷体" w:cs="楷体"/>
              </w:rPr>
            </w:pPr>
            <w:r>
              <w:rPr>
                <w:rFonts w:hint="eastAsia" w:ascii="楷体" w:hAnsi="楷体" w:eastAsia="楷体" w:cs="楷体"/>
                <w:lang w:val="en-US" w:eastAsia="zh-CN"/>
              </w:rPr>
              <w:t>致力建设和美校园，师生幸福感不断提升</w:t>
            </w:r>
          </w:p>
        </w:tc>
        <w:tc>
          <w:tcPr>
            <w:tcW w:w="4304"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楷体" w:hAnsi="楷体" w:eastAsia="楷体" w:cs="楷体"/>
                <w:lang w:val="en-US" w:eastAsia="zh-CN"/>
              </w:rPr>
            </w:pPr>
            <w:r>
              <w:rPr>
                <w:rFonts w:hint="eastAsia" w:ascii="楷体" w:hAnsi="楷体" w:eastAsia="楷体" w:cs="楷体"/>
                <w:kern w:val="2"/>
                <w:sz w:val="21"/>
                <w:szCs w:val="24"/>
                <w:lang w:val="en-US" w:eastAsia="zh-CN" w:bidi="ar-SA"/>
              </w:rPr>
              <w:t>1.</w:t>
            </w:r>
            <w:r>
              <w:rPr>
                <w:rFonts w:hint="eastAsia" w:ascii="楷体" w:hAnsi="楷体" w:eastAsia="楷体" w:cs="楷体"/>
              </w:rPr>
              <w:t>深入贯彻党的二十大精神</w:t>
            </w:r>
            <w:r>
              <w:rPr>
                <w:rFonts w:hint="eastAsia" w:ascii="楷体" w:hAnsi="楷体" w:eastAsia="楷体" w:cs="楷体"/>
                <w:lang w:eastAsia="zh-CN"/>
              </w:rPr>
              <w:t>，</w:t>
            </w:r>
            <w:r>
              <w:rPr>
                <w:rFonts w:hint="eastAsia" w:ascii="楷体" w:hAnsi="楷体" w:eastAsia="楷体" w:cs="楷体"/>
                <w:lang w:val="en-US" w:eastAsia="zh-CN"/>
              </w:rPr>
              <w:t>党的政治建设全面加强，我校2021年度高校党委书记抓基层党建述职评议考核工作在全省被评为“好”等次。干部队伍建设不断加强，宣传统战工作稳步推进，全面从严治党深入推进，疫情防控有力有序。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楷体" w:hAnsi="楷体" w:eastAsia="楷体" w:cs="楷体"/>
                <w:lang w:val="en-US" w:eastAsia="zh-CN"/>
              </w:rPr>
            </w:pPr>
            <w:r>
              <w:rPr>
                <w:rFonts w:hint="eastAsia" w:ascii="楷体" w:hAnsi="楷体" w:eastAsia="楷体" w:cs="楷体"/>
                <w:kern w:val="2"/>
                <w:sz w:val="21"/>
                <w:szCs w:val="24"/>
                <w:lang w:val="en-US" w:eastAsia="zh-CN" w:bidi="ar-SA"/>
              </w:rPr>
              <w:t>2.</w:t>
            </w:r>
            <w:r>
              <w:rPr>
                <w:rFonts w:hint="eastAsia" w:ascii="楷体" w:hAnsi="楷体" w:eastAsia="楷体" w:cs="楷体"/>
                <w:lang w:val="en-US" w:eastAsia="zh-CN"/>
              </w:rPr>
              <w:t>教育教学运行有序，学科竞赛共获得省级以上奖励153项，其中获国家级三等奖以上11项，获批教育部“全国大学生实习公共服务平台”试点单位（湖南省共3所高校）。课程建设持续推进，思政教育成效提升，共青团在全国获得国家级奖项总计32项，省级奖项总计63项，市级奖项总计10项。招生就业稳步推进。</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楷体" w:hAnsi="楷体" w:eastAsia="楷体" w:cs="楷体"/>
                <w:lang w:val="en-US" w:eastAsia="zh-CN"/>
              </w:rPr>
            </w:pPr>
            <w:r>
              <w:rPr>
                <w:rFonts w:hint="eastAsia" w:ascii="楷体" w:hAnsi="楷体" w:eastAsia="楷体" w:cs="楷体"/>
                <w:kern w:val="2"/>
                <w:sz w:val="21"/>
                <w:szCs w:val="24"/>
                <w:lang w:val="en-US" w:eastAsia="zh-CN" w:bidi="ar-SA"/>
              </w:rPr>
              <w:t>3.</w:t>
            </w:r>
            <w:r>
              <w:rPr>
                <w:rFonts w:hint="eastAsia" w:ascii="楷体" w:hAnsi="楷体" w:eastAsia="楷体" w:cs="楷体"/>
                <w:lang w:val="en-US" w:eastAsia="zh-CN"/>
              </w:rPr>
              <w:t>学科建设不断推进，获“十四五”省级应用特色学科6个。科研项目再创佳绩，获国家自然科学基金项目7项（其中面上项目2项、青年项目5项），省自然科学基金项目96项，获得湖南省科学技术奖4项，发表学术论文1300余篇，其中SCI、EI、CPCI等三大收录150余篇，出版学术专著38部，获得国家授权发明专利54项，实用新型专利129余项。全年科研立项254项，纵向科研项目立项经费 980余万元，累计进校科研立项经费达3180余万元。科研体制不断完善，人才队伍建设扎实推进。新增国内博士40人。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楷体" w:hAnsi="楷体" w:eastAsia="楷体" w:cs="楷体"/>
                <w:lang w:val="en-US" w:eastAsia="zh-CN"/>
              </w:rPr>
            </w:pPr>
            <w:r>
              <w:rPr>
                <w:rFonts w:hint="eastAsia" w:ascii="楷体" w:hAnsi="楷体" w:eastAsia="楷体" w:cs="楷体"/>
                <w:lang w:val="en-US" w:eastAsia="zh-CN"/>
              </w:rPr>
              <w:t>4.</w:t>
            </w:r>
            <w:r>
              <w:rPr>
                <w:rFonts w:hint="eastAsia" w:ascii="楷体" w:hAnsi="楷体" w:eastAsia="楷体" w:cs="楷体"/>
              </w:rPr>
              <w:t>开展办学思想大讨论</w:t>
            </w:r>
            <w:r>
              <w:rPr>
                <w:rFonts w:hint="eastAsia" w:ascii="楷体" w:hAnsi="楷体" w:eastAsia="楷体" w:cs="楷体"/>
                <w:lang w:eastAsia="zh-CN"/>
              </w:rPr>
              <w:t>，</w:t>
            </w:r>
            <w:r>
              <w:rPr>
                <w:rFonts w:hint="eastAsia" w:ascii="楷体" w:hAnsi="楷体" w:eastAsia="楷体" w:cs="楷体"/>
              </w:rPr>
              <w:t>科学谋划发展蓝图</w:t>
            </w:r>
            <w:r>
              <w:rPr>
                <w:rFonts w:hint="eastAsia" w:ascii="楷体" w:hAnsi="楷体" w:eastAsia="楷体" w:cs="楷体"/>
                <w:lang w:eastAsia="zh-CN"/>
              </w:rPr>
              <w:t>，</w:t>
            </w:r>
            <w:r>
              <w:rPr>
                <w:rFonts w:hint="eastAsia" w:ascii="楷体" w:hAnsi="楷体" w:eastAsia="楷体" w:cs="楷体"/>
              </w:rPr>
              <w:t>深化新时代教育评价改革</w:t>
            </w:r>
            <w:r>
              <w:rPr>
                <w:rFonts w:hint="eastAsia" w:ascii="楷体" w:hAnsi="楷体" w:eastAsia="楷体" w:cs="楷体"/>
                <w:lang w:eastAsia="zh-CN"/>
              </w:rPr>
              <w:t>，</w:t>
            </w:r>
            <w:r>
              <w:rPr>
                <w:rFonts w:hint="eastAsia" w:ascii="楷体" w:hAnsi="楷体" w:eastAsia="楷体" w:cs="楷体"/>
                <w:lang w:val="en-US" w:eastAsia="zh-CN"/>
              </w:rPr>
              <w:t>经济责任审计整改、继续教育专项整治成效显著。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leftChars="0" w:firstLine="420" w:firstLineChars="200"/>
              <w:jc w:val="left"/>
              <w:textAlignment w:val="auto"/>
              <w:rPr>
                <w:rFonts w:hint="eastAsia" w:ascii="楷体" w:hAnsi="楷体" w:eastAsia="楷体" w:cs="楷体"/>
                <w:lang w:val="en-US" w:eastAsia="zh-CN"/>
              </w:rPr>
            </w:pPr>
            <w:r>
              <w:rPr>
                <w:rFonts w:hint="eastAsia" w:ascii="楷体" w:hAnsi="楷体" w:eastAsia="楷体" w:cs="楷体"/>
                <w:lang w:val="en-US" w:eastAsia="zh-CN"/>
              </w:rPr>
              <w:t>5.坚持城校共生、产教融合，加强国际交流合作，加强国内合作。筹建邵阳学院教育基金会，完成校友企业横向课题经费510.8万元。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楷体" w:hAnsi="楷体" w:eastAsia="楷体" w:cs="楷体"/>
                <w:lang w:val="en-US" w:eastAsia="zh-CN"/>
              </w:rPr>
            </w:pPr>
            <w:r>
              <w:rPr>
                <w:rFonts w:hint="eastAsia" w:ascii="楷体" w:hAnsi="楷体" w:eastAsia="楷体" w:cs="楷体"/>
                <w:lang w:val="en-US" w:eastAsia="zh-CN"/>
              </w:rPr>
              <w:t>6.美丽校园建设不断推进，智慧校园建设一体推进，资产财务科学管理，工会离退休工作不断加强，校园安全和谐稳定，医院服务能力稳中有升。</w:t>
            </w:r>
          </w:p>
        </w:tc>
      </w:tr>
      <w:tr>
        <w:tblPrEx>
          <w:tblCellMar>
            <w:top w:w="0" w:type="dxa"/>
            <w:left w:w="108" w:type="dxa"/>
            <w:bottom w:w="0" w:type="dxa"/>
            <w:right w:w="108" w:type="dxa"/>
          </w:tblCellMar>
        </w:tblPrEx>
        <w:trPr>
          <w:trHeight w:val="283" w:hRule="atLeast"/>
          <w:jc w:val="center"/>
        </w:trPr>
        <w:tc>
          <w:tcPr>
            <w:tcW w:w="1080" w:type="dxa"/>
            <w:vMerge w:val="restart"/>
            <w:tcBorders>
              <w:top w:val="nil"/>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绩</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效</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指</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标</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08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一级指标</w:t>
            </w:r>
          </w:p>
        </w:tc>
        <w:tc>
          <w:tcPr>
            <w:tcW w:w="1034"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二级</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指标</w:t>
            </w: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三级指标</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rPr>
                <w:rFonts w:ascii="宋体" w:hAnsi="宋体" w:cs="宋体"/>
                <w:color w:val="000000"/>
                <w:szCs w:val="21"/>
              </w:rPr>
            </w:pPr>
            <w:r>
              <w:rPr>
                <w:rFonts w:hint="eastAsia" w:ascii="宋体" w:hAnsi="宋体" w:cs="宋体"/>
                <w:color w:val="000000"/>
                <w:szCs w:val="21"/>
              </w:rPr>
              <w:t>年度指标值</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rPr>
                <w:rFonts w:ascii="宋体" w:hAnsi="宋体" w:cs="宋体"/>
                <w:color w:val="000000"/>
                <w:szCs w:val="21"/>
              </w:rPr>
            </w:pPr>
            <w:r>
              <w:rPr>
                <w:rFonts w:hint="eastAsia" w:ascii="宋体" w:hAnsi="宋体" w:cs="宋体"/>
                <w:color w:val="000000"/>
                <w:szCs w:val="21"/>
              </w:rPr>
              <w:t>实际完成值</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分值</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得分</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pacing w:val="-11"/>
                <w:sz w:val="21"/>
                <w:szCs w:val="21"/>
              </w:rPr>
              <w:t>偏差原因分析及改进措施</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产出指标</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(50分)</w:t>
            </w: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数量</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指标</w:t>
            </w: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高质量党委理论学习中心组集中学习</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12</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12次</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组织开展二级党组织理论学习开展巡听旁听工作</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12</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34次</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组织参与省级以上的各类学科竞赛赛获省级以上奖励</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100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153项</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5</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省级以上立项课题（含省教育厅重点课题、青年课题）数量</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firstLine="210" w:firstLineChars="10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50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107项</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SCI、EI、CPCI等三大收录论文数量</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100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150余篇</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4</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出版学术专著</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auto"/>
                <w:kern w:val="2"/>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20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default"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38部</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获得国家授权专利数量</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100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default"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183项</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国家级立项项目（含国家自科、社科等）</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0</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12项</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博士学位教师增长数量</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20</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40人</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湖南省科学技术奖数量</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0</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4项</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质量</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指标</w:t>
            </w: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eastAsia="zh-CN"/>
              </w:rPr>
              <w:t>毕业生初次就业率</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sz w:val="21"/>
                <w:szCs w:val="21"/>
                <w:lang w:val="en-US" w:eastAsia="zh-CN"/>
              </w:rPr>
              <w:t>≥</w:t>
            </w:r>
            <w:r>
              <w:rPr>
                <w:rFonts w:hint="eastAsia" w:ascii="仿宋" w:hAnsi="仿宋" w:eastAsia="仿宋" w:cs="仿宋"/>
                <w:color w:val="000000"/>
                <w:kern w:val="0"/>
                <w:sz w:val="21"/>
                <w:szCs w:val="21"/>
                <w:lang w:val="en-US" w:eastAsia="zh-CN"/>
              </w:rPr>
              <w:t>70%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val="en-US" w:eastAsia="zh-CN"/>
              </w:rPr>
              <w:t>78.94%</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val="en-US" w:eastAsia="zh-CN" w:bidi="ar-SA"/>
              </w:rPr>
              <w:t>3</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val="en-US" w:eastAsia="zh-CN" w:bidi="ar-SA"/>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right="0"/>
              <w:jc w:val="left"/>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rPr>
              <w:t>建立完善的财务管理制度</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val="en-US" w:eastAsia="zh-CN"/>
              </w:rPr>
              <w:t>6</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val="en-US" w:eastAsia="zh-CN"/>
              </w:rPr>
              <w:t>5</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val="en-US" w:eastAsia="zh-CN"/>
              </w:rPr>
              <w:t>5</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30" w:lineRule="exact"/>
              <w:ind w:left="0" w:leftChars="0" w:right="0" w:rightChars="0"/>
              <w:jc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 w:val="21"/>
                <w:szCs w:val="21"/>
                <w:lang w:val="en-US" w:eastAsia="zh-CN"/>
              </w:rPr>
              <w:t>4</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财务管理制度有待进一步完善</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安全责任事故零申报</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0</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0</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时效</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指标</w:t>
            </w: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财政资金预算执行进度</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≥95%</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99.03%</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国家奖助学金及时发放率</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kern w:val="0"/>
                <w:sz w:val="21"/>
                <w:szCs w:val="21"/>
                <w:lang w:val="en-US" w:eastAsia="zh-CN"/>
              </w:rPr>
              <w:t>100%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100%</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lang w:eastAsia="zh-CN"/>
              </w:rPr>
            </w:pPr>
            <w:r>
              <w:rPr>
                <w:rFonts w:hint="eastAsia" w:ascii="仿宋" w:hAnsi="仿宋" w:eastAsia="仿宋" w:cs="仿宋"/>
                <w:color w:val="000000"/>
                <w:kern w:val="0"/>
                <w:sz w:val="21"/>
                <w:szCs w:val="21"/>
                <w:lang w:val="en-US" w:eastAsia="zh-CN"/>
              </w:rPr>
              <w:t>2</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bidi="ar-SA"/>
              </w:rPr>
              <w:t>2</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及时落实上级部门交办任务</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及时</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及时</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1</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成本</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指标</w:t>
            </w: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left"/>
              <w:rPr>
                <w:rFonts w:hint="eastAsia" w:ascii="仿宋" w:hAnsi="仿宋" w:eastAsia="仿宋" w:cs="仿宋"/>
                <w:color w:val="000000"/>
                <w:sz w:val="21"/>
                <w:szCs w:val="21"/>
              </w:rPr>
            </w:pPr>
            <w:r>
              <w:rPr>
                <w:rFonts w:hint="eastAsia" w:ascii="仿宋" w:hAnsi="仿宋" w:eastAsia="仿宋" w:cs="仿宋"/>
                <w:color w:val="000000"/>
                <w:kern w:val="0"/>
                <w:sz w:val="21"/>
                <w:szCs w:val="21"/>
                <w:lang w:eastAsia="zh-CN"/>
              </w:rPr>
              <w:t>在职人员控制率</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≤100%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77.43%</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2</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2</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left"/>
              <w:rPr>
                <w:rFonts w:hint="eastAsia" w:ascii="仿宋" w:hAnsi="仿宋" w:eastAsia="仿宋" w:cs="仿宋"/>
                <w:color w:val="000000"/>
                <w:sz w:val="21"/>
                <w:szCs w:val="21"/>
              </w:rPr>
            </w:pPr>
            <w:r>
              <w:rPr>
                <w:rFonts w:hint="eastAsia" w:ascii="仿宋" w:hAnsi="仿宋" w:eastAsia="仿宋" w:cs="仿宋"/>
                <w:color w:val="000000"/>
                <w:kern w:val="0"/>
                <w:sz w:val="21"/>
                <w:szCs w:val="21"/>
              </w:rPr>
              <w:t>三公经费</w:t>
            </w:r>
            <w:r>
              <w:rPr>
                <w:rFonts w:hint="eastAsia" w:ascii="仿宋" w:hAnsi="仿宋" w:eastAsia="仿宋" w:cs="仿宋"/>
                <w:color w:val="000000"/>
                <w:kern w:val="0"/>
                <w:sz w:val="21"/>
                <w:szCs w:val="21"/>
                <w:lang w:val="en-US" w:eastAsia="zh-CN"/>
              </w:rPr>
              <w:t>控制率</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≤100%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lang w:val="en-US"/>
              </w:rPr>
            </w:pPr>
            <w:r>
              <w:rPr>
                <w:rFonts w:hint="eastAsia" w:ascii="仿宋" w:hAnsi="仿宋" w:eastAsia="仿宋" w:cs="仿宋"/>
                <w:color w:val="000000"/>
                <w:kern w:val="0"/>
                <w:sz w:val="21"/>
                <w:szCs w:val="21"/>
                <w:lang w:val="en-US" w:eastAsia="zh-CN"/>
              </w:rPr>
              <w:t>23.44%</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效益指标</w:t>
            </w:r>
          </w:p>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（30分）</w:t>
            </w:r>
          </w:p>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　</w:t>
            </w: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经济效</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益指标</w:t>
            </w: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left"/>
              <w:rPr>
                <w:rFonts w:hint="eastAsia" w:ascii="仿宋" w:hAnsi="仿宋" w:eastAsia="仿宋" w:cs="仿宋"/>
                <w:color w:val="000000"/>
                <w:sz w:val="21"/>
                <w:szCs w:val="21"/>
                <w:lang w:val="en-US" w:eastAsia="zh-CN"/>
              </w:rPr>
            </w:pPr>
            <w:r>
              <w:rPr>
                <w:rFonts w:hint="eastAsia" w:ascii="仿宋" w:hAnsi="仿宋" w:eastAsia="仿宋" w:cs="仿宋"/>
                <w:color w:val="000000"/>
                <w:kern w:val="0"/>
                <w:sz w:val="21"/>
                <w:szCs w:val="21"/>
              </w:rPr>
              <w:t>科研成果转化</w:t>
            </w:r>
            <w:r>
              <w:rPr>
                <w:rFonts w:hint="eastAsia" w:ascii="仿宋" w:hAnsi="仿宋" w:eastAsia="仿宋" w:cs="仿宋"/>
                <w:color w:val="000000"/>
                <w:kern w:val="0"/>
                <w:sz w:val="21"/>
                <w:szCs w:val="21"/>
                <w:lang w:val="en-US" w:eastAsia="zh-CN"/>
              </w:rPr>
              <w:t>合同金额</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≥100万元</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lang w:val="en-US"/>
              </w:rPr>
            </w:pPr>
            <w:r>
              <w:rPr>
                <w:rFonts w:hint="eastAsia" w:ascii="仿宋" w:hAnsi="仿宋" w:eastAsia="仿宋" w:cs="仿宋"/>
                <w:color w:val="000000"/>
                <w:kern w:val="0"/>
                <w:sz w:val="21"/>
                <w:szCs w:val="21"/>
                <w:lang w:val="en-US" w:eastAsia="zh-CN"/>
              </w:rPr>
              <w:t>200万元</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rPr>
              <w:t>5</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5</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left"/>
              <w:rPr>
                <w:rFonts w:hint="eastAsia" w:ascii="仿宋" w:hAnsi="仿宋" w:eastAsia="仿宋" w:cs="仿宋"/>
                <w:color w:val="000000"/>
                <w:sz w:val="21"/>
                <w:szCs w:val="21"/>
              </w:rPr>
            </w:pPr>
            <w:r>
              <w:rPr>
                <w:rFonts w:hint="eastAsia" w:ascii="仿宋" w:hAnsi="仿宋" w:eastAsia="仿宋" w:cs="仿宋"/>
                <w:color w:val="000000"/>
                <w:kern w:val="0"/>
                <w:sz w:val="21"/>
                <w:szCs w:val="21"/>
              </w:rPr>
              <w:t>校企合作或大学生创业产生直接经济效益明显</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≥100万元</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lang w:val="en-US"/>
              </w:rPr>
            </w:pPr>
            <w:r>
              <w:rPr>
                <w:rFonts w:hint="eastAsia" w:ascii="仿宋" w:hAnsi="仿宋" w:eastAsia="仿宋" w:cs="仿宋"/>
                <w:color w:val="000000"/>
                <w:kern w:val="0"/>
                <w:sz w:val="21"/>
                <w:szCs w:val="21"/>
                <w:lang w:val="en-US" w:eastAsia="zh-CN"/>
              </w:rPr>
              <w:t>510.8万元</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rPr>
              <w:t>5</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5</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社会效</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益指标</w:t>
            </w: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贫困生资助比例</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100%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100%</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5</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bidi="ar-SA"/>
              </w:rPr>
              <w:t>5</w:t>
            </w:r>
          </w:p>
        </w:tc>
        <w:tc>
          <w:tcPr>
            <w:tcW w:w="144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由于师德师风因素造成社会不良影响事故</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rPr>
              <w:t>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bidi="ar-SA"/>
              </w:rPr>
              <w:t>0</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bidi="ar-SA"/>
              </w:rPr>
              <w:t>3</w:t>
            </w:r>
          </w:p>
        </w:tc>
        <w:tc>
          <w:tcPr>
            <w:tcW w:w="144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240" w:lineRule="exact"/>
              <w:ind w:left="0" w:leftChars="0" w:right="0" w:rightChars="0"/>
              <w:jc w:val="center"/>
              <w:rPr>
                <w:rFonts w:hint="eastAsia" w:ascii="仿宋" w:hAnsi="仿宋" w:eastAsia="仿宋" w:cs="仿宋"/>
                <w:color w:val="000000"/>
                <w:kern w:val="0"/>
                <w:sz w:val="21"/>
                <w:szCs w:val="21"/>
                <w:lang w:val="en-US" w:eastAsia="zh-CN" w:bidi="ar-SA"/>
              </w:rPr>
            </w:pP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精准扶贫乡村振兴是否带动地区收入</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是</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是</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2</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sz w:val="21"/>
                <w:szCs w:val="21"/>
                <w:lang w:val="en-US" w:eastAsia="zh-CN"/>
              </w:rPr>
              <w:t>2</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生态效</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益指标</w:t>
            </w: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cs="仿宋"/>
                <w:color w:val="000000"/>
                <w:sz w:val="21"/>
                <w:szCs w:val="21"/>
                <w:lang w:val="en-US"/>
              </w:rPr>
            </w:pPr>
            <w:r>
              <w:rPr>
                <w:rFonts w:hint="eastAsia" w:ascii="仿宋" w:hAnsi="仿宋" w:eastAsia="仿宋" w:cs="仿宋"/>
                <w:color w:val="000000"/>
                <w:sz w:val="21"/>
                <w:szCs w:val="21"/>
                <w:lang w:val="en-US" w:eastAsia="zh-CN"/>
              </w:rPr>
              <w:t>创建节水型高校、绿色校园示范单位</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完成</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完成</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水电能源节约</w:t>
            </w:r>
          </w:p>
        </w:tc>
        <w:tc>
          <w:tcPr>
            <w:tcW w:w="1311"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是</w:t>
            </w:r>
          </w:p>
        </w:tc>
        <w:tc>
          <w:tcPr>
            <w:tcW w:w="1269"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是</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可持续影响指标</w:t>
            </w:r>
          </w:p>
        </w:tc>
        <w:tc>
          <w:tcPr>
            <w:tcW w:w="127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left"/>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预算</w:t>
            </w:r>
            <w:r>
              <w:rPr>
                <w:rFonts w:hint="eastAsia" w:ascii="仿宋" w:hAnsi="仿宋" w:eastAsia="仿宋" w:cs="仿宋"/>
                <w:color w:val="000000"/>
                <w:kern w:val="0"/>
                <w:sz w:val="21"/>
                <w:szCs w:val="21"/>
              </w:rPr>
              <w:t>支出对绩效目标产生可持续影响效果</w:t>
            </w:r>
          </w:p>
        </w:tc>
        <w:tc>
          <w:tcPr>
            <w:tcW w:w="131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效果明显</w:t>
            </w:r>
          </w:p>
        </w:tc>
        <w:tc>
          <w:tcPr>
            <w:tcW w:w="1269"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效果一般</w:t>
            </w:r>
          </w:p>
        </w:tc>
        <w:tc>
          <w:tcPr>
            <w:tcW w:w="71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bidi="ar-SA"/>
              </w:rPr>
              <w:t>3</w:t>
            </w:r>
          </w:p>
        </w:tc>
        <w:tc>
          <w:tcPr>
            <w:tcW w:w="8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2</w:t>
            </w:r>
          </w:p>
        </w:tc>
        <w:tc>
          <w:tcPr>
            <w:tcW w:w="144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ind w:left="0" w:leftChars="0" w:right="0" w:rightChars="0"/>
              <w:jc w:val="center"/>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val="en-US" w:eastAsia="zh-CN"/>
              </w:rPr>
              <w:t>加强预算执行刚性</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270"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left"/>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bidi="ar"/>
              </w:rPr>
              <w:t>学校综合排名和社会美誉度</w:t>
            </w:r>
          </w:p>
        </w:tc>
        <w:tc>
          <w:tcPr>
            <w:tcW w:w="1311"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bidi="ar"/>
              </w:rPr>
              <w:t>有提升</w:t>
            </w:r>
          </w:p>
        </w:tc>
        <w:tc>
          <w:tcPr>
            <w:tcW w:w="1269"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bidi="ar"/>
              </w:rPr>
              <w:t>有提升</w:t>
            </w:r>
          </w:p>
        </w:tc>
        <w:tc>
          <w:tcPr>
            <w:tcW w:w="716"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bidi="ar"/>
              </w:rPr>
              <w:t>2</w:t>
            </w:r>
          </w:p>
        </w:tc>
        <w:tc>
          <w:tcPr>
            <w:tcW w:w="873"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spacing w:line="240" w:lineRule="exact"/>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bidi="ar"/>
              </w:rPr>
              <w:t>2</w:t>
            </w:r>
          </w:p>
        </w:tc>
        <w:tc>
          <w:tcPr>
            <w:tcW w:w="1446"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满意度</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指标</w:t>
            </w:r>
          </w:p>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（10分）</w:t>
            </w:r>
          </w:p>
        </w:tc>
        <w:tc>
          <w:tcPr>
            <w:tcW w:w="1034" w:type="dxa"/>
            <w:vMerge w:val="restart"/>
            <w:tcBorders>
              <w:top w:val="nil"/>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服务对象满意度指标</w:t>
            </w: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left"/>
              <w:rPr>
                <w:rFonts w:hint="eastAsia" w:ascii="仿宋" w:hAnsi="仿宋" w:eastAsia="仿宋" w:cs="仿宋"/>
                <w:color w:val="000000"/>
                <w:sz w:val="21"/>
                <w:szCs w:val="21"/>
              </w:rPr>
            </w:pPr>
            <w:r>
              <w:rPr>
                <w:rFonts w:hint="eastAsia" w:ascii="仿宋" w:hAnsi="仿宋" w:eastAsia="仿宋" w:cs="仿宋"/>
                <w:color w:val="000000"/>
                <w:kern w:val="0"/>
                <w:sz w:val="21"/>
                <w:szCs w:val="21"/>
              </w:rPr>
              <w:t>教职工满意度调查分数</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rPr>
              <w:t>90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95</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rPr>
              <w:t>5</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5</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1080"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80"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034" w:type="dxa"/>
            <w:vMerge w:val="continue"/>
            <w:tcBorders>
              <w:left w:val="nil"/>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p>
        </w:tc>
        <w:tc>
          <w:tcPr>
            <w:tcW w:w="1270"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left"/>
              <w:rPr>
                <w:rFonts w:hint="eastAsia" w:ascii="仿宋" w:hAnsi="仿宋" w:eastAsia="仿宋" w:cs="仿宋"/>
                <w:color w:val="000000"/>
                <w:sz w:val="21"/>
                <w:szCs w:val="21"/>
              </w:rPr>
            </w:pPr>
            <w:r>
              <w:rPr>
                <w:rFonts w:hint="eastAsia" w:ascii="仿宋" w:hAnsi="仿宋" w:eastAsia="仿宋" w:cs="仿宋"/>
                <w:color w:val="000000"/>
                <w:kern w:val="0"/>
                <w:sz w:val="21"/>
                <w:szCs w:val="21"/>
              </w:rPr>
              <w:t>学生满意度调查分数</w:t>
            </w:r>
          </w:p>
        </w:tc>
        <w:tc>
          <w:tcPr>
            <w:tcW w:w="1311"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rPr>
              <w:t>90</w:t>
            </w:r>
          </w:p>
        </w:tc>
        <w:tc>
          <w:tcPr>
            <w:tcW w:w="1269"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right="0" w:rightChars="0" w:firstLine="420" w:firstLineChars="20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98.72</w:t>
            </w:r>
          </w:p>
        </w:tc>
        <w:tc>
          <w:tcPr>
            <w:tcW w:w="716"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rPr>
              <w:t>5</w:t>
            </w:r>
          </w:p>
        </w:tc>
        <w:tc>
          <w:tcPr>
            <w:tcW w:w="873" w:type="dxa"/>
            <w:tcBorders>
              <w:top w:val="nil"/>
              <w:left w:val="nil"/>
              <w:bottom w:val="single" w:color="auto" w:sz="4" w:space="0"/>
              <w:right w:val="single" w:color="auto" w:sz="4" w:space="0"/>
            </w:tcBorders>
            <w:vAlign w:val="center"/>
          </w:tcPr>
          <w:p>
            <w:pPr>
              <w:keepNext w:val="0"/>
              <w:keepLines w:val="0"/>
              <w:widowControl/>
              <w:suppressLineNumbers w:val="0"/>
              <w:snapToGrid w:val="0"/>
              <w:spacing w:before="0" w:beforeAutospacing="0" w:after="0" w:afterAutospacing="0" w:line="320" w:lineRule="exact"/>
              <w:ind w:left="0" w:leftChars="0" w:right="0" w:rightChars="0"/>
              <w:jc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val="en-US" w:eastAsia="zh-CN"/>
              </w:rPr>
              <w:t>5</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eastAsia" w:ascii="仿宋" w:hAnsi="仿宋" w:eastAsia="仿宋" w:cs="仿宋"/>
                <w:color w:val="000000"/>
                <w:sz w:val="21"/>
                <w:szCs w:val="21"/>
              </w:rPr>
            </w:pPr>
            <w:r>
              <w:rPr>
                <w:rFonts w:hint="eastAsia" w:ascii="仿宋" w:hAnsi="仿宋" w:eastAsia="仿宋" w:cs="仿宋"/>
                <w:color w:val="000000"/>
                <w:sz w:val="21"/>
                <w:szCs w:val="21"/>
              </w:rPr>
              <w:t>　</w:t>
            </w:r>
          </w:p>
        </w:tc>
      </w:tr>
      <w:tr>
        <w:tblPrEx>
          <w:tblCellMar>
            <w:top w:w="0" w:type="dxa"/>
            <w:left w:w="108" w:type="dxa"/>
            <w:bottom w:w="0" w:type="dxa"/>
            <w:right w:w="108" w:type="dxa"/>
          </w:tblCellMar>
        </w:tblPrEx>
        <w:trPr>
          <w:trHeight w:val="283" w:hRule="atLeast"/>
          <w:jc w:val="center"/>
        </w:trPr>
        <w:tc>
          <w:tcPr>
            <w:tcW w:w="7044" w:type="dxa"/>
            <w:gridSpan w:val="6"/>
            <w:tcBorders>
              <w:top w:val="single" w:color="auto" w:sz="4" w:space="0"/>
              <w:left w:val="single" w:color="auto" w:sz="4" w:space="0"/>
              <w:bottom w:val="single" w:color="auto" w:sz="4" w:space="0"/>
              <w:right w:val="single" w:color="000000"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总分</w:t>
            </w:r>
          </w:p>
        </w:tc>
        <w:tc>
          <w:tcPr>
            <w:tcW w:w="71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center"/>
              <w:rPr>
                <w:rFonts w:ascii="宋体" w:hAnsi="宋体" w:cs="宋体"/>
                <w:color w:val="000000"/>
                <w:szCs w:val="21"/>
              </w:rPr>
            </w:pPr>
            <w:r>
              <w:rPr>
                <w:rFonts w:hint="eastAsia" w:ascii="宋体" w:hAnsi="宋体" w:cs="宋体"/>
                <w:color w:val="000000"/>
                <w:szCs w:val="21"/>
              </w:rPr>
              <w:t>100</w:t>
            </w:r>
          </w:p>
        </w:tc>
        <w:tc>
          <w:tcPr>
            <w:tcW w:w="87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hint="default" w:ascii="宋体" w:hAnsi="宋体" w:eastAsia="宋体" w:cs="宋体"/>
                <w:color w:val="000000"/>
                <w:szCs w:val="21"/>
                <w:lang w:val="en-US" w:eastAsia="zh-CN"/>
              </w:rPr>
            </w:pPr>
            <w:r>
              <w:rPr>
                <w:rFonts w:hint="eastAsia" w:ascii="宋体" w:hAnsi="宋体" w:cs="宋体"/>
                <w:color w:val="000000"/>
                <w:szCs w:val="21"/>
              </w:rPr>
              <w:t>　</w:t>
            </w:r>
            <w:r>
              <w:rPr>
                <w:rFonts w:hint="eastAsia" w:ascii="宋体" w:hAnsi="宋体" w:cs="宋体"/>
                <w:color w:val="000000"/>
                <w:szCs w:val="21"/>
                <w:lang w:val="en-US" w:eastAsia="zh-CN"/>
              </w:rPr>
              <w:t>98</w:t>
            </w:r>
          </w:p>
        </w:tc>
        <w:tc>
          <w:tcPr>
            <w:tcW w:w="1446"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exact"/>
              <w:jc w:val="left"/>
              <w:rPr>
                <w:rFonts w:ascii="宋体" w:hAnsi="宋体" w:cs="宋体"/>
                <w:color w:val="000000"/>
                <w:szCs w:val="21"/>
              </w:rPr>
            </w:pPr>
            <w:r>
              <w:rPr>
                <w:rFonts w:hint="eastAsia" w:ascii="宋体" w:hAnsi="宋体" w:cs="宋体"/>
                <w:color w:val="000000"/>
                <w:szCs w:val="21"/>
              </w:rPr>
              <w:t>　</w:t>
            </w:r>
          </w:p>
        </w:tc>
      </w:tr>
    </w:tbl>
    <w:p>
      <w:pPr>
        <w:rPr>
          <w:rFonts w:cs="黑体" w:asciiTheme="minorEastAsia" w:hAnsiTheme="minorEastAsia"/>
          <w:color w:val="000000"/>
          <w:kern w:val="0"/>
          <w:sz w:val="32"/>
          <w:szCs w:val="32"/>
        </w:rPr>
      </w:pPr>
      <w:r>
        <w:rPr>
          <w:rFonts w:hint="eastAsia" w:ascii="宋体" w:hAnsi="宋体" w:cs="宋体"/>
          <w:sz w:val="22"/>
          <w:szCs w:val="22"/>
        </w:rPr>
        <w:t>填表人：</w:t>
      </w:r>
      <w:r>
        <w:rPr>
          <w:rFonts w:hint="eastAsia" w:ascii="宋体" w:hAnsi="宋体" w:cs="宋体"/>
          <w:sz w:val="22"/>
          <w:szCs w:val="22"/>
          <w:lang w:val="en-US" w:eastAsia="zh-CN"/>
        </w:rPr>
        <w:t>李朔一</w:t>
      </w:r>
      <w:r>
        <w:rPr>
          <w:rFonts w:hint="eastAsia" w:ascii="宋体" w:hAnsi="宋体" w:cs="宋体"/>
          <w:sz w:val="22"/>
          <w:szCs w:val="22"/>
        </w:rPr>
        <w:t xml:space="preserve">      填报日期：</w:t>
      </w:r>
      <w:r>
        <w:rPr>
          <w:rFonts w:hint="eastAsia" w:ascii="宋体" w:hAnsi="宋体" w:cs="宋体"/>
          <w:sz w:val="22"/>
          <w:szCs w:val="22"/>
          <w:lang w:val="en-US" w:eastAsia="zh-CN"/>
        </w:rPr>
        <w:t>2023.5.15</w:t>
      </w:r>
      <w:r>
        <w:rPr>
          <w:rFonts w:hint="eastAsia" w:ascii="宋体" w:hAnsi="宋体" w:cs="宋体"/>
          <w:sz w:val="22"/>
          <w:szCs w:val="22"/>
        </w:rPr>
        <w:t xml:space="preserve">    联系电话：</w:t>
      </w:r>
      <w:r>
        <w:rPr>
          <w:rFonts w:hint="eastAsia" w:ascii="宋体" w:hAnsi="宋体" w:cs="宋体"/>
          <w:sz w:val="22"/>
          <w:szCs w:val="22"/>
          <w:lang w:val="en-US" w:eastAsia="zh-CN"/>
        </w:rPr>
        <w:t>13450163905</w:t>
      </w:r>
      <w:r>
        <w:rPr>
          <w:rFonts w:hint="eastAsia" w:ascii="宋体" w:hAnsi="宋体" w:cs="宋体"/>
          <w:sz w:val="22"/>
          <w:szCs w:val="22"/>
        </w:rPr>
        <w:t xml:space="preserve">   单位负责人签字：</w:t>
      </w:r>
      <w:bookmarkStart w:id="0" w:name="_GoBack"/>
      <w:bookmarkEnd w:id="0"/>
    </w:p>
    <w:sectPr>
      <w:headerReference r:id="rId3" w:type="default"/>
      <w:footerReference r:id="rId4" w:type="default"/>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18030">
    <w:altName w:val="微软雅黑"/>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51AB13"/>
    <w:multiLevelType w:val="singleLevel"/>
    <w:tmpl w:val="B451AB13"/>
    <w:lvl w:ilvl="0" w:tentative="0">
      <w:start w:val="1"/>
      <w:numFmt w:val="decimal"/>
      <w:lvlText w:val="%1."/>
      <w:lvlJc w:val="left"/>
      <w:pPr>
        <w:tabs>
          <w:tab w:val="left" w:pos="312"/>
        </w:tabs>
      </w:pPr>
    </w:lvl>
  </w:abstractNum>
  <w:abstractNum w:abstractNumId="1">
    <w:nsid w:val="BB58ABBB"/>
    <w:multiLevelType w:val="singleLevel"/>
    <w:tmpl w:val="BB58ABBB"/>
    <w:lvl w:ilvl="0" w:tentative="0">
      <w:start w:val="7"/>
      <w:numFmt w:val="chineseCounting"/>
      <w:suff w:val="nothing"/>
      <w:lvlText w:val="%1、"/>
      <w:lvlJc w:val="left"/>
      <w:rPr>
        <w:rFonts w:hint="eastAsia"/>
      </w:rPr>
    </w:lvl>
  </w:abstractNum>
  <w:abstractNum w:abstractNumId="2">
    <w:nsid w:val="E5901777"/>
    <w:multiLevelType w:val="singleLevel"/>
    <w:tmpl w:val="E5901777"/>
    <w:lvl w:ilvl="0" w:tentative="0">
      <w:start w:val="1"/>
      <w:numFmt w:val="chineseCounting"/>
      <w:suff w:val="nothing"/>
      <w:lvlText w:val="（%1）"/>
      <w:lvlJc w:val="left"/>
      <w:rPr>
        <w:rFonts w:hint="eastAsia"/>
      </w:rPr>
    </w:lvl>
  </w:abstractNum>
  <w:abstractNum w:abstractNumId="3">
    <w:nsid w:val="2DE9C4AC"/>
    <w:multiLevelType w:val="singleLevel"/>
    <w:tmpl w:val="2DE9C4AC"/>
    <w:lvl w:ilvl="0" w:tentative="0">
      <w:start w:val="1"/>
      <w:numFmt w:val="chineseCounting"/>
      <w:suff w:val="nothing"/>
      <w:lvlText w:val="%1、"/>
      <w:lvlJc w:val="left"/>
      <w:rPr>
        <w:rFonts w:hint="eastAsia"/>
      </w:rPr>
    </w:lvl>
  </w:abstractNum>
  <w:abstractNum w:abstractNumId="4">
    <w:nsid w:val="3C094877"/>
    <w:multiLevelType w:val="singleLevel"/>
    <w:tmpl w:val="3C094877"/>
    <w:lvl w:ilvl="0" w:tentative="0">
      <w:start w:val="8"/>
      <w:numFmt w:val="chineseCounting"/>
      <w:suff w:val="nothing"/>
      <w:lvlText w:val="%1、"/>
      <w:lvlJc w:val="left"/>
      <w:rPr>
        <w:rFonts w:hint="eastAsia"/>
      </w:rPr>
    </w:lvl>
  </w:abstractNum>
  <w:abstractNum w:abstractNumId="5">
    <w:nsid w:val="4375EB8F"/>
    <w:multiLevelType w:val="singleLevel"/>
    <w:tmpl w:val="4375EB8F"/>
    <w:lvl w:ilvl="0" w:tentative="0">
      <w:start w:val="13"/>
      <w:numFmt w:val="chineseCounting"/>
      <w:suff w:val="nothing"/>
      <w:lvlText w:val="%1、"/>
      <w:lvlJc w:val="left"/>
      <w:rPr>
        <w:rFonts w:hint="eastAsia"/>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0MWRhMjA5ZGU4MTVjM2QzNThjMDQ2YzZlYTlkZmIifQ=="/>
  </w:docVars>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276AE"/>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5006C9"/>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95D5C"/>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5811023"/>
    <w:rsid w:val="07FF6A25"/>
    <w:rsid w:val="0CF21543"/>
    <w:rsid w:val="0E4802A2"/>
    <w:rsid w:val="0E511282"/>
    <w:rsid w:val="0F10338A"/>
    <w:rsid w:val="100A46D3"/>
    <w:rsid w:val="106A0423"/>
    <w:rsid w:val="110A0595"/>
    <w:rsid w:val="12CB6EEF"/>
    <w:rsid w:val="13940FF9"/>
    <w:rsid w:val="16BA5F72"/>
    <w:rsid w:val="185244D9"/>
    <w:rsid w:val="193650C5"/>
    <w:rsid w:val="1A9B5B6E"/>
    <w:rsid w:val="1ADD4995"/>
    <w:rsid w:val="1D2E017D"/>
    <w:rsid w:val="1FA86D29"/>
    <w:rsid w:val="234A3521"/>
    <w:rsid w:val="23BC3E02"/>
    <w:rsid w:val="26532E83"/>
    <w:rsid w:val="26880799"/>
    <w:rsid w:val="26B648E9"/>
    <w:rsid w:val="29F87155"/>
    <w:rsid w:val="2AA1692C"/>
    <w:rsid w:val="2CC70888"/>
    <w:rsid w:val="2DDC3C71"/>
    <w:rsid w:val="2DDF09FA"/>
    <w:rsid w:val="2E2B1D08"/>
    <w:rsid w:val="30F45248"/>
    <w:rsid w:val="34E13399"/>
    <w:rsid w:val="36D13079"/>
    <w:rsid w:val="398039A5"/>
    <w:rsid w:val="398070BA"/>
    <w:rsid w:val="3C315FBE"/>
    <w:rsid w:val="3CC079AC"/>
    <w:rsid w:val="3D106B2F"/>
    <w:rsid w:val="3D9B05A4"/>
    <w:rsid w:val="3E642A25"/>
    <w:rsid w:val="3ED8169E"/>
    <w:rsid w:val="3FA52817"/>
    <w:rsid w:val="3FC05AD4"/>
    <w:rsid w:val="3FF81676"/>
    <w:rsid w:val="401C59E8"/>
    <w:rsid w:val="40C21036"/>
    <w:rsid w:val="42BB3819"/>
    <w:rsid w:val="431A430D"/>
    <w:rsid w:val="475D2918"/>
    <w:rsid w:val="476D215C"/>
    <w:rsid w:val="4777257A"/>
    <w:rsid w:val="478F7F92"/>
    <w:rsid w:val="48E7783E"/>
    <w:rsid w:val="4D0D272C"/>
    <w:rsid w:val="4FCD4D4A"/>
    <w:rsid w:val="50D60E50"/>
    <w:rsid w:val="53E63EB3"/>
    <w:rsid w:val="53FA0B3C"/>
    <w:rsid w:val="55871D88"/>
    <w:rsid w:val="55F97F96"/>
    <w:rsid w:val="57AE5B48"/>
    <w:rsid w:val="57D46C4B"/>
    <w:rsid w:val="57DF54FD"/>
    <w:rsid w:val="5B2D6316"/>
    <w:rsid w:val="5B48305A"/>
    <w:rsid w:val="5C7562EE"/>
    <w:rsid w:val="5E2818E4"/>
    <w:rsid w:val="5FC33DAA"/>
    <w:rsid w:val="60731759"/>
    <w:rsid w:val="61271E4A"/>
    <w:rsid w:val="63293360"/>
    <w:rsid w:val="6CD84C2E"/>
    <w:rsid w:val="6F98745F"/>
    <w:rsid w:val="733240C8"/>
    <w:rsid w:val="793C6888"/>
    <w:rsid w:val="7B2D1921"/>
    <w:rsid w:val="7BF23ADC"/>
    <w:rsid w:val="7CD95D3A"/>
    <w:rsid w:val="7D6733BC"/>
    <w:rsid w:val="7E7B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eastAsia="宋体" w:cs="Calibri"/>
      <w:szCs w:val="21"/>
    </w:rPr>
  </w:style>
  <w:style w:type="paragraph" w:styleId="4">
    <w:name w:val="Body Text"/>
    <w:basedOn w:val="1"/>
    <w:next w:val="5"/>
    <w:qFormat/>
    <w:uiPriority w:val="0"/>
    <w:pPr>
      <w:spacing w:after="120"/>
    </w:pPr>
    <w:rPr>
      <w:rFonts w:ascii="Times New Roman" w:hAnsi="Times New Roman" w:eastAsia="宋体" w:cs="Times New Roman"/>
    </w:rPr>
  </w:style>
  <w:style w:type="paragraph" w:customStyle="1" w:styleId="5">
    <w:name w:val="xl27"/>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新宋体-18030" w:hAnsi="新宋体-18030" w:eastAsia="新宋体-18030" w:cs="新宋体-18030"/>
      <w:kern w:val="0"/>
      <w:sz w:val="24"/>
    </w:rPr>
  </w:style>
  <w:style w:type="paragraph" w:styleId="6">
    <w:name w:val="Body Text Indent"/>
    <w:basedOn w:val="1"/>
    <w:next w:val="4"/>
    <w:qFormat/>
    <w:uiPriority w:val="0"/>
    <w:pPr>
      <w:ind w:left="420" w:leftChars="200"/>
    </w:pPr>
  </w:style>
  <w:style w:type="paragraph" w:styleId="7">
    <w:name w:val="Plain Text"/>
    <w:basedOn w:val="1"/>
    <w:qFormat/>
    <w:uiPriority w:val="0"/>
    <w:rPr>
      <w:rFonts w:ascii="宋体" w:hAnsi="Courier New" w:cs="Courier New"/>
      <w:szCs w:val="21"/>
    </w:rPr>
  </w:style>
  <w:style w:type="paragraph" w:styleId="8">
    <w:name w:val="Balloon Text"/>
    <w:basedOn w:val="1"/>
    <w:link w:val="22"/>
    <w:semiHidden/>
    <w:unhideWhenUsed/>
    <w:qFormat/>
    <w:uiPriority w:val="99"/>
    <w:rPr>
      <w:sz w:val="18"/>
      <w:szCs w:val="18"/>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styleId="12">
    <w:name w:val="Body Text First Indent 2"/>
    <w:basedOn w:val="6"/>
    <w:next w:val="1"/>
    <w:qFormat/>
    <w:uiPriority w:val="0"/>
    <w:pPr>
      <w:ind w:firstLine="420" w:firstLineChars="200"/>
    </w:pPr>
  </w:style>
  <w:style w:type="character" w:styleId="15">
    <w:name w:val="page number"/>
    <w:basedOn w:val="14"/>
    <w:qFormat/>
    <w:uiPriority w:val="0"/>
  </w:style>
  <w:style w:type="character" w:styleId="16">
    <w:name w:val="FollowedHyperlink"/>
    <w:basedOn w:val="14"/>
    <w:semiHidden/>
    <w:unhideWhenUsed/>
    <w:qFormat/>
    <w:uiPriority w:val="99"/>
    <w:rPr>
      <w:color w:val="000000"/>
      <w:u w:val="none"/>
    </w:rPr>
  </w:style>
  <w:style w:type="character" w:styleId="17">
    <w:name w:val="Hyperlink"/>
    <w:basedOn w:val="14"/>
    <w:semiHidden/>
    <w:unhideWhenUsed/>
    <w:qFormat/>
    <w:uiPriority w:val="99"/>
    <w:rPr>
      <w:color w:val="000000"/>
      <w:u w:val="none"/>
    </w:rPr>
  </w:style>
  <w:style w:type="character" w:customStyle="1" w:styleId="18">
    <w:name w:val="页眉 Char"/>
    <w:basedOn w:val="14"/>
    <w:link w:val="10"/>
    <w:qFormat/>
    <w:uiPriority w:val="99"/>
    <w:rPr>
      <w:sz w:val="18"/>
      <w:szCs w:val="18"/>
    </w:rPr>
  </w:style>
  <w:style w:type="character" w:customStyle="1" w:styleId="19">
    <w:name w:val="页脚 Char"/>
    <w:basedOn w:val="14"/>
    <w:link w:val="9"/>
    <w:qFormat/>
    <w:uiPriority w:val="99"/>
    <w:rPr>
      <w:sz w:val="18"/>
      <w:szCs w:val="18"/>
    </w:rPr>
  </w:style>
  <w:style w:type="paragraph" w:customStyle="1" w:styleId="2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21">
    <w:name w:val="List Paragraph"/>
    <w:basedOn w:val="1"/>
    <w:qFormat/>
    <w:uiPriority w:val="34"/>
    <w:pPr>
      <w:ind w:firstLine="420" w:firstLineChars="200"/>
    </w:pPr>
  </w:style>
  <w:style w:type="character" w:customStyle="1" w:styleId="22">
    <w:name w:val="批注框文本 Char"/>
    <w:basedOn w:val="14"/>
    <w:link w:val="8"/>
    <w:semiHidden/>
    <w:qFormat/>
    <w:uiPriority w:val="99"/>
    <w:rPr>
      <w:sz w:val="18"/>
      <w:szCs w:val="18"/>
    </w:rPr>
  </w:style>
  <w:style w:type="paragraph" w:customStyle="1" w:styleId="23">
    <w:name w:val="无间隔1"/>
    <w:qFormat/>
    <w:uiPriority w:val="1"/>
    <w:pPr>
      <w:adjustRightInd w:val="0"/>
      <w:snapToGrid w:val="0"/>
      <w:spacing w:line="360" w:lineRule="auto"/>
      <w:ind w:firstLine="200" w:firstLineChars="200"/>
    </w:pPr>
    <w:rPr>
      <w:rFonts w:ascii="Tahoma" w:hAnsi="Tahoma" w:eastAsia="仿宋_GB2312" w:cs="Times New Roman"/>
      <w:sz w:val="3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9F3C5-7DF8-4F17-84C0-5D9B011189F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10237</Words>
  <Characters>11438</Characters>
  <Lines>27</Lines>
  <Paragraphs>7</Paragraphs>
  <TotalTime>1</TotalTime>
  <ScaleCrop>false</ScaleCrop>
  <LinksUpToDate>false</LinksUpToDate>
  <CharactersWithSpaces>11590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臭臭的长工</cp:lastModifiedBy>
  <cp:lastPrinted>2021-07-28T00:12:00Z</cp:lastPrinted>
  <dcterms:modified xsi:type="dcterms:W3CDTF">2023-09-11T08:34:41Z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8F864BFA4D88463E9C573EAD4E2B25CD</vt:lpwstr>
  </property>
</Properties>
</file>