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318" name="文本框 1"/>
                <wp:cNvGraphicFramePr/>
                <a:graphic xmlns:a="http://schemas.openxmlformats.org/drawingml/2006/main">
                  <a:graphicData uri="http://schemas.microsoft.com/office/word/2010/wordprocessingShape">
                    <wps:wsp>
                      <wps:cNvSpPr/>
                      <wps:spPr>
                        <a:xfrm>
                          <a:off x="0" y="0"/>
                          <a:ext cx="1523365" cy="517525"/>
                        </a:xfrm>
                        <a:prstGeom prst="rect">
                          <a:avLst/>
                        </a:prstGeom>
                        <a:solidFill>
                          <a:schemeClr val="lt1"/>
                        </a:solidFill>
                        <a:ln>
                          <a:noFill/>
                        </a:ln>
                      </wps:spPr>
                      <wps:style>
                        <a:lnRef idx="0">
                          <a:srgbClr val="FFFFFF"/>
                        </a:lnRef>
                        <a:fillRef idx="0">
                          <a:schemeClr val="l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rtlCol="0" anchor="t" upright="0">
                        <a:noAutofit/>
                      </wps:bodyPr>
                    </wps:wsp>
                  </a:graphicData>
                </a:graphic>
              </wp:anchor>
            </w:drawing>
          </mc:Choice>
          <mc:Fallback>
            <w:pict>
              <v:rect id="文本框 1" o:spid="_x0000_s1026" o:spt="1" style="position:absolute;left:0pt;margin-left:-18.6pt;margin-top:-23.4pt;height:40.75pt;width:119.95pt;z-index:251659264;mso-width-relative:page;mso-height-relative:page;" fillcolor="#FFFFFF [3201]" filled="t" stroked="f" coordsize="21600,21600" o:gfxdata="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XHrgdgAAAAKAQAADwAAAAAAAAABACAAAAAiAAAAZHJzL2Rvd25yZXYueG1sUEsBAhQAFAAAAAgA&#10;h07iQMcFpLclAgAARQQAAA4AAAAAAAAAAQAgAAAAJwEAAGRycy9lMm9Eb2MueG1sUEsFBgAAAAAG&#10;AAYAWQEAAL4FAAAAAA==&#10;">
                <v:fill on="t" focussize="0,0"/>
                <v:stroke on="f"/>
                <v:imagedata o:title=""/>
                <o:lock v:ext="edit" aspectratio="f"/>
                <v:textbox>
                  <w:txbxContent>
                    <w:p>
                      <w:pPr>
                        <w:rPr>
                          <w:rFonts w:hint="eastAsia" w:ascii="楷体" w:hAnsi="楷体" w:eastAsia="楷体" w:cs="楷体"/>
                          <w:sz w:val="30"/>
                          <w:szCs w:val="30"/>
                          <w:lang w:val="en-US" w:eastAsia="zh-CN"/>
                        </w:rPr>
                      </w:pPr>
                    </w:p>
                  </w:txbxContent>
                </v:textbox>
              </v:rect>
            </w:pict>
          </mc:Fallback>
        </mc:AlternateContent>
      </w:r>
    </w:p>
    <w:p>
      <w:pPr>
        <w:pStyle w:val="12"/>
        <w:jc w:val="center"/>
        <w:rPr>
          <w:sz w:val="56"/>
          <w:szCs w:val="56"/>
        </w:rPr>
      </w:pPr>
    </w:p>
    <w:p>
      <w:pPr>
        <w:pStyle w:val="12"/>
        <w:jc w:val="both"/>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2"/>
        <w:jc w:val="center"/>
        <w:rPr>
          <w:sz w:val="84"/>
          <w:szCs w:val="84"/>
        </w:rPr>
      </w:pPr>
      <w:r>
        <w:rPr>
          <w:rFonts w:hint="eastAsia"/>
          <w:sz w:val="84"/>
          <w:szCs w:val="84"/>
          <w:lang w:eastAsia="zh-CN"/>
        </w:rPr>
        <w:t>湖南理工学院</w:t>
      </w:r>
      <w:r>
        <w:rPr>
          <w:rFonts w:hint="eastAsia"/>
          <w:sz w:val="84"/>
          <w:szCs w:val="84"/>
        </w:rPr>
        <w:t>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both"/>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湖南理工学院</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2022年度</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hAnsi="黑体" w:cs="黑体"/>
          <w:b w:val="0"/>
          <w:bCs/>
          <w:sz w:val="28"/>
          <w:szCs w:val="28"/>
          <w:lang w:val="en-US" w:eastAsia="zh-CN"/>
        </w:rPr>
      </w:pPr>
      <w:r>
        <w:rPr>
          <w:rFonts w:hint="eastAsia" w:hAnsi="黑体" w:cs="黑体"/>
          <w:b w:val="0"/>
          <w:bCs/>
          <w:sz w:val="28"/>
          <w:szCs w:val="28"/>
          <w:lang w:val="en-US" w:eastAsia="zh-CN"/>
        </w:rPr>
        <w:t>第五部分 附件</w:t>
      </w:r>
    </w:p>
    <w:p>
      <w:pPr>
        <w:autoSpaceDE w:val="0"/>
        <w:autoSpaceDN w:val="0"/>
        <w:adjustRightInd w:val="0"/>
        <w:spacing w:line="500" w:lineRule="exact"/>
        <w:ind w:firstLine="700" w:firstLineChars="250"/>
        <w:jc w:val="left"/>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一、</w:t>
      </w:r>
      <w:r>
        <w:rPr>
          <w:rFonts w:hint="eastAsia" w:ascii="仿宋_GB2312" w:hAnsi="仿宋_GB2312" w:eastAsia="仿宋_GB2312" w:cs="仿宋_GB2312"/>
          <w:color w:val="000000"/>
          <w:kern w:val="0"/>
          <w:sz w:val="28"/>
          <w:szCs w:val="28"/>
        </w:rPr>
        <w:t>202</w:t>
      </w: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rPr>
        <w:t>年度</w:t>
      </w:r>
      <w:r>
        <w:rPr>
          <w:rFonts w:hint="eastAsia" w:ascii="仿宋_GB2312" w:hAnsi="仿宋_GB2312" w:eastAsia="仿宋_GB2312" w:cs="仿宋_GB2312"/>
          <w:color w:val="000000"/>
          <w:kern w:val="0"/>
          <w:sz w:val="28"/>
          <w:szCs w:val="28"/>
          <w:lang w:eastAsia="zh-CN"/>
        </w:rPr>
        <w:t>湖南理工学院（</w:t>
      </w:r>
      <w:r>
        <w:rPr>
          <w:rFonts w:hint="eastAsia" w:ascii="仿宋_GB2312" w:hAnsi="仿宋_GB2312" w:eastAsia="仿宋_GB2312" w:cs="仿宋_GB2312"/>
          <w:color w:val="000000"/>
          <w:kern w:val="0"/>
          <w:sz w:val="28"/>
          <w:szCs w:val="28"/>
          <w:lang w:val="en-US" w:eastAsia="zh-CN"/>
        </w:rPr>
        <w:t>含南湖学院</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整体支出绩效自评报告</w:t>
      </w:r>
    </w:p>
    <w:p>
      <w:pPr>
        <w:pStyle w:val="12"/>
        <w:spacing w:line="500" w:lineRule="exact"/>
        <w:rPr>
          <w:rFonts w:hint="eastAsia" w:ascii="黑体" w:hAnsi="黑体" w:eastAsia="黑体" w:cs="黑体"/>
          <w:b w:val="0"/>
          <w:bCs/>
          <w:sz w:val="28"/>
          <w:szCs w:val="28"/>
        </w:rPr>
      </w:pPr>
    </w:p>
    <w:p>
      <w:pPr>
        <w:pStyle w:val="12"/>
        <w:spacing w:line="500" w:lineRule="exact"/>
        <w:rPr>
          <w:rFonts w:hint="eastAsia" w:ascii="黑体" w:hAnsi="黑体" w:eastAsia="黑体" w:cs="黑体"/>
          <w:b w:val="0"/>
          <w:bCs/>
          <w:sz w:val="28"/>
          <w:szCs w:val="28"/>
        </w:rPr>
      </w:pPr>
    </w:p>
    <w:p>
      <w:pPr>
        <w:pStyle w:val="12"/>
        <w:spacing w:line="500" w:lineRule="exact"/>
        <w:rPr>
          <w:rFonts w:hint="eastAsia" w:ascii="黑体" w:hAnsi="黑体" w:eastAsia="黑体" w:cs="黑体"/>
          <w:b w:val="0"/>
          <w:bCs/>
          <w:sz w:val="28"/>
          <w:szCs w:val="28"/>
        </w:rPr>
      </w:pPr>
    </w:p>
    <w:p>
      <w:pPr>
        <w:pStyle w:val="12"/>
        <w:spacing w:line="500" w:lineRule="exact"/>
        <w:rPr>
          <w:rFonts w:hint="eastAsia" w:ascii="黑体" w:hAnsi="黑体" w:eastAsia="黑体" w:cs="黑体"/>
          <w:b w:val="0"/>
          <w:bCs/>
          <w:sz w:val="28"/>
          <w:szCs w:val="28"/>
        </w:rPr>
      </w:pPr>
    </w:p>
    <w:p>
      <w:pPr>
        <w:pStyle w:val="12"/>
        <w:spacing w:line="500" w:lineRule="exact"/>
        <w:rPr>
          <w:rFonts w:hint="eastAsia" w:ascii="黑体" w:hAnsi="黑体" w:eastAsia="黑体" w:cs="黑体"/>
          <w:b w:val="0"/>
          <w:bCs/>
          <w:sz w:val="28"/>
          <w:szCs w:val="28"/>
        </w:rPr>
      </w:pPr>
    </w:p>
    <w:p>
      <w:pPr>
        <w:pStyle w:val="12"/>
        <w:spacing w:line="500" w:lineRule="exact"/>
        <w:rPr>
          <w:rFonts w:hint="eastAsia" w:ascii="黑体" w:hAnsi="黑体" w:eastAsia="黑体" w:cs="黑体"/>
          <w:b w:val="0"/>
          <w:bCs/>
          <w:sz w:val="28"/>
          <w:szCs w:val="28"/>
        </w:rPr>
      </w:pPr>
    </w:p>
    <w:p>
      <w:pPr>
        <w:pStyle w:val="12"/>
        <w:spacing w:line="500" w:lineRule="exact"/>
        <w:rPr>
          <w:rFonts w:hint="eastAsia" w:ascii="黑体" w:hAnsi="黑体" w:eastAsia="黑体" w:cs="黑体"/>
          <w:b w:val="0"/>
          <w:bCs/>
          <w:sz w:val="28"/>
          <w:szCs w:val="28"/>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color w:val="000000"/>
          <w:kern w:val="0"/>
          <w:sz w:val="84"/>
          <w:szCs w:val="84"/>
          <w:lang w:val="en-US" w:eastAsia="zh-CN" w:bidi="ar-SA"/>
        </w:rPr>
        <w:t>湖南理工学院概况</w:t>
      </w: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both"/>
        <w:rPr>
          <w:sz w:val="72"/>
          <w:szCs w:val="72"/>
        </w:rPr>
      </w:pPr>
    </w:p>
    <w:p>
      <w:pPr>
        <w:pStyle w:val="13"/>
        <w:numPr>
          <w:ilvl w:val="0"/>
          <w:numId w:val="0"/>
        </w:numPr>
        <w:ind w:leftChars="0"/>
        <w:jc w:val="left"/>
        <w:rPr>
          <w:rFonts w:ascii="黑体" w:hAnsi="黑体" w:eastAsia="黑体"/>
          <w:sz w:val="32"/>
          <w:szCs w:val="32"/>
        </w:rPr>
      </w:pPr>
      <w:r>
        <w:rPr>
          <w:rFonts w:hint="eastAsia" w:ascii="黑体" w:hAnsi="黑体" w:eastAsia="黑体"/>
          <w:sz w:val="32"/>
          <w:szCs w:val="32"/>
          <w:lang w:eastAsia="zh-CN"/>
        </w:rPr>
        <w:t>一、</w:t>
      </w:r>
      <w:r>
        <w:rPr>
          <w:rFonts w:ascii="黑体" w:hAnsi="黑体" w:eastAsia="黑体"/>
          <w:sz w:val="32"/>
          <w:szCs w:val="32"/>
        </w:rPr>
        <w:t>部门职责</w:t>
      </w:r>
    </w:p>
    <w:p>
      <w:pPr>
        <w:ind w:firstLine="750" w:firstLineChars="250"/>
        <w:jc w:val="left"/>
        <w:rPr>
          <w:rFonts w:asciiTheme="minorEastAsia" w:hAnsiTheme="minorEastAsia"/>
          <w:sz w:val="32"/>
          <w:szCs w:val="32"/>
        </w:rPr>
      </w:pPr>
      <w:r>
        <w:rPr>
          <w:rFonts w:ascii="仿宋_GB2312" w:hAnsi="宋体" w:eastAsia="仿宋_GB2312" w:cs="仿宋_GB2312"/>
          <w:i w:val="0"/>
          <w:caps w:val="0"/>
          <w:color w:val="000000"/>
          <w:spacing w:val="0"/>
          <w:sz w:val="30"/>
          <w:szCs w:val="30"/>
          <w:shd w:val="clear" w:fill="FFFFFF"/>
        </w:rPr>
        <w:t>学校以人才培养为根本，以提高质量为核心，开展教育教学、科学研究、社会服务和文化传承创新等活动。</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Theme="minorEastAsia" w:hAnsiTheme="minorEastAsia"/>
          <w:bCs/>
          <w:kern w:val="0"/>
          <w:sz w:val="32"/>
          <w:szCs w:val="32"/>
          <w:lang w:eastAsia="zh-CN"/>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eastAsia="zh-CN"/>
        </w:rPr>
        <w:t>湖南理工学院内设职能部门：</w:t>
      </w:r>
    </w:p>
    <w:tbl>
      <w:tblPr>
        <w:tblStyle w:val="6"/>
        <w:tblW w:w="13665" w:type="dxa"/>
        <w:tblInd w:w="0" w:type="dxa"/>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508"/>
        <w:gridCol w:w="4508"/>
        <w:gridCol w:w="4649"/>
      </w:tblGrid>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1649"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"http://office.hnist.cn/" \o "党政办（党委办、校长办）"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党政办（党委办、校长办）</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49"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"http://zzb.hnist.cn/" \o "组织部（党校）"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组织部（党校）</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700"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"http://news.hnist.cn/" \o "宣传部（教师工作部）"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宣传部（教师工作部）</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"http://tzb.hnist.cn/" \o "统战部"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统战部</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49" w:type="pct"/>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"http://xgb.hnist.cn/" \o "学生工作部（处）（武装部）"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学生工作部（处）（武装部）</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700" w:type="pct"/>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"http://police.hnist.cn/" \o " 保卫工作部（处）"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保卫工作部（处）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"http://jwjc.hnist.cn/" \o "纪委办公室（监察处）"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纪委办公室（监察处）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49"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"巡察督查室"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巡察督查室</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700"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"http://jwc.hnist.cn/" \o "教务处"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教务处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"http://kjc.hnist.cn/" \o "科技处"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科技处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49" w:type="pct"/>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"http://rsc.hnist.cn/" \o "人事处"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人事处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700" w:type="pct"/>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"https://eae.hnist.cn/" \o "招生与就业指导处"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招生与就业指导处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"http://plan.hnist.cn/" \o "学科建设办公室"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学科建设办公室</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49"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"http://jcc.hnist.cn/" \o "计划财务处"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计划财务处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700"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"http://audit.hnist.cn/" \o "审计处"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审计处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"http://zcc.hnist.cn/" \o "资产设备管理处"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资产设备管理处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49" w:type="pct"/>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"http://ieo.hnist.cn/" \o "国际交流处"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国际交流处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700" w:type="pct"/>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"http://hqc.hnist.cn/" \o "后勤处"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后勤处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"http://jjc.hnist.cn/" \o "基建处"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基建处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49"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"http://ltc.hnist.cn/" \o "离退休工作处（老干部工作处）"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离退休工作处（老干部工作处）</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700" w:type="pct"/>
            <w:shd w:val="clear" w:color="auto" w:fill="FFFFFF"/>
            <w:vAlign w:val="center"/>
          </w:tcPr>
          <w:p>
            <w:pPr>
              <w:rPr>
                <w:rFonts w:hint="eastAsia" w:ascii="微软雅黑" w:hAnsi="微软雅黑" w:eastAsia="微软雅黑" w:cs="微软雅黑"/>
                <w:i w:val="0"/>
                <w:caps w:val="0"/>
                <w:color w:val="000000"/>
                <w:spacing w:val="0"/>
                <w:sz w:val="18"/>
                <w:szCs w:val="18"/>
              </w:rPr>
            </w:pPr>
          </w:p>
        </w:tc>
      </w:tr>
    </w:tbl>
    <w:p>
      <w:pPr>
        <w:keepNext w:val="0"/>
        <w:keepLines w:val="0"/>
        <w:widowControl/>
        <w:suppressLineNumbers w:val="0"/>
        <w:jc w:val="left"/>
      </w:pPr>
      <w:r>
        <w:rPr>
          <w:rFonts w:hint="eastAsia" w:asciiTheme="minorEastAsia" w:hAnsiTheme="minorEastAsia"/>
          <w:bCs/>
          <w:kern w:val="0"/>
          <w:sz w:val="32"/>
          <w:szCs w:val="32"/>
          <w:lang w:eastAsia="zh-CN"/>
        </w:rPr>
        <w:t>群团组织：</w:t>
      </w:r>
    </w:p>
    <w:tbl>
      <w:tblPr>
        <w:tblStyle w:val="6"/>
        <w:tblW w:w="13665" w:type="dxa"/>
        <w:tblInd w:w="0" w:type="dxa"/>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509"/>
        <w:gridCol w:w="4509"/>
        <w:gridCol w:w="4647"/>
      </w:tblGrid>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1650"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"http://gh.hnist.cn/" \o "工会"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工会</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1650"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"http://tw.hnist.cn/" \o "团委"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团委</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"http://xyh.hnist.cn/" \o "校友会（教育基金会、岳阳籍专家学者联络办公室合署）"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校友会（教育基金会、岳阳籍专家学者联络办公室合署）</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bl>
    <w:p>
      <w:pPr>
        <w:widowControl/>
        <w:spacing w:line="600" w:lineRule="exact"/>
        <w:rPr>
          <w:rFonts w:hint="eastAsia" w:asciiTheme="minorEastAsia" w:hAnsiTheme="minorEastAsia"/>
          <w:bCs/>
          <w:kern w:val="0"/>
          <w:sz w:val="32"/>
          <w:szCs w:val="32"/>
          <w:lang w:eastAsia="zh-CN"/>
        </w:rPr>
      </w:pPr>
    </w:p>
    <w:p>
      <w:pPr>
        <w:widowControl/>
        <w:spacing w:line="600" w:lineRule="exact"/>
        <w:rPr>
          <w:rFonts w:hint="eastAsia" w:asciiTheme="minorEastAsia" w:hAnsiTheme="minorEastAsia"/>
          <w:bCs/>
          <w:kern w:val="0"/>
          <w:sz w:val="32"/>
          <w:szCs w:val="32"/>
          <w:lang w:eastAsia="zh-CN"/>
        </w:rPr>
      </w:pPr>
      <w:r>
        <w:rPr>
          <w:rFonts w:hint="eastAsia" w:asciiTheme="minorEastAsia" w:hAnsiTheme="minorEastAsia"/>
          <w:bCs/>
          <w:kern w:val="0"/>
          <w:sz w:val="32"/>
          <w:szCs w:val="32"/>
          <w:lang w:eastAsia="zh-CN"/>
        </w:rPr>
        <w:t>教辅部门：</w:t>
      </w:r>
    </w:p>
    <w:tbl>
      <w:tblPr>
        <w:tblStyle w:val="6"/>
        <w:tblW w:w="13665" w:type="dxa"/>
        <w:tblInd w:w="0" w:type="dxa"/>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922"/>
        <w:gridCol w:w="5061"/>
        <w:gridCol w:w="4682"/>
      </w:tblGrid>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"http://skb.hnist.cn/" \o "社科发展中心"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社科发展中心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"http://plan.hnist.cn/" \o "发展规划办公室"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发展规划办公室</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"http://ic.hnist.cn/" \o "信息中心"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信息中心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"http://qks.hnist.cn/" \o "期刊社"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期刊社</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"http://lib.hnist.cn/" \o "图书馆"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图书馆</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"档案馆"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档案馆</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"附属学校联络办公室"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附属学校联络办公室</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"新闻中心"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新闻中心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"心理健康教育中心"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心理健康教育中心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"大学生资助管理中心"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大学生资助管理中心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"教师教学发展中心"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教师教学发展中心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"http://pgzx.hnist.cn/" \o "教学质量监测与评估中心"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教学质量监测与评估中心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"考试中心"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考试中心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"教学信息化管理与服务中心"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教学信息化管理与服务中心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"教学场地管理中心"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教学场地管理中心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"协同创新中心"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协同创新中心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"分析测试中心"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分析测试中心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"产学研合作办公室"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产学研合作办公室</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"就业指导中心"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就业指导中心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"人才交流中心"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人才交流中心</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"https://www.hnist.cn/jgsz.htm" \o "招投标管理办公室"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招投标管理办公室</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bl>
    <w:p>
      <w:pPr>
        <w:widowControl/>
        <w:spacing w:line="600" w:lineRule="exact"/>
        <w:rPr>
          <w:rFonts w:hint="eastAsia" w:asciiTheme="minorEastAsia" w:hAnsiTheme="minorEastAsia"/>
          <w:bCs/>
          <w:kern w:val="0"/>
          <w:sz w:val="32"/>
          <w:szCs w:val="32"/>
          <w:lang w:eastAsia="zh-CN"/>
        </w:rPr>
      </w:pPr>
      <w:r>
        <w:rPr>
          <w:rFonts w:hint="eastAsia" w:asciiTheme="minorEastAsia" w:hAnsiTheme="minorEastAsia"/>
          <w:bCs/>
          <w:kern w:val="0"/>
          <w:sz w:val="32"/>
          <w:szCs w:val="32"/>
          <w:lang w:eastAsia="zh-CN"/>
        </w:rPr>
        <w:t>院部设置：</w:t>
      </w:r>
    </w:p>
    <w:tbl>
      <w:tblPr>
        <w:tblStyle w:val="6"/>
        <w:tblW w:w="13665" w:type="dxa"/>
        <w:tblInd w:w="0" w:type="dxa"/>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6832"/>
        <w:gridCol w:w="6833"/>
      </w:tblGrid>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2500" w:type="pct"/>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"http://marx.hnist.cn/" \o "马克思主义学院"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马克思主义学院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"http://zfxy.hnist.cn/" \o "政治与法学学院"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政治与法学学院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"http://tyxy.hnist.cn/" \o "体育学院"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体育学院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"http://zwxy.hnist.cn/" \o "中国语言文学学院"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中国语言文学学院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"http://sfll.hnist.cn/" \o "外国语言文学学院"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外国语言文学学院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"http://xw.hnist.cn/" \o "新闻传播学院"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新闻传播学院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"http://music.hnist.cn/" \o "音乐学院"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音乐学院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"http://art.hnist.cn/" \o "美术与设计学院"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美术与设计学院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"http://sxxy.hnist.cn/" \o "数学学院"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数学学院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"http://wdxy.hnist.cn/" \o "物理与电子科学学院"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物理与电子科学学院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"http://hgxy.hnist.cn/" \o "化学化工学院"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化学化工学院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"http://jdx.hnist.cn/" \o "机械工程学院"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机械工程学院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"http://sice.hnist.cn/" \o "信息科学与工程学院"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信息科学与工程学院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"http://tjxi.hnist.cn/" \o "土木建筑工程学院"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土木建筑工程学院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"http://jgxy.hnist.cn/" \o "经济与管理学院"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经济与管理学院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"http://qa.hnist.cn/" \o "教育科学学院"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教育科学学院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"https://xk.hnist.cn/" \o "研究生院（学科建设办公室合署）"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研究生院（学科建设办公室合署）</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FFFFF"/>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"https://www.hnist.cn/ybsz.htm" \o "国际教育学院（国际交流处合署）"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国际教育学院（国际交流处合署）</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r>
        <w:tblPrEx>
          <w:tblBorders>
            <w:top w:val="single" w:color="EEEEEE" w:sz="6" w:space="0"/>
            <w:left w:val="single" w:color="EEEEEE" w:sz="6" w:space="0"/>
            <w:bottom w:val="single" w:color="EEEEEE" w:sz="6" w:space="0"/>
            <w:right w:val="single" w:color="EEEEEE" w:sz="6"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"https://www.hnist.cn/ybsz.htm" \o "创新创业学院"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创新创业学院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c>
          <w:tcPr>
            <w:tcW w:w="0" w:type="auto"/>
            <w:tcBorders>
              <w:top w:val="single" w:color="EEEEEE" w:sz="6" w:space="0"/>
              <w:left w:val="single" w:color="EEEEEE" w:sz="6" w:space="0"/>
              <w:bottom w:val="single" w:color="EEEEEE" w:sz="6" w:space="0"/>
              <w:right w:val="single" w:color="EEEEEE" w:sz="6" w:space="0"/>
            </w:tcBorders>
            <w:shd w:val="clear" w:color="auto" w:fill="F9F9F9"/>
            <w:tcMar>
              <w:top w:w="225" w:type="dxa"/>
              <w:left w:w="120" w:type="dxa"/>
              <w:bottom w:w="225" w:type="dxa"/>
              <w:right w:w="120" w:type="dxa"/>
            </w:tcMar>
            <w:vAlign w:val="top"/>
          </w:tcPr>
          <w:p>
            <w:pPr>
              <w:keepNext w:val="0"/>
              <w:keepLines w:val="0"/>
              <w:widowControl/>
              <w:suppressLineNumbers w:val="0"/>
              <w:spacing w:before="0" w:beforeAutospacing="0" w:after="0" w:afterAutospacing="0" w:line="21" w:lineRule="atLeast"/>
              <w:ind w:left="0" w:right="0" w:firstLine="0"/>
              <w:jc w:val="center"/>
              <w:textAlignment w:val="top"/>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i w:val="0"/>
                <w:caps w:val="0"/>
                <w:color w:val="444444"/>
                <w:spacing w:val="0"/>
                <w:kern w:val="0"/>
                <w:sz w:val="18"/>
                <w:szCs w:val="18"/>
                <w:u w:val="none"/>
                <w:lang w:val="en-US" w:eastAsia="zh-CN" w:bidi="ar"/>
              </w:rPr>
              <w:fldChar w:fldCharType="begin"/>
            </w:r>
            <w:r>
              <w:rPr>
                <w:rFonts w:hint="eastAsia" w:ascii="微软雅黑" w:hAnsi="微软雅黑" w:eastAsia="微软雅黑" w:cs="微软雅黑"/>
                <w:i w:val="0"/>
                <w:caps w:val="0"/>
                <w:color w:val="444444"/>
                <w:spacing w:val="0"/>
                <w:kern w:val="0"/>
                <w:sz w:val="18"/>
                <w:szCs w:val="18"/>
                <w:u w:val="none"/>
                <w:lang w:val="en-US" w:eastAsia="zh-CN" w:bidi="ar"/>
              </w:rPr>
              <w:instrText xml:space="preserve"> HYPERLINK "http://cjxy.hnist.cn/" \o "继续教育学院" \t "https://www.hnist.cn/_blank" </w:instrText>
            </w:r>
            <w:r>
              <w:rPr>
                <w:rFonts w:hint="eastAsia" w:ascii="微软雅黑" w:hAnsi="微软雅黑" w:eastAsia="微软雅黑" w:cs="微软雅黑"/>
                <w:i w:val="0"/>
                <w:caps w:val="0"/>
                <w:color w:val="444444"/>
                <w:spacing w:val="0"/>
                <w:kern w:val="0"/>
                <w:sz w:val="18"/>
                <w:szCs w:val="18"/>
                <w:u w:val="none"/>
                <w:lang w:val="en-US" w:eastAsia="zh-CN" w:bidi="ar"/>
              </w:rPr>
              <w:fldChar w:fldCharType="separate"/>
            </w:r>
            <w:r>
              <w:rPr>
                <w:rStyle w:val="9"/>
                <w:rFonts w:hint="eastAsia" w:ascii="微软雅黑" w:hAnsi="微软雅黑" w:eastAsia="微软雅黑" w:cs="微软雅黑"/>
                <w:i w:val="0"/>
                <w:caps w:val="0"/>
                <w:color w:val="444444"/>
                <w:spacing w:val="0"/>
                <w:sz w:val="18"/>
                <w:szCs w:val="18"/>
                <w:u w:val="none"/>
              </w:rPr>
              <w:t>继续教育学院</w:t>
            </w:r>
            <w:r>
              <w:rPr>
                <w:rFonts w:hint="eastAsia" w:ascii="微软雅黑" w:hAnsi="微软雅黑" w:eastAsia="微软雅黑" w:cs="微软雅黑"/>
                <w:i w:val="0"/>
                <w:caps w:val="0"/>
                <w:color w:val="444444"/>
                <w:spacing w:val="0"/>
                <w:kern w:val="0"/>
                <w:sz w:val="18"/>
                <w:szCs w:val="18"/>
                <w:u w:val="none"/>
                <w:lang w:val="en-US" w:eastAsia="zh-CN" w:bidi="ar"/>
              </w:rPr>
              <w:fldChar w:fldCharType="end"/>
            </w:r>
          </w:p>
        </w:tc>
      </w:tr>
    </w:tbl>
    <w:p>
      <w:pPr>
        <w:widowControl/>
        <w:spacing w:line="600" w:lineRule="exact"/>
        <w:rPr>
          <w:rFonts w:hint="eastAsia" w:asciiTheme="minorEastAsia" w:hAnsiTheme="minorEastAsia"/>
          <w:bCs/>
          <w:kern w:val="0"/>
          <w:sz w:val="32"/>
          <w:szCs w:val="32"/>
          <w:lang w:eastAsia="zh-CN"/>
        </w:rPr>
      </w:pPr>
    </w:p>
    <w:p>
      <w:pPr>
        <w:widowControl/>
        <w:spacing w:line="600" w:lineRule="exact"/>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eastAsia="zh-CN"/>
        </w:rPr>
        <w:t>湖南理工学院</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hint="eastAsia" w:asciiTheme="minorEastAsia" w:hAnsiTheme="minorEastAsia"/>
          <w:bCs/>
          <w:kern w:val="0"/>
          <w:sz w:val="32"/>
          <w:szCs w:val="32"/>
          <w:lang w:val="en-US" w:eastAsia="zh-CN"/>
        </w:rPr>
        <w:t>2</w:t>
      </w:r>
      <w:r>
        <w:rPr>
          <w:rFonts w:hint="eastAsia" w:asciiTheme="minorEastAsia" w:hAnsiTheme="minorEastAsia"/>
          <w:bCs/>
          <w:kern w:val="0"/>
          <w:sz w:val="32"/>
          <w:szCs w:val="32"/>
        </w:rPr>
        <w:t>年部门决算汇总公开单位构成包括：</w:t>
      </w:r>
      <w:r>
        <w:rPr>
          <w:rFonts w:hint="eastAsia" w:asciiTheme="minorEastAsia" w:hAnsiTheme="minorEastAsia"/>
          <w:bCs/>
          <w:kern w:val="0"/>
          <w:sz w:val="32"/>
          <w:szCs w:val="32"/>
          <w:lang w:eastAsia="zh-CN"/>
        </w:rPr>
        <w:t>湖南理工学院</w:t>
      </w:r>
      <w:r>
        <w:rPr>
          <w:rFonts w:hint="eastAsia" w:asciiTheme="minorEastAsia" w:hAnsiTheme="minorEastAsia"/>
          <w:bCs/>
          <w:kern w:val="0"/>
          <w:sz w:val="32"/>
          <w:szCs w:val="32"/>
        </w:rPr>
        <w:t>本级以及</w:t>
      </w:r>
      <w:r>
        <w:rPr>
          <w:rFonts w:hint="eastAsia" w:asciiTheme="minorEastAsia" w:hAnsiTheme="minorEastAsia"/>
          <w:bCs/>
          <w:kern w:val="0"/>
          <w:sz w:val="32"/>
          <w:szCs w:val="32"/>
          <w:lang w:eastAsia="zh-CN"/>
        </w:rPr>
        <w:t>湖南理工学院南湖学院</w:t>
      </w:r>
    </w:p>
    <w:p>
      <w:pPr>
        <w:jc w:val="left"/>
        <w:rPr>
          <w:rFonts w:ascii="仿宋_GB2312" w:eastAsia="仿宋_GB2312" w:hAnsiTheme="minorEastAsia"/>
          <w:sz w:val="28"/>
          <w:szCs w:val="32"/>
        </w:rPr>
      </w:pPr>
    </w:p>
    <w:p>
      <w:pPr>
        <w:jc w:val="center"/>
        <w:rPr>
          <w:sz w:val="72"/>
          <w:szCs w:val="72"/>
        </w:rPr>
      </w:pPr>
    </w:p>
    <w:p>
      <w:pPr>
        <w:jc w:val="center"/>
        <w:rPr>
          <w:sz w:val="72"/>
          <w:szCs w:val="72"/>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sz w:val="72"/>
          <w:szCs w:val="72"/>
        </w:rPr>
        <w:sectPr>
          <w:pgSz w:w="16838" w:h="11906" w:orient="landscape"/>
          <w:pgMar w:top="720" w:right="720" w:bottom="720" w:left="720" w:header="851" w:footer="992" w:gutter="0"/>
          <w:cols w:space="425" w:num="1"/>
          <w:docGrid w:type="lines" w:linePitch="312" w:charSpace="0"/>
        </w:sectPr>
      </w:pPr>
      <w:r>
        <w:rPr>
          <w:rFonts w:hint="eastAsia" w:ascii="方正小标宋_GBK" w:hAnsi="方正小标宋_GBK" w:eastAsia="方正小标宋_GBK" w:cs="方正小标宋_GBK"/>
          <w:sz w:val="84"/>
          <w:szCs w:val="84"/>
        </w:rPr>
        <w:t>部门决算表</w:t>
      </w:r>
      <w:r>
        <w:rPr>
          <w:rFonts w:hint="eastAsia" w:ascii="方正小标宋_GBK" w:hAnsi="方正小标宋_GBK" w:eastAsia="方正小标宋_GBK" w:cs="方正小标宋_GBK"/>
          <w:sz w:val="84"/>
          <w:szCs w:val="84"/>
          <w:lang w:eastAsia="zh-CN"/>
        </w:rPr>
        <w:t>（详见</w:t>
      </w:r>
      <w:r>
        <w:rPr>
          <w:rFonts w:hint="eastAsia" w:ascii="方正小标宋_GBK" w:hAnsi="方正小标宋_GBK" w:eastAsia="方正小标宋_GBK" w:cs="方正小标宋_GBK"/>
          <w:sz w:val="84"/>
          <w:szCs w:val="84"/>
          <w:lang w:val="en-US" w:eastAsia="zh-CN"/>
        </w:rPr>
        <w:t>excel表</w:t>
      </w:r>
      <w:r>
        <w:rPr>
          <w:rFonts w:hint="eastAsia" w:ascii="方正小标宋_GBK" w:hAnsi="方正小标宋_GBK" w:eastAsia="方正小标宋_GBK" w:cs="方正小标宋_GBK"/>
          <w:sz w:val="84"/>
          <w:szCs w:val="84"/>
          <w:lang w:eastAsia="zh-CN"/>
        </w:rPr>
        <w:t>）</w:t>
      </w:r>
    </w:p>
    <w:p>
      <w:pPr>
        <w:pStyle w:val="12"/>
        <w:jc w:val="both"/>
        <w:rPr>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第三部分</w:t>
      </w:r>
    </w:p>
    <w:p>
      <w:pPr>
        <w:pStyle w:val="12"/>
        <w:jc w:val="center"/>
        <w:rPr>
          <w:rFonts w:hint="eastAsia" w:ascii="方正小标宋_GBK" w:hAnsi="方正小标宋_GBK" w:eastAsia="方正小标宋_GBK" w:cs="方正小标宋_GBK"/>
          <w:sz w:val="84"/>
          <w:szCs w:val="84"/>
          <w:lang w:eastAsia="zh-CN"/>
        </w:rPr>
      </w:pPr>
    </w:p>
    <w:p>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lang w:eastAsia="zh-CN"/>
        </w:rPr>
        <w:t>年度部门决算情况说明</w:t>
      </w:r>
    </w:p>
    <w:p>
      <w:pPr>
        <w:widowControl/>
        <w:jc w:val="left"/>
        <w:rPr>
          <w:rFonts w:asciiTheme="minorEastAsia" w:hAnsiTheme="minorEastAsia" w:eastAsiaTheme="minorEastAsia"/>
          <w:sz w:val="32"/>
          <w:szCs w:val="32"/>
        </w:rPr>
      </w:pPr>
      <w:r>
        <w:br w:type="page"/>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152616.84</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12673.56</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9.06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事业收入和附属单位缴款收入的增加。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74896.99万</w:t>
      </w:r>
      <w:r>
        <w:rPr>
          <w:rFonts w:hint="eastAsia" w:ascii="Times New Roman" w:hAnsi="Times New Roman" w:eastAsia="仿宋_GB2312"/>
          <w:sz w:val="32"/>
          <w:szCs w:val="32"/>
        </w:rPr>
        <w:t>元，其中：财政拨款收入</w:t>
      </w:r>
      <w:r>
        <w:rPr>
          <w:rFonts w:hint="eastAsia" w:ascii="Times New Roman" w:hAnsi="Times New Roman" w:eastAsia="仿宋_GB2312"/>
          <w:sz w:val="32"/>
          <w:szCs w:val="32"/>
          <w:lang w:val="en-US" w:eastAsia="zh-CN"/>
        </w:rPr>
        <w:t>33854.43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45.21</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31914.03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42.61</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6940.64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9.27</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2187.90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2.93</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77719.85</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40192.12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51.71</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37527.73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48.29</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67677.05</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2999.77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4.64</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2022年一般公共预算财政拨款收入增加。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33822.62</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43.52</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1373.40</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4.24</w:t>
      </w:r>
      <w:r>
        <w:rPr>
          <w:rFonts w:hint="eastAsia" w:ascii="Times New Roman" w:hAnsi="Times New Roman" w:eastAsia="仿宋_GB2312"/>
          <w:sz w:val="32"/>
          <w:szCs w:val="32"/>
        </w:rPr>
        <w:t>%，主要是因为教育（类）支出</w:t>
      </w:r>
      <w:r>
        <w:rPr>
          <w:rFonts w:hint="eastAsia" w:ascii="Times New Roman" w:hAnsi="Times New Roman" w:eastAsia="仿宋_GB2312"/>
          <w:sz w:val="32"/>
          <w:szCs w:val="32"/>
          <w:lang w:eastAsia="zh-CN"/>
        </w:rPr>
        <w:t>增加。</w:t>
      </w:r>
    </w:p>
    <w:p>
      <w:pPr>
        <w:pStyle w:val="12"/>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33822.62</w:t>
      </w:r>
      <w:r>
        <w:rPr>
          <w:rFonts w:hint="eastAsia" w:ascii="Times New Roman" w:hAnsi="Times New Roman" w:eastAsia="仿宋_GB2312"/>
          <w:sz w:val="32"/>
          <w:szCs w:val="32"/>
        </w:rPr>
        <w:t>万元，主要用于以下方面：一般公共服务（类）支出</w:t>
      </w:r>
      <w:r>
        <w:rPr>
          <w:rFonts w:hint="eastAsia" w:ascii="Times New Roman" w:hAnsi="Times New Roman" w:eastAsia="仿宋_GB2312"/>
          <w:sz w:val="32"/>
          <w:szCs w:val="32"/>
          <w:lang w:val="en-US" w:eastAsia="zh-CN"/>
        </w:rPr>
        <w:t>19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0.06</w:t>
      </w:r>
      <w:r>
        <w:rPr>
          <w:rFonts w:hint="eastAsia" w:ascii="Times New Roman" w:hAnsi="Times New Roman" w:eastAsia="仿宋_GB2312"/>
          <w:sz w:val="32"/>
          <w:szCs w:val="32"/>
        </w:rPr>
        <w:t>%；教育（类）支出</w:t>
      </w:r>
      <w:r>
        <w:rPr>
          <w:rFonts w:hint="eastAsia" w:ascii="Times New Roman" w:hAnsi="Times New Roman" w:eastAsia="仿宋_GB2312"/>
          <w:sz w:val="32"/>
          <w:szCs w:val="32"/>
          <w:lang w:val="en-US" w:eastAsia="zh-CN"/>
        </w:rPr>
        <w:t>33408.27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98.78</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科学技术（类）支出346.87万元，占1.03%；社会保障和就业（类）支出47.68万元，占0.14%；卫生健康（类）支出0.8万元。</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22997.47</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33822.62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147.08</w:t>
      </w:r>
      <w:r>
        <w:rPr>
          <w:rFonts w:hint="eastAsia" w:ascii="Times New Roman" w:hAnsi="Times New Roman" w:eastAsia="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1、一般公共服务（类）</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19</w:t>
      </w:r>
      <w:r>
        <w:rPr>
          <w:rFonts w:hint="eastAsia" w:ascii="Times New Roman" w:hAnsi="Times New Roman" w:eastAsia="仿宋_GB2312"/>
          <w:sz w:val="32"/>
          <w:szCs w:val="32"/>
        </w:rPr>
        <w:t>万元，决算数大于年初预算数的主要原因是：一般公共服务（类）</w:t>
      </w:r>
      <w:r>
        <w:rPr>
          <w:rFonts w:hint="eastAsia" w:ascii="Times New Roman" w:hAnsi="Times New Roman" w:eastAsia="仿宋_GB2312"/>
          <w:sz w:val="32"/>
          <w:szCs w:val="32"/>
          <w:lang w:val="en-US" w:eastAsia="zh-CN"/>
        </w:rPr>
        <w:t>支出项目增加。</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2、教育（类）</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22997.47</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33408.27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145.27</w:t>
      </w:r>
      <w:r>
        <w:rPr>
          <w:rFonts w:hint="eastAsia" w:ascii="Times New Roman" w:hAnsi="Times New Roman" w:eastAsia="仿宋_GB2312"/>
          <w:sz w:val="32"/>
          <w:szCs w:val="32"/>
        </w:rPr>
        <w:t>%，决算数大于年初预算数的主要原因是：教育（类）</w:t>
      </w:r>
      <w:r>
        <w:rPr>
          <w:rFonts w:hint="eastAsia" w:ascii="Times New Roman" w:hAnsi="Times New Roman" w:eastAsia="仿宋_GB2312"/>
          <w:sz w:val="32"/>
          <w:szCs w:val="32"/>
          <w:lang w:val="en-US" w:eastAsia="zh-CN"/>
        </w:rPr>
        <w:t>支出项目增加。</w:t>
      </w:r>
    </w:p>
    <w:p>
      <w:pPr>
        <w:pStyle w:val="12"/>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科学技术（类）</w:t>
      </w:r>
    </w:p>
    <w:p>
      <w:pPr>
        <w:pStyle w:val="12"/>
        <w:keepNext w:val="0"/>
        <w:keepLines w:val="0"/>
        <w:pageBreakBefore w:val="0"/>
        <w:widowControl w:val="0"/>
        <w:numPr>
          <w:ilvl w:val="0"/>
          <w:numId w:val="0"/>
        </w:numPr>
        <w:kinsoku/>
        <w:wordWrap/>
        <w:overflowPunct/>
        <w:topLinePunct w:val="0"/>
        <w:bidi w:val="0"/>
        <w:snapToGrid/>
        <w:spacing w:line="600" w:lineRule="exac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347</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科学技术（类）支出项目增加。</w:t>
      </w:r>
    </w:p>
    <w:p>
      <w:pPr>
        <w:pStyle w:val="12"/>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社会保障和就业（类）</w:t>
      </w:r>
    </w:p>
    <w:p>
      <w:pPr>
        <w:pStyle w:val="12"/>
        <w:keepNext w:val="0"/>
        <w:keepLines w:val="0"/>
        <w:pageBreakBefore w:val="0"/>
        <w:widowControl w:val="0"/>
        <w:numPr>
          <w:ilvl w:val="0"/>
          <w:numId w:val="0"/>
        </w:numPr>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47.68</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社会保障和就业（类）支出项目增加。</w:t>
      </w:r>
    </w:p>
    <w:p>
      <w:pPr>
        <w:pStyle w:val="12"/>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卫生健康支出（类）</w:t>
      </w:r>
    </w:p>
    <w:p>
      <w:pPr>
        <w:pStyle w:val="12"/>
        <w:keepNext w:val="0"/>
        <w:keepLines w:val="0"/>
        <w:pageBreakBefore w:val="0"/>
        <w:widowControl w:val="0"/>
        <w:numPr>
          <w:ilvl w:val="0"/>
          <w:numId w:val="0"/>
        </w:numPr>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0.08</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卫生健康支出（类）支出项目增加。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20425.90</w:t>
      </w:r>
      <w:r>
        <w:rPr>
          <w:rFonts w:hint="eastAsia" w:ascii="Times New Roman" w:hAnsi="Times New Roman" w:eastAsia="仿宋_GB2312"/>
          <w:sz w:val="32"/>
          <w:szCs w:val="32"/>
        </w:rPr>
        <w:t>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18955.90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92.81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主要包括基本工资、津贴补贴、</w:t>
      </w:r>
      <w:r>
        <w:rPr>
          <w:rFonts w:hint="eastAsia" w:ascii="Times New Roman" w:hAnsi="Times New Roman" w:eastAsia="仿宋_GB2312"/>
          <w:sz w:val="32"/>
          <w:szCs w:val="32"/>
          <w:lang w:val="en-US" w:eastAsia="zh-CN"/>
        </w:rPr>
        <w:t>伙食补助费</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绩效工资、机关事业单位基本养老保险缴费、职工基本医疗保险缴费、其他社会保障缴费、住房公积金、医疗费、其他工资福利支出、离休费、</w:t>
      </w:r>
      <w:r>
        <w:rPr>
          <w:rFonts w:hint="eastAsia" w:ascii="Times New Roman" w:hAnsi="Times New Roman" w:eastAsia="仿宋_GB2312"/>
          <w:sz w:val="32"/>
          <w:szCs w:val="32"/>
          <w:lang w:val="en-US" w:eastAsia="zh-CN"/>
        </w:rPr>
        <w:t>医疗费补助、奖励金</w:t>
      </w:r>
      <w:r>
        <w:rPr>
          <w:rFonts w:hint="eastAsia" w:ascii="Times New Roman" w:hAnsi="Times New Roman" w:eastAsia="仿宋_GB2312"/>
          <w:sz w:val="32"/>
          <w:szCs w:val="32"/>
          <w:lang w:eastAsia="zh-CN"/>
        </w:rPr>
        <w:t>。</w:t>
      </w:r>
    </w:p>
    <w:p>
      <w:pPr>
        <w:pStyle w:val="12"/>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1470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7.20</w:t>
      </w:r>
      <w:r>
        <w:rPr>
          <w:rFonts w:hint="eastAsia" w:ascii="Times New Roman" w:hAnsi="Times New Roman" w:eastAsia="仿宋_GB2312"/>
          <w:sz w:val="32"/>
          <w:szCs w:val="32"/>
        </w:rPr>
        <w:t>%，主要包括</w:t>
      </w:r>
      <w:r>
        <w:rPr>
          <w:rFonts w:hint="eastAsia" w:ascii="Times New Roman" w:hAnsi="Times New Roman" w:eastAsia="仿宋_GB2312"/>
          <w:sz w:val="32"/>
          <w:szCs w:val="32"/>
          <w:lang w:eastAsia="zh-CN"/>
        </w:rPr>
        <w:t>办公费、印刷费、水费、电费、邮电费、物业管理费、差旅费、维修（护）费、培训费、专用材料费、劳务费、委托业务费、工会经费、福利费、其他交通费用。</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r>
        <w:rPr>
          <w:rFonts w:hint="eastAsia" w:ascii="楷体" w:hAnsi="楷体" w:eastAsia="楷体" w:cs="楷体"/>
          <w:b/>
          <w:bCs/>
          <w:i/>
          <w:color w:val="auto"/>
          <w:sz w:val="32"/>
          <w:szCs w:val="32"/>
          <w:lang w:eastAsia="zh-CN"/>
        </w:rPr>
        <w:t>（注意：三公经费情况说明，往年为一般公共预算财政拨款口径，今年为财政拨款口径）</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本单位一般公共预算财政拨款无三公经费支出情况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本单位无政府性基金收支</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九、关于机关运行经费支出说明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heme="minorEastAsia" w:hAnsiTheme="minorEastAsia" w:eastAsiaTheme="minorEastAsia"/>
          <w:sz w:val="32"/>
          <w:szCs w:val="32"/>
          <w:lang w:eastAsia="zh-CN"/>
        </w:rPr>
      </w:pPr>
      <w:r>
        <w:rPr>
          <w:rFonts w:hint="eastAsia" w:ascii="Times New Roman" w:hAnsi="Times New Roman" w:eastAsia="仿宋_GB2312"/>
          <w:sz w:val="32"/>
          <w:szCs w:val="32"/>
          <w:lang w:val="en-US" w:eastAsia="zh-CN"/>
        </w:rPr>
        <w:t>本单位无机关运行经费支出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608.03</w:t>
      </w:r>
      <w:r>
        <w:rPr>
          <w:rFonts w:hint="eastAsia" w:ascii="Times New Roman" w:hAnsi="Times New Roman" w:eastAsia="仿宋_GB2312"/>
          <w:sz w:val="32"/>
          <w:szCs w:val="32"/>
        </w:rPr>
        <w:t>万元，用于召开</w:t>
      </w:r>
      <w:r>
        <w:rPr>
          <w:rFonts w:hint="eastAsia" w:ascii="Times New Roman" w:hAnsi="Times New Roman" w:eastAsia="仿宋_GB2312"/>
          <w:sz w:val="32"/>
          <w:szCs w:val="32"/>
          <w:lang w:eastAsia="zh-CN"/>
        </w:rPr>
        <w:t>教学类、科研类、疫情防控等相关会议</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教学类会议</w:t>
      </w:r>
      <w:r>
        <w:rPr>
          <w:rFonts w:hint="eastAsia" w:ascii="Times New Roman" w:hAnsi="Times New Roman" w:eastAsia="仿宋_GB2312"/>
          <w:sz w:val="32"/>
          <w:szCs w:val="32"/>
        </w:rPr>
        <w:t>内容</w:t>
      </w:r>
      <w:r>
        <w:rPr>
          <w:rFonts w:hint="eastAsia" w:ascii="Times New Roman" w:hAnsi="Times New Roman" w:eastAsia="仿宋_GB2312"/>
          <w:sz w:val="32"/>
          <w:szCs w:val="32"/>
          <w:lang w:eastAsia="zh-CN"/>
        </w:rPr>
        <w:t>主要</w:t>
      </w:r>
      <w:r>
        <w:rPr>
          <w:rFonts w:hint="eastAsia" w:ascii="Times New Roman" w:hAnsi="Times New Roman" w:eastAsia="仿宋_GB2312"/>
          <w:sz w:val="32"/>
          <w:szCs w:val="32"/>
        </w:rPr>
        <w:t>为</w:t>
      </w:r>
      <w:r>
        <w:rPr>
          <w:rFonts w:hint="eastAsia" w:ascii="Times New Roman" w:hAnsi="Times New Roman" w:eastAsia="仿宋_GB2312"/>
          <w:sz w:val="32"/>
          <w:szCs w:val="32"/>
          <w:lang w:val="en-US" w:eastAsia="zh-CN"/>
        </w:rPr>
        <w:t>湖南省第十二届大学生运动会</w:t>
      </w:r>
      <w:r>
        <w:rPr>
          <w:rFonts w:hint="eastAsia" w:ascii="Times New Roman" w:hAnsi="Times New Roman" w:eastAsia="仿宋_GB2312"/>
          <w:sz w:val="32"/>
          <w:szCs w:val="32"/>
          <w:lang w:eastAsia="zh-CN"/>
        </w:rPr>
        <w:t>；科研类会议内容主要为学术会议，课题研究研讨会等；疫情防控会议等</w:t>
      </w: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172.70</w:t>
      </w:r>
      <w:r>
        <w:rPr>
          <w:rFonts w:hint="eastAsia" w:ascii="Times New Roman" w:hAnsi="Times New Roman" w:eastAsia="仿宋_GB2312"/>
          <w:sz w:val="32"/>
          <w:szCs w:val="32"/>
        </w:rPr>
        <w:t>万元，用于开</w:t>
      </w:r>
      <w:r>
        <w:rPr>
          <w:rFonts w:hint="eastAsia" w:ascii="Times New Roman" w:hAnsi="Times New Roman" w:eastAsia="仿宋_GB2312"/>
          <w:sz w:val="32"/>
          <w:szCs w:val="32"/>
          <w:lang w:eastAsia="zh-CN"/>
        </w:rPr>
        <w:t>展师范专业认证培训、事业单位人员培训费等。</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9732.29</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5257.64</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4474.64</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2257.64</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23.20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2257.64</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23.20</w:t>
      </w:r>
      <w:r>
        <w:rPr>
          <w:rFonts w:hint="eastAsia" w:ascii="Times New Roman" w:hAnsi="Times New Roman" w:eastAsia="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辆，其中，其他用车</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辆；单位价值100万元以上设备</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台（套）。</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见附件</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（一）财政拨款收入：指单位本年度从本级财政部门取得的财政拨款。</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（二）财政专户管理资金拨款：指单位本年度从本级财政部门取得的财政专户管理的教育收费等资金的收入。</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（三）事业收入：指事业单位开展专业业务活动及辅助活动所取得的收入。</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 xml:space="preserve"> (四) 事业单位经营收入：指事业单位在专业业务活动及其辅助活动之外开展非独立核算经营活动取得的收入。</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（五）上级补助收入：指事业单位从主管部门和上级单位取得的非财政补助收入。</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（六）附属单位上缴收入：指事业单位附属独立核算单位按照有关规定上缴的收入。</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（七）其他收入：指除上述“财政拨款收入”、“事业收入”、“事业单位经营收入”、“上级补助收入”等以外的收入。</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八）用事业基金弥补收支差额：指事业单位在预计用当年的“财政拨款收入”、“事业收入”、“事业单位经营收入”、“其他收入”等收入不足以安排当年支出的情况下，使用以前年度积累的事业基金（事业单位当年收支相抵后按国家规定提取、用于弥补以后年度收支差额的基金）弥补本年度收支缺口的资金。</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（九）上年结转：指以前年度尚未完成、结转到本年仍按原规定用途继续使用的资金。</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（十）结转下年：指以前年度预算安排、因客观条件发生变化无法按原计划实施，需延迟到以后年度按原规定用途继续使用的资金。</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（十一）基本支出：指为保障机构正常运转、完成日常工作任务而发生的人员支出和公用支出。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（十二）项目支出：指在基本支出之外为完成特定行政任务和事业发展目标所发生的支出。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（十三）上缴上级支出：指附属单位上缴上级的支出。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（十四）事业单位经营支出：指事业单位在专业业务活动及其辅助活动之外开展非独立核算经营活动发生的支出。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（十五）对附属单位补助支出：指对附属单位补助发生的支出。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六）“三公”经费：是指部门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出；公务接待费反映单位按规定开支的各类公务接待（含外宾接待）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（十八）公共安全支出（类）公安（款）行政运行（项）：指行政单位（包括实行公务员管理的事业单位）的基本支出。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（十九）公共安全支出（类）公安（款）一般行政管理事务（项）：指行政单位（包括实行公务员管理的事业单位）未单独设置项级科目的其他项目支出。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（二十）公共安全支出（类）公安（款）治安管理（项）：指公安机关开展治安管理工作的支出，包括所属巡警队、特警勤务大队、派出所、110等方面的支出。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（二十一）公共安全支出（类）公安（款）出入境管理（项）：指公安机关开展出入境管理工作的支出，包括“三非”外国人遣返，出入境证照印刷、管理以及出入境边防检查站等方面的支出。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（二十二）公共安全支出（类）公安（款）禁毒管理（项）：指公安机关开展禁毒工作的支出。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（二十三）公共安全支出（类）公安（款）道路交通管理（项）：指公安机关开展各类道路交通管理工作的支出。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（二十四）公共安全支出（类）公安（款）网络运行及维护（项）：指公安机关各类专网、局域网的租费、运行费、维护费、软件开发费等方面的支出。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（二十五）公共安全支出（类）公安（款）拘押收教场所管理（项）：指公安机关所属看守所、行政拘留所、收容教育所、强制戒毒所等方面的支出。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（二十六）公共安全支出（类）公安（款）其他公安支出（项）：指其他用于公安方面的支出。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（二十七）社会保障和就业支出（类）行政事业单位离退休（款）归口管理的行政单位离退休（项）：指实行归口管理的行政单位（包括实行公务员管理的事业单位）开支的离退休支出。</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八）医疗卫生与计划生育支出（类）行政事业单位医疗（款）行政单位医疗（项）：指财政部门集中安排的行政单位基本医疗保险缴费经费，未参加医疗保险的行政单位的公费医疗经费，按国家规定享受离休人员、红军老战士待遇人员的医疗费用。</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（二十九）住房保障支出（类）住房改革支出（款）住房公积金（项）：指行政事业单位按人力资源和社会保障部、财政部规定的基本工资和津贴补贴以及规定比例为职工缴纳的住房公积金。</w:t>
      </w:r>
    </w:p>
    <w:p>
      <w:pPr>
        <w:pStyle w:val="12"/>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（三十）住房保障支出（类）住房改革支出（款）购房补贴（项）：指按房改政策规定，行政事业单位向符合条件职工（含离退休人员）、军队（含武警）向转役复员离退休人员发放的用于购买住房的补贴。</w:t>
      </w: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ind w:firstLine="3600" w:firstLineChars="500"/>
        <w:jc w:val="both"/>
        <w:rPr>
          <w:rFonts w:hint="eastAsia"/>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第五部分</w:t>
      </w: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附件</w:t>
      </w: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center"/>
        <w:rPr>
          <w:rFonts w:eastAsia="方正小标宋_GBK"/>
          <w:sz w:val="48"/>
          <w:szCs w:val="48"/>
        </w:rPr>
      </w:pPr>
      <w:r>
        <w:rPr>
          <w:rFonts w:eastAsia="方正小标宋_GBK"/>
          <w:sz w:val="48"/>
          <w:szCs w:val="48"/>
        </w:rPr>
        <w:t>202</w:t>
      </w:r>
      <w:r>
        <w:rPr>
          <w:rFonts w:hint="eastAsia" w:eastAsia="方正小标宋_GBK"/>
          <w:sz w:val="48"/>
          <w:szCs w:val="48"/>
          <w:lang w:val="en-US" w:eastAsia="zh-CN"/>
        </w:rPr>
        <w:t>2</w:t>
      </w:r>
      <w:r>
        <w:rPr>
          <w:rFonts w:eastAsia="方正小标宋_GBK"/>
          <w:sz w:val="48"/>
          <w:szCs w:val="48"/>
        </w:rPr>
        <w:t>年度</w:t>
      </w:r>
      <w:r>
        <w:rPr>
          <w:rFonts w:hint="eastAsia" w:eastAsia="方正小标宋_GBK"/>
          <w:sz w:val="48"/>
          <w:szCs w:val="48"/>
          <w:lang w:eastAsia="zh-CN"/>
        </w:rPr>
        <w:t>湖南理工学院（</w:t>
      </w:r>
      <w:r>
        <w:rPr>
          <w:rFonts w:hint="eastAsia" w:eastAsia="方正小标宋_GBK"/>
          <w:sz w:val="48"/>
          <w:szCs w:val="48"/>
          <w:lang w:val="en-US" w:eastAsia="zh-CN"/>
        </w:rPr>
        <w:t>含南湖学院</w:t>
      </w:r>
      <w:r>
        <w:rPr>
          <w:rFonts w:hint="eastAsia" w:eastAsia="方正小标宋_GBK"/>
          <w:sz w:val="48"/>
          <w:szCs w:val="48"/>
          <w:lang w:eastAsia="zh-CN"/>
        </w:rPr>
        <w:t>）</w:t>
      </w:r>
      <w:r>
        <w:rPr>
          <w:rFonts w:eastAsia="方正小标宋_GBK"/>
          <w:sz w:val="48"/>
          <w:szCs w:val="48"/>
        </w:rPr>
        <w:t>整体支出</w:t>
      </w:r>
    </w:p>
    <w:p>
      <w:pPr>
        <w:jc w:val="center"/>
        <w:rPr>
          <w:rFonts w:eastAsia="方正小标宋_GBK"/>
          <w:sz w:val="52"/>
          <w:szCs w:val="52"/>
        </w:rPr>
      </w:pPr>
      <w:r>
        <w:rPr>
          <w:rFonts w:eastAsia="方正小标宋_GBK"/>
          <w:sz w:val="48"/>
          <w:szCs w:val="48"/>
        </w:rPr>
        <w:t>绩效自评报告</w:t>
      </w:r>
    </w:p>
    <w:p>
      <w:pPr>
        <w:spacing w:line="600" w:lineRule="exact"/>
        <w:jc w:val="both"/>
      </w:pPr>
    </w:p>
    <w:p>
      <w:pPr>
        <w:keepNext w:val="0"/>
        <w:keepLines w:val="0"/>
        <w:pageBreakBefore w:val="0"/>
        <w:numPr>
          <w:ilvl w:val="0"/>
          <w:numId w:val="2"/>
        </w:numPr>
        <w:kinsoku/>
        <w:wordWrap/>
        <w:overflowPunct/>
        <w:topLinePunct w:val="0"/>
        <w:bidi w:val="0"/>
        <w:snapToGrid/>
        <w:spacing w:beforeAutospacing="0" w:line="580" w:lineRule="exact"/>
        <w:ind w:left="-2" w:leftChars="0" w:firstLine="624" w:firstLineChars="0"/>
        <w:textAlignment w:val="auto"/>
        <w:rPr>
          <w:rFonts w:eastAsia="黑体"/>
          <w:sz w:val="30"/>
          <w:szCs w:val="30"/>
          <w:highlight w:val="none"/>
        </w:rPr>
      </w:pPr>
      <w:r>
        <w:rPr>
          <w:rFonts w:eastAsia="黑体"/>
          <w:sz w:val="30"/>
          <w:szCs w:val="30"/>
          <w:highlight w:val="none"/>
        </w:rPr>
        <w:t>单位基本情况</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eastAsia="楷体_GB2312"/>
          <w:b/>
          <w:sz w:val="30"/>
          <w:szCs w:val="30"/>
        </w:rPr>
      </w:pPr>
      <w:r>
        <w:rPr>
          <w:rFonts w:eastAsia="楷体_GB2312"/>
          <w:b/>
          <w:sz w:val="30"/>
          <w:szCs w:val="30"/>
        </w:rPr>
        <w:t>（一）职能职责。</w:t>
      </w:r>
      <w:r>
        <w:rPr>
          <w:rFonts w:hint="eastAsia" w:eastAsia="仿宋_GB2312"/>
          <w:sz w:val="30"/>
          <w:szCs w:val="30"/>
        </w:rPr>
        <w:t>湖南理工学院以开展教育教学、科学研究、社会服务、文化传承创新和国际交流合作为基本职能，以培养高等学历师资人才，促进教育事业发展。</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eastAsia="楷体_GB2312"/>
          <w:b/>
          <w:sz w:val="30"/>
          <w:szCs w:val="30"/>
        </w:rPr>
      </w:pPr>
      <w:r>
        <w:rPr>
          <w:rFonts w:eastAsia="楷体_GB2312"/>
          <w:b/>
          <w:sz w:val="30"/>
          <w:szCs w:val="30"/>
        </w:rPr>
        <w:t>（二）机构设置。</w:t>
      </w:r>
      <w:r>
        <w:rPr>
          <w:rFonts w:hint="eastAsia" w:eastAsia="仿宋_GB2312"/>
          <w:sz w:val="30"/>
          <w:szCs w:val="30"/>
        </w:rPr>
        <w:t>湖南理工学院机构设置完善：学校内设党政办、纪监处、组织部、机关党委、学工部等管理机构9个；教务处、科技处、招就处、人事处、计财处等教学教辅机构2</w:t>
      </w:r>
      <w:r>
        <w:rPr>
          <w:rFonts w:hint="eastAsia"/>
          <w:sz w:val="30"/>
          <w:szCs w:val="30"/>
          <w:lang w:val="en-US" w:eastAsia="zh-CN"/>
        </w:rPr>
        <w:t>4</w:t>
      </w:r>
      <w:r>
        <w:rPr>
          <w:rFonts w:hint="eastAsia" w:eastAsia="仿宋_GB2312"/>
          <w:sz w:val="30"/>
          <w:szCs w:val="30"/>
        </w:rPr>
        <w:t>个；化学化工学院、信息科学与工程学院、政法学院、体育学院、中国语言文学院、经济与管理学院等二级教学院校1</w:t>
      </w:r>
      <w:r>
        <w:rPr>
          <w:rFonts w:hint="eastAsia"/>
          <w:sz w:val="30"/>
          <w:szCs w:val="30"/>
          <w:lang w:val="en-US" w:eastAsia="zh-CN"/>
        </w:rPr>
        <w:t>8</w:t>
      </w:r>
      <w:r>
        <w:rPr>
          <w:rFonts w:hint="eastAsia" w:eastAsia="仿宋_GB2312"/>
          <w:sz w:val="30"/>
          <w:szCs w:val="30"/>
        </w:rPr>
        <w:t>个；独立学院南湖学院1个。工会和团委按有关章程设置。</w:t>
      </w:r>
    </w:p>
    <w:p>
      <w:pPr>
        <w:keepNext w:val="0"/>
        <w:keepLines w:val="0"/>
        <w:pageBreakBefore w:val="0"/>
        <w:widowControl/>
        <w:kinsoku/>
        <w:wordWrap/>
        <w:overflowPunct/>
        <w:topLinePunct w:val="0"/>
        <w:bidi w:val="0"/>
        <w:snapToGrid/>
        <w:spacing w:beforeAutospacing="0" w:line="580" w:lineRule="exact"/>
        <w:ind w:firstLine="600" w:firstLineChars="200"/>
        <w:textAlignment w:val="auto"/>
        <w:rPr>
          <w:rFonts w:eastAsia="黑体"/>
          <w:sz w:val="30"/>
          <w:szCs w:val="30"/>
        </w:rPr>
      </w:pPr>
      <w:r>
        <w:rPr>
          <w:rFonts w:eastAsia="黑体"/>
          <w:sz w:val="30"/>
          <w:szCs w:val="30"/>
        </w:rPr>
        <w:t>二、一般公共预算支出情况</w:t>
      </w:r>
    </w:p>
    <w:p>
      <w:pPr>
        <w:pStyle w:val="13"/>
        <w:keepNext w:val="0"/>
        <w:keepLines w:val="0"/>
        <w:pageBreakBefore w:val="0"/>
        <w:kinsoku/>
        <w:wordWrap/>
        <w:overflowPunct/>
        <w:topLinePunct w:val="0"/>
        <w:autoSpaceDE w:val="0"/>
        <w:bidi w:val="0"/>
        <w:adjustRightInd w:val="0"/>
        <w:snapToGrid/>
        <w:spacing w:beforeAutospacing="0" w:line="580" w:lineRule="exact"/>
        <w:textAlignment w:val="auto"/>
        <w:rPr>
          <w:rFonts w:hint="default" w:ascii="Times New Roman" w:hAnsi="Times New Roman" w:eastAsia="仿宋_GB2312" w:cs="Times New Roman"/>
          <w:kern w:val="2"/>
          <w:sz w:val="30"/>
          <w:szCs w:val="30"/>
          <w:highlight w:val="none"/>
          <w:lang w:val="en-US" w:eastAsia="zh-CN" w:bidi="ar-SA"/>
        </w:rPr>
      </w:pPr>
      <w:r>
        <w:rPr>
          <w:rFonts w:hint="eastAsia" w:ascii="Times New Roman" w:hAnsi="Times New Roman" w:cs="Times New Roman"/>
          <w:kern w:val="2"/>
          <w:sz w:val="30"/>
          <w:szCs w:val="30"/>
          <w:highlight w:val="none"/>
          <w:lang w:val="en-US" w:eastAsia="zh-CN" w:bidi="ar-SA"/>
        </w:rPr>
        <w:t>2022</w:t>
      </w:r>
      <w:r>
        <w:rPr>
          <w:rFonts w:hint="eastAsia" w:ascii="Times New Roman" w:hAnsi="Times New Roman" w:eastAsia="仿宋_GB2312" w:cs="Times New Roman"/>
          <w:kern w:val="2"/>
          <w:sz w:val="30"/>
          <w:szCs w:val="30"/>
          <w:highlight w:val="none"/>
          <w:lang w:val="en-US" w:eastAsia="zh-CN" w:bidi="ar-SA"/>
        </w:rPr>
        <w:t>年我校一般公共预算预支出总额</w:t>
      </w:r>
      <w:r>
        <w:rPr>
          <w:rFonts w:hint="eastAsia" w:ascii="Times New Roman" w:hAnsi="Times New Roman" w:cs="Times New Roman"/>
          <w:kern w:val="2"/>
          <w:sz w:val="30"/>
          <w:szCs w:val="30"/>
          <w:highlight w:val="none"/>
          <w:lang w:val="en-US" w:eastAsia="zh-CN" w:bidi="ar-SA"/>
        </w:rPr>
        <w:t>33822.62万元</w:t>
      </w:r>
      <w:r>
        <w:rPr>
          <w:rFonts w:hint="eastAsia" w:ascii="Times New Roman" w:hAnsi="Times New Roman" w:eastAsia="仿宋_GB2312" w:cs="Times New Roman"/>
          <w:kern w:val="2"/>
          <w:sz w:val="30"/>
          <w:szCs w:val="30"/>
          <w:highlight w:val="none"/>
          <w:lang w:val="en-US" w:eastAsia="zh-CN" w:bidi="ar-SA"/>
        </w:rPr>
        <w:t>。按支出性质分类，基本支出</w:t>
      </w:r>
      <w:r>
        <w:rPr>
          <w:rFonts w:hint="eastAsia" w:ascii="Times New Roman" w:hAnsi="Times New Roman" w:cs="Times New Roman"/>
          <w:kern w:val="2"/>
          <w:sz w:val="30"/>
          <w:szCs w:val="30"/>
          <w:highlight w:val="none"/>
          <w:lang w:val="en-US" w:eastAsia="zh-CN" w:bidi="ar-SA"/>
        </w:rPr>
        <w:t>20425.90</w:t>
      </w:r>
      <w:r>
        <w:rPr>
          <w:rFonts w:hint="eastAsia" w:ascii="Times New Roman" w:hAnsi="Times New Roman" w:eastAsia="仿宋_GB2312" w:cs="Times New Roman"/>
          <w:kern w:val="2"/>
          <w:sz w:val="30"/>
          <w:szCs w:val="30"/>
          <w:highlight w:val="none"/>
          <w:lang w:val="en-US" w:eastAsia="zh-CN" w:bidi="ar-SA"/>
        </w:rPr>
        <w:t>万元，项目支出</w:t>
      </w:r>
      <w:r>
        <w:rPr>
          <w:rFonts w:hint="eastAsia" w:ascii="Times New Roman" w:hAnsi="Times New Roman" w:cs="Times New Roman"/>
          <w:kern w:val="2"/>
          <w:sz w:val="30"/>
          <w:szCs w:val="30"/>
          <w:highlight w:val="none"/>
          <w:lang w:val="en-US" w:eastAsia="zh-CN" w:bidi="ar-SA"/>
        </w:rPr>
        <w:t>13396.72</w:t>
      </w:r>
      <w:r>
        <w:rPr>
          <w:rFonts w:hint="eastAsia" w:ascii="Times New Roman" w:hAnsi="Times New Roman" w:eastAsia="仿宋_GB2312" w:cs="Times New Roman"/>
          <w:kern w:val="2"/>
          <w:sz w:val="30"/>
          <w:szCs w:val="30"/>
          <w:highlight w:val="none"/>
          <w:lang w:val="en-US" w:eastAsia="zh-CN" w:bidi="ar-SA"/>
        </w:rPr>
        <w:t>万元；按支出的经济内容分类，工资福利支出</w:t>
      </w:r>
      <w:r>
        <w:rPr>
          <w:rFonts w:hint="eastAsia" w:ascii="Times New Roman" w:hAnsi="Times New Roman" w:cs="Times New Roman"/>
          <w:kern w:val="2"/>
          <w:sz w:val="30"/>
          <w:szCs w:val="30"/>
          <w:highlight w:val="none"/>
          <w:lang w:val="en-US" w:eastAsia="zh-CN" w:bidi="ar-SA"/>
        </w:rPr>
        <w:t>18047.64</w:t>
      </w:r>
      <w:r>
        <w:rPr>
          <w:rFonts w:hint="eastAsia" w:ascii="Times New Roman" w:hAnsi="Times New Roman" w:eastAsia="仿宋_GB2312" w:cs="Times New Roman"/>
          <w:kern w:val="2"/>
          <w:sz w:val="30"/>
          <w:szCs w:val="30"/>
          <w:highlight w:val="none"/>
          <w:lang w:val="en-US" w:eastAsia="zh-CN" w:bidi="ar-SA"/>
        </w:rPr>
        <w:t>万元、商品和服务支出</w:t>
      </w:r>
      <w:r>
        <w:rPr>
          <w:rFonts w:hint="eastAsia" w:ascii="Times New Roman" w:hAnsi="Times New Roman" w:cs="Times New Roman"/>
          <w:kern w:val="2"/>
          <w:sz w:val="30"/>
          <w:szCs w:val="30"/>
          <w:highlight w:val="none"/>
          <w:lang w:val="en-US" w:eastAsia="zh-CN" w:bidi="ar-SA"/>
        </w:rPr>
        <w:t>4841.72</w:t>
      </w:r>
      <w:r>
        <w:rPr>
          <w:rFonts w:hint="eastAsia" w:ascii="Times New Roman" w:hAnsi="Times New Roman" w:eastAsia="仿宋_GB2312" w:cs="Times New Roman"/>
          <w:kern w:val="2"/>
          <w:sz w:val="30"/>
          <w:szCs w:val="30"/>
          <w:highlight w:val="none"/>
          <w:lang w:val="en-US" w:eastAsia="zh-CN" w:bidi="ar-SA"/>
        </w:rPr>
        <w:t>万元、对个人和家庭的补助支出</w:t>
      </w:r>
      <w:r>
        <w:rPr>
          <w:rFonts w:hint="eastAsia" w:ascii="Times New Roman" w:hAnsi="Times New Roman" w:cs="Times New Roman"/>
          <w:kern w:val="2"/>
          <w:sz w:val="30"/>
          <w:szCs w:val="30"/>
          <w:highlight w:val="none"/>
          <w:lang w:val="en-US" w:eastAsia="zh-CN" w:bidi="ar-SA"/>
        </w:rPr>
        <w:t>5084.96</w:t>
      </w:r>
      <w:r>
        <w:rPr>
          <w:rFonts w:hint="eastAsia" w:ascii="Times New Roman" w:hAnsi="Times New Roman" w:eastAsia="仿宋_GB2312" w:cs="Times New Roman"/>
          <w:kern w:val="2"/>
          <w:sz w:val="30"/>
          <w:szCs w:val="30"/>
          <w:highlight w:val="none"/>
          <w:lang w:val="en-US" w:eastAsia="zh-CN" w:bidi="ar-SA"/>
        </w:rPr>
        <w:t>万元、其他资本性支出</w:t>
      </w:r>
      <w:r>
        <w:rPr>
          <w:rFonts w:hint="eastAsia" w:ascii="Times New Roman" w:hAnsi="Times New Roman" w:cs="Times New Roman"/>
          <w:kern w:val="2"/>
          <w:sz w:val="30"/>
          <w:szCs w:val="30"/>
          <w:highlight w:val="none"/>
          <w:lang w:val="en-US" w:eastAsia="zh-CN" w:bidi="ar-SA"/>
        </w:rPr>
        <w:t>1867.74</w:t>
      </w:r>
      <w:r>
        <w:rPr>
          <w:rFonts w:hint="eastAsia" w:ascii="Times New Roman" w:hAnsi="Times New Roman" w:eastAsia="仿宋_GB2312" w:cs="Times New Roman"/>
          <w:kern w:val="2"/>
          <w:sz w:val="30"/>
          <w:szCs w:val="30"/>
          <w:highlight w:val="none"/>
          <w:lang w:val="en-US" w:eastAsia="zh-CN" w:bidi="ar-SA"/>
        </w:rPr>
        <w:t>万元。</w:t>
      </w:r>
    </w:p>
    <w:p>
      <w:pPr>
        <w:keepNext w:val="0"/>
        <w:keepLines w:val="0"/>
        <w:pageBreakBefore w:val="0"/>
        <w:widowControl/>
        <w:kinsoku/>
        <w:wordWrap/>
        <w:overflowPunct/>
        <w:topLinePunct w:val="0"/>
        <w:bidi w:val="0"/>
        <w:snapToGrid/>
        <w:spacing w:beforeAutospacing="0" w:line="580" w:lineRule="exact"/>
        <w:ind w:firstLine="600" w:firstLineChars="200"/>
        <w:textAlignment w:val="auto"/>
        <w:rPr>
          <w:rFonts w:eastAsia="楷体_GB2312"/>
          <w:sz w:val="30"/>
          <w:szCs w:val="30"/>
        </w:rPr>
      </w:pPr>
      <w:r>
        <w:rPr>
          <w:rFonts w:eastAsia="楷体_GB2312"/>
          <w:sz w:val="30"/>
          <w:szCs w:val="30"/>
        </w:rPr>
        <w:t>（一）基本支出情况</w:t>
      </w:r>
    </w:p>
    <w:p>
      <w:pPr>
        <w:pStyle w:val="13"/>
        <w:keepNext w:val="0"/>
        <w:keepLines w:val="0"/>
        <w:pageBreakBefore w:val="0"/>
        <w:kinsoku/>
        <w:wordWrap/>
        <w:overflowPunct/>
        <w:topLinePunct w:val="0"/>
        <w:autoSpaceDE w:val="0"/>
        <w:bidi w:val="0"/>
        <w:adjustRightInd w:val="0"/>
        <w:snapToGrid/>
        <w:spacing w:beforeAutospacing="0" w:line="580" w:lineRule="exact"/>
        <w:textAlignment w:val="auto"/>
        <w:rPr>
          <w:rFonts w:hint="eastAsia" w:ascii="Times New Roman" w:hAnsi="Times New Roman" w:eastAsia="仿宋_GB2312" w:cs="Times New Roman"/>
          <w:kern w:val="2"/>
          <w:sz w:val="30"/>
          <w:szCs w:val="30"/>
          <w:highlight w:val="none"/>
          <w:lang w:val="en-US" w:eastAsia="zh-CN" w:bidi="ar-SA"/>
        </w:rPr>
      </w:pPr>
      <w:r>
        <w:rPr>
          <w:rFonts w:hint="eastAsia" w:ascii="Times New Roman" w:hAnsi="Times New Roman" w:eastAsia="仿宋_GB2312" w:cs="Times New Roman"/>
          <w:kern w:val="2"/>
          <w:sz w:val="30"/>
          <w:szCs w:val="30"/>
          <w:highlight w:val="none"/>
          <w:lang w:val="en-US" w:eastAsia="zh-CN" w:bidi="ar-SA"/>
        </w:rPr>
        <w:t>基本支出是为保障省本级教育部门正常运转、完成日常工作任务而发生的各项支出，包括用于在职和离退休人员基本工资、津贴补贴等人员经费以及办公费、印刷费、水电费、办公设备购置等日常公用经费。</w:t>
      </w:r>
    </w:p>
    <w:p>
      <w:pPr>
        <w:pStyle w:val="13"/>
        <w:keepNext w:val="0"/>
        <w:keepLines w:val="0"/>
        <w:pageBreakBefore w:val="0"/>
        <w:kinsoku/>
        <w:wordWrap/>
        <w:overflowPunct/>
        <w:topLinePunct w:val="0"/>
        <w:autoSpaceDE w:val="0"/>
        <w:bidi w:val="0"/>
        <w:adjustRightInd w:val="0"/>
        <w:snapToGrid/>
        <w:spacing w:beforeAutospacing="0" w:line="580" w:lineRule="exact"/>
        <w:textAlignment w:val="auto"/>
        <w:rPr>
          <w:rFonts w:hint="default" w:ascii="仿宋" w:hAnsi="仿宋" w:eastAsia="仿宋"/>
          <w:bCs/>
          <w:sz w:val="30"/>
          <w:szCs w:val="30"/>
          <w:highlight w:val="none"/>
          <w:lang w:val="en-US" w:eastAsia="zh-CN"/>
        </w:rPr>
      </w:pPr>
      <w:r>
        <w:rPr>
          <w:rFonts w:hint="eastAsia" w:ascii="Times New Roman" w:hAnsi="Times New Roman" w:eastAsia="仿宋_GB2312" w:cs="Times New Roman"/>
          <w:kern w:val="2"/>
          <w:sz w:val="30"/>
          <w:szCs w:val="30"/>
          <w:highlight w:val="none"/>
          <w:lang w:val="en-US" w:eastAsia="zh-CN" w:bidi="ar-SA"/>
        </w:rPr>
        <w:t>2022年我校一般公共预算基本支出为20425.9万元，其中工资福利支出18047.64万元，占基本支出的89%。对个人和家庭的补助支出908.26万元，占基本支出的4%。商品和服务支出1470万元，占基本支出的7%。</w:t>
      </w:r>
    </w:p>
    <w:p>
      <w:pPr>
        <w:keepNext w:val="0"/>
        <w:keepLines w:val="0"/>
        <w:pageBreakBefore w:val="0"/>
        <w:widowControl/>
        <w:numPr>
          <w:ilvl w:val="0"/>
          <w:numId w:val="3"/>
        </w:numPr>
        <w:kinsoku/>
        <w:wordWrap/>
        <w:overflowPunct/>
        <w:topLinePunct w:val="0"/>
        <w:bidi w:val="0"/>
        <w:snapToGrid/>
        <w:spacing w:beforeAutospacing="0" w:line="580" w:lineRule="exact"/>
        <w:ind w:firstLine="600" w:firstLineChars="200"/>
        <w:textAlignment w:val="auto"/>
        <w:rPr>
          <w:rFonts w:eastAsia="楷体_GB2312"/>
          <w:sz w:val="30"/>
          <w:szCs w:val="30"/>
        </w:rPr>
      </w:pPr>
      <w:r>
        <w:rPr>
          <w:rFonts w:eastAsia="楷体_GB2312"/>
          <w:sz w:val="30"/>
          <w:szCs w:val="30"/>
        </w:rPr>
        <w:t>项目支出情况</w:t>
      </w:r>
    </w:p>
    <w:p>
      <w:pPr>
        <w:pStyle w:val="13"/>
        <w:keepNext w:val="0"/>
        <w:keepLines w:val="0"/>
        <w:pageBreakBefore w:val="0"/>
        <w:kinsoku/>
        <w:wordWrap/>
        <w:overflowPunct/>
        <w:topLinePunct w:val="0"/>
        <w:autoSpaceDE w:val="0"/>
        <w:bidi w:val="0"/>
        <w:adjustRightInd w:val="0"/>
        <w:snapToGrid/>
        <w:spacing w:beforeAutospacing="0" w:line="580" w:lineRule="exact"/>
        <w:ind w:left="0" w:leftChars="0" w:firstLine="600" w:firstLineChars="200"/>
        <w:textAlignment w:val="auto"/>
        <w:rPr>
          <w:rFonts w:hint="eastAsia" w:ascii="仿宋" w:hAnsi="仿宋" w:eastAsia="仿宋"/>
          <w:bCs/>
          <w:sz w:val="30"/>
          <w:szCs w:val="30"/>
          <w:highlight w:val="none"/>
        </w:rPr>
      </w:pPr>
      <w:r>
        <w:rPr>
          <w:rFonts w:hint="eastAsia" w:ascii="仿宋" w:hAnsi="仿宋" w:eastAsia="仿宋"/>
          <w:bCs/>
          <w:sz w:val="30"/>
          <w:szCs w:val="30"/>
          <w:highlight w:val="none"/>
        </w:rPr>
        <w:t>202</w:t>
      </w:r>
      <w:r>
        <w:rPr>
          <w:rFonts w:hint="eastAsia" w:ascii="仿宋" w:hAnsi="仿宋" w:eastAsia="仿宋"/>
          <w:bCs/>
          <w:sz w:val="30"/>
          <w:szCs w:val="30"/>
          <w:highlight w:val="none"/>
          <w:lang w:val="en-US" w:eastAsia="zh-CN"/>
        </w:rPr>
        <w:t>2</w:t>
      </w:r>
      <w:r>
        <w:rPr>
          <w:rFonts w:hint="eastAsia" w:ascii="仿宋" w:hAnsi="仿宋" w:eastAsia="仿宋"/>
          <w:bCs/>
          <w:sz w:val="30"/>
          <w:szCs w:val="30"/>
          <w:highlight w:val="none"/>
        </w:rPr>
        <w:t>年我校一般公共预算项目支出总额</w:t>
      </w:r>
      <w:r>
        <w:rPr>
          <w:rFonts w:hint="eastAsia" w:ascii="仿宋" w:hAnsi="仿宋" w:eastAsia="仿宋"/>
          <w:bCs/>
          <w:sz w:val="30"/>
          <w:szCs w:val="30"/>
          <w:highlight w:val="none"/>
          <w:lang w:val="en-US" w:eastAsia="zh-CN"/>
        </w:rPr>
        <w:t>13396.72</w:t>
      </w:r>
      <w:r>
        <w:rPr>
          <w:rFonts w:hint="eastAsia" w:ascii="仿宋" w:hAnsi="仿宋" w:eastAsia="仿宋"/>
          <w:bCs/>
          <w:sz w:val="30"/>
          <w:szCs w:val="30"/>
          <w:highlight w:val="none"/>
        </w:rPr>
        <w:t>万元。其中一般公共服务支出</w:t>
      </w:r>
      <w:r>
        <w:rPr>
          <w:rFonts w:hint="eastAsia" w:ascii="仿宋" w:hAnsi="仿宋" w:eastAsia="仿宋"/>
          <w:bCs/>
          <w:sz w:val="30"/>
          <w:szCs w:val="30"/>
          <w:highlight w:val="none"/>
          <w:lang w:val="en-US" w:eastAsia="zh-CN"/>
        </w:rPr>
        <w:t>19</w:t>
      </w:r>
      <w:r>
        <w:rPr>
          <w:rFonts w:hint="eastAsia" w:ascii="仿宋" w:hAnsi="仿宋" w:eastAsia="仿宋"/>
          <w:bCs/>
          <w:sz w:val="30"/>
          <w:szCs w:val="30"/>
          <w:highlight w:val="none"/>
        </w:rPr>
        <w:t>万元，占项目支出的</w:t>
      </w:r>
      <w:r>
        <w:rPr>
          <w:rFonts w:hint="eastAsia" w:ascii="仿宋" w:hAnsi="仿宋" w:eastAsia="仿宋"/>
          <w:bCs/>
          <w:sz w:val="30"/>
          <w:szCs w:val="30"/>
          <w:highlight w:val="none"/>
          <w:lang w:val="en-US" w:eastAsia="zh-CN"/>
        </w:rPr>
        <w:t>0.14</w:t>
      </w:r>
      <w:r>
        <w:rPr>
          <w:rFonts w:hint="eastAsia" w:ascii="仿宋" w:hAnsi="仿宋" w:eastAsia="仿宋"/>
          <w:bCs/>
          <w:sz w:val="30"/>
          <w:szCs w:val="30"/>
          <w:highlight w:val="none"/>
        </w:rPr>
        <w:t>%；教育支出</w:t>
      </w:r>
      <w:r>
        <w:rPr>
          <w:rFonts w:hint="eastAsia" w:ascii="仿宋" w:hAnsi="仿宋" w:eastAsia="仿宋"/>
          <w:bCs/>
          <w:sz w:val="30"/>
          <w:szCs w:val="30"/>
          <w:highlight w:val="none"/>
          <w:lang w:val="en-US" w:eastAsia="zh-CN"/>
        </w:rPr>
        <w:t>12982.37万元</w:t>
      </w:r>
      <w:r>
        <w:rPr>
          <w:rFonts w:hint="eastAsia" w:ascii="仿宋" w:hAnsi="仿宋" w:eastAsia="仿宋"/>
          <w:bCs/>
          <w:sz w:val="30"/>
          <w:szCs w:val="30"/>
          <w:highlight w:val="none"/>
        </w:rPr>
        <w:t>，占项目支出的</w:t>
      </w:r>
      <w:r>
        <w:rPr>
          <w:rFonts w:hint="eastAsia" w:ascii="仿宋" w:hAnsi="仿宋" w:eastAsia="仿宋"/>
          <w:bCs/>
          <w:sz w:val="30"/>
          <w:szCs w:val="30"/>
          <w:highlight w:val="none"/>
          <w:lang w:val="en-US" w:eastAsia="zh-CN"/>
        </w:rPr>
        <w:t>96.91</w:t>
      </w:r>
      <w:r>
        <w:rPr>
          <w:rFonts w:hint="eastAsia" w:ascii="仿宋" w:hAnsi="仿宋" w:eastAsia="仿宋"/>
          <w:bCs/>
          <w:sz w:val="30"/>
          <w:szCs w:val="30"/>
          <w:highlight w:val="none"/>
        </w:rPr>
        <w:t>%；科学技术支出</w:t>
      </w:r>
      <w:r>
        <w:rPr>
          <w:rFonts w:hint="eastAsia" w:ascii="仿宋" w:hAnsi="仿宋" w:eastAsia="仿宋"/>
          <w:bCs/>
          <w:sz w:val="30"/>
          <w:szCs w:val="30"/>
          <w:highlight w:val="none"/>
          <w:lang w:val="en-US" w:eastAsia="zh-CN"/>
        </w:rPr>
        <w:t>346.87万元</w:t>
      </w:r>
      <w:r>
        <w:rPr>
          <w:rFonts w:hint="eastAsia" w:ascii="仿宋" w:hAnsi="仿宋" w:eastAsia="仿宋"/>
          <w:bCs/>
          <w:sz w:val="30"/>
          <w:szCs w:val="30"/>
          <w:highlight w:val="none"/>
        </w:rPr>
        <w:t>，占项目支出</w:t>
      </w:r>
      <w:r>
        <w:rPr>
          <w:rFonts w:hint="eastAsia" w:ascii="仿宋" w:hAnsi="仿宋" w:eastAsia="仿宋"/>
          <w:bCs/>
          <w:sz w:val="30"/>
          <w:szCs w:val="30"/>
          <w:highlight w:val="none"/>
          <w:lang w:val="en-US" w:eastAsia="zh-CN"/>
        </w:rPr>
        <w:t>2.59</w:t>
      </w:r>
      <w:r>
        <w:rPr>
          <w:rFonts w:hint="eastAsia" w:ascii="仿宋" w:hAnsi="仿宋" w:eastAsia="仿宋"/>
          <w:bCs/>
          <w:sz w:val="30"/>
          <w:szCs w:val="30"/>
          <w:highlight w:val="none"/>
        </w:rPr>
        <w:t>%；</w:t>
      </w:r>
      <w:r>
        <w:rPr>
          <w:rFonts w:hint="eastAsia" w:ascii="仿宋" w:hAnsi="仿宋" w:eastAsia="仿宋"/>
          <w:bCs/>
          <w:sz w:val="30"/>
          <w:szCs w:val="30"/>
          <w:highlight w:val="none"/>
          <w:lang w:eastAsia="zh-CN"/>
        </w:rPr>
        <w:t>社会保障和</w:t>
      </w:r>
      <w:r>
        <w:rPr>
          <w:rFonts w:hint="eastAsia" w:ascii="仿宋" w:hAnsi="仿宋" w:eastAsia="仿宋"/>
          <w:bCs/>
          <w:sz w:val="30"/>
          <w:szCs w:val="30"/>
          <w:highlight w:val="none"/>
        </w:rPr>
        <w:t>就业支出</w:t>
      </w:r>
      <w:r>
        <w:rPr>
          <w:rFonts w:hint="eastAsia" w:ascii="仿宋" w:hAnsi="仿宋" w:eastAsia="仿宋"/>
          <w:bCs/>
          <w:sz w:val="30"/>
          <w:szCs w:val="30"/>
          <w:highlight w:val="none"/>
          <w:lang w:val="en-US" w:eastAsia="zh-CN"/>
        </w:rPr>
        <w:t>47.68</w:t>
      </w:r>
      <w:r>
        <w:rPr>
          <w:rFonts w:hint="eastAsia" w:ascii="仿宋" w:hAnsi="仿宋" w:eastAsia="仿宋"/>
          <w:bCs/>
          <w:sz w:val="30"/>
          <w:szCs w:val="30"/>
          <w:highlight w:val="none"/>
        </w:rPr>
        <w:t>万元</w:t>
      </w:r>
      <w:r>
        <w:rPr>
          <w:rFonts w:hint="eastAsia" w:ascii="仿宋" w:hAnsi="仿宋" w:eastAsia="仿宋"/>
          <w:bCs/>
          <w:sz w:val="30"/>
          <w:szCs w:val="30"/>
          <w:highlight w:val="none"/>
          <w:lang w:eastAsia="zh-CN"/>
        </w:rPr>
        <w:t>，</w:t>
      </w:r>
      <w:r>
        <w:rPr>
          <w:rFonts w:hint="eastAsia" w:ascii="仿宋" w:hAnsi="仿宋" w:eastAsia="仿宋"/>
          <w:bCs/>
          <w:sz w:val="30"/>
          <w:szCs w:val="30"/>
          <w:highlight w:val="none"/>
        </w:rPr>
        <w:t>占项目支出0.</w:t>
      </w:r>
      <w:r>
        <w:rPr>
          <w:rFonts w:hint="eastAsia" w:ascii="仿宋" w:hAnsi="仿宋" w:eastAsia="仿宋"/>
          <w:bCs/>
          <w:sz w:val="30"/>
          <w:szCs w:val="30"/>
          <w:highlight w:val="none"/>
          <w:lang w:val="en-US" w:eastAsia="zh-CN"/>
        </w:rPr>
        <w:t>36</w:t>
      </w:r>
      <w:r>
        <w:rPr>
          <w:rFonts w:hint="eastAsia" w:ascii="仿宋" w:hAnsi="仿宋" w:eastAsia="仿宋"/>
          <w:bCs/>
          <w:sz w:val="30"/>
          <w:szCs w:val="30"/>
          <w:highlight w:val="none"/>
        </w:rPr>
        <w:t>%。</w:t>
      </w:r>
    </w:p>
    <w:p>
      <w:pPr>
        <w:keepNext w:val="0"/>
        <w:keepLines w:val="0"/>
        <w:pageBreakBefore w:val="0"/>
        <w:widowControl/>
        <w:numPr>
          <w:ilvl w:val="0"/>
          <w:numId w:val="0"/>
        </w:numPr>
        <w:kinsoku/>
        <w:wordWrap/>
        <w:overflowPunct/>
        <w:topLinePunct w:val="0"/>
        <w:bidi w:val="0"/>
        <w:snapToGrid/>
        <w:spacing w:beforeAutospacing="0" w:line="580" w:lineRule="exact"/>
        <w:ind w:leftChars="200"/>
        <w:jc w:val="left"/>
        <w:textAlignment w:val="auto"/>
        <w:rPr>
          <w:rFonts w:eastAsia="黑体"/>
          <w:sz w:val="30"/>
          <w:szCs w:val="30"/>
        </w:rPr>
      </w:pPr>
      <w:r>
        <w:rPr>
          <w:rFonts w:hint="eastAsia" w:eastAsia="黑体"/>
          <w:sz w:val="30"/>
          <w:szCs w:val="30"/>
          <w:lang w:eastAsia="zh-CN"/>
        </w:rPr>
        <w:t>三、</w:t>
      </w:r>
      <w:r>
        <w:rPr>
          <w:rFonts w:eastAsia="黑体"/>
          <w:sz w:val="30"/>
          <w:szCs w:val="30"/>
        </w:rPr>
        <w:t>政府性基金预算支出情况</w:t>
      </w:r>
    </w:p>
    <w:p>
      <w:pPr>
        <w:pStyle w:val="2"/>
        <w:keepNext w:val="0"/>
        <w:keepLines w:val="0"/>
        <w:pageBreakBefore w:val="0"/>
        <w:numPr>
          <w:ilvl w:val="0"/>
          <w:numId w:val="0"/>
        </w:numPr>
        <w:kinsoku/>
        <w:wordWrap/>
        <w:overflowPunct/>
        <w:topLinePunct w:val="0"/>
        <w:bidi w:val="0"/>
        <w:snapToGrid/>
        <w:spacing w:before="0" w:beforeAutospacing="0" w:line="580" w:lineRule="exact"/>
        <w:ind w:leftChars="200"/>
        <w:textAlignment w:val="auto"/>
        <w:rPr>
          <w:rFonts w:hint="eastAsia" w:ascii="Calibri" w:hAnsi="Calibri" w:eastAsia="仿宋_GB2312" w:cs="Times New Roman"/>
          <w:kern w:val="2"/>
          <w:sz w:val="30"/>
          <w:szCs w:val="30"/>
          <w:lang w:val="en-US" w:eastAsia="zh-CN" w:bidi="ar-SA"/>
        </w:rPr>
      </w:pPr>
      <w:r>
        <w:rPr>
          <w:rFonts w:hint="eastAsia" w:ascii="Calibri" w:hAnsi="Calibri" w:eastAsia="仿宋_GB2312" w:cs="Times New Roman"/>
          <w:kern w:val="2"/>
          <w:sz w:val="30"/>
          <w:szCs w:val="30"/>
          <w:lang w:val="en-US" w:eastAsia="zh-CN" w:bidi="ar-SA"/>
        </w:rPr>
        <w:t>无</w:t>
      </w:r>
    </w:p>
    <w:p>
      <w:pPr>
        <w:keepNext w:val="0"/>
        <w:keepLines w:val="0"/>
        <w:pageBreakBefore w:val="0"/>
        <w:widowControl/>
        <w:numPr>
          <w:ilvl w:val="0"/>
          <w:numId w:val="0"/>
        </w:numPr>
        <w:kinsoku/>
        <w:wordWrap/>
        <w:overflowPunct/>
        <w:topLinePunct w:val="0"/>
        <w:bidi w:val="0"/>
        <w:snapToGrid/>
        <w:spacing w:beforeAutospacing="0" w:line="580" w:lineRule="exact"/>
        <w:ind w:firstLine="600" w:firstLineChars="200"/>
        <w:jc w:val="left"/>
        <w:textAlignment w:val="auto"/>
        <w:rPr>
          <w:rFonts w:eastAsia="黑体"/>
          <w:sz w:val="30"/>
          <w:szCs w:val="30"/>
        </w:rPr>
      </w:pPr>
      <w:r>
        <w:rPr>
          <w:rFonts w:hint="eastAsia" w:eastAsia="黑体"/>
          <w:sz w:val="30"/>
          <w:szCs w:val="30"/>
          <w:lang w:eastAsia="zh-CN"/>
        </w:rPr>
        <w:t>四、</w:t>
      </w:r>
      <w:r>
        <w:rPr>
          <w:rFonts w:eastAsia="黑体"/>
          <w:sz w:val="30"/>
          <w:szCs w:val="30"/>
        </w:rPr>
        <w:t>国有资本经营预算支出情况</w:t>
      </w:r>
    </w:p>
    <w:p>
      <w:pPr>
        <w:pStyle w:val="2"/>
        <w:keepNext w:val="0"/>
        <w:keepLines w:val="0"/>
        <w:pageBreakBefore w:val="0"/>
        <w:numPr>
          <w:ilvl w:val="0"/>
          <w:numId w:val="0"/>
        </w:numPr>
        <w:kinsoku/>
        <w:wordWrap/>
        <w:overflowPunct/>
        <w:topLinePunct w:val="0"/>
        <w:bidi w:val="0"/>
        <w:snapToGrid/>
        <w:spacing w:before="0" w:beforeAutospacing="0" w:line="580" w:lineRule="exact"/>
        <w:ind w:leftChars="200"/>
        <w:textAlignment w:val="auto"/>
        <w:rPr>
          <w:rFonts w:hint="eastAsia" w:ascii="Calibri" w:hAnsi="Calibri" w:eastAsia="仿宋_GB2312" w:cs="Times New Roman"/>
          <w:kern w:val="2"/>
          <w:sz w:val="30"/>
          <w:szCs w:val="30"/>
          <w:lang w:val="en-US" w:eastAsia="zh-CN" w:bidi="ar-SA"/>
        </w:rPr>
      </w:pPr>
      <w:r>
        <w:rPr>
          <w:rFonts w:hint="eastAsia" w:ascii="Calibri" w:hAnsi="Calibri" w:eastAsia="仿宋_GB2312" w:cs="Times New Roman"/>
          <w:kern w:val="2"/>
          <w:sz w:val="30"/>
          <w:szCs w:val="30"/>
          <w:lang w:val="en-US" w:eastAsia="zh-CN" w:bidi="ar-SA"/>
        </w:rPr>
        <w:t>无</w:t>
      </w:r>
    </w:p>
    <w:p>
      <w:pPr>
        <w:keepNext w:val="0"/>
        <w:keepLines w:val="0"/>
        <w:pageBreakBefore w:val="0"/>
        <w:widowControl/>
        <w:numPr>
          <w:ilvl w:val="0"/>
          <w:numId w:val="0"/>
        </w:numPr>
        <w:kinsoku/>
        <w:wordWrap/>
        <w:overflowPunct/>
        <w:topLinePunct w:val="0"/>
        <w:bidi w:val="0"/>
        <w:snapToGrid/>
        <w:spacing w:beforeAutospacing="0" w:line="580" w:lineRule="exact"/>
        <w:ind w:firstLine="600" w:firstLineChars="200"/>
        <w:jc w:val="left"/>
        <w:textAlignment w:val="auto"/>
        <w:rPr>
          <w:rFonts w:eastAsia="黑体"/>
          <w:sz w:val="30"/>
          <w:szCs w:val="30"/>
        </w:rPr>
      </w:pPr>
      <w:r>
        <w:rPr>
          <w:rFonts w:hint="eastAsia" w:eastAsia="黑体"/>
          <w:sz w:val="30"/>
          <w:szCs w:val="30"/>
          <w:lang w:eastAsia="zh-CN"/>
        </w:rPr>
        <w:t>五、</w:t>
      </w:r>
      <w:r>
        <w:rPr>
          <w:rFonts w:eastAsia="黑体"/>
          <w:sz w:val="30"/>
          <w:szCs w:val="30"/>
        </w:rPr>
        <w:t>社会保险基金预算支出情况</w:t>
      </w:r>
    </w:p>
    <w:p>
      <w:pPr>
        <w:pStyle w:val="2"/>
        <w:keepNext w:val="0"/>
        <w:keepLines w:val="0"/>
        <w:pageBreakBefore w:val="0"/>
        <w:numPr>
          <w:ilvl w:val="0"/>
          <w:numId w:val="0"/>
        </w:numPr>
        <w:kinsoku/>
        <w:wordWrap/>
        <w:overflowPunct/>
        <w:topLinePunct w:val="0"/>
        <w:bidi w:val="0"/>
        <w:snapToGrid/>
        <w:spacing w:before="0" w:beforeAutospacing="0" w:line="580" w:lineRule="exact"/>
        <w:ind w:leftChars="200"/>
        <w:textAlignment w:val="auto"/>
        <w:rPr>
          <w:rFonts w:hint="eastAsia" w:ascii="Calibri" w:hAnsi="Calibri" w:eastAsia="仿宋_GB2312" w:cs="Times New Roman"/>
          <w:kern w:val="2"/>
          <w:sz w:val="30"/>
          <w:szCs w:val="30"/>
          <w:lang w:val="en-US" w:eastAsia="zh-CN" w:bidi="ar-SA"/>
        </w:rPr>
      </w:pPr>
      <w:r>
        <w:rPr>
          <w:rFonts w:hint="eastAsia" w:ascii="Calibri" w:hAnsi="Calibri" w:eastAsia="仿宋_GB2312" w:cs="Times New Roman"/>
          <w:kern w:val="2"/>
          <w:sz w:val="30"/>
          <w:szCs w:val="30"/>
          <w:lang w:val="en-US" w:eastAsia="zh-CN" w:bidi="ar-SA"/>
        </w:rPr>
        <w:t>无</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eastAsia="黑体"/>
          <w:sz w:val="30"/>
          <w:szCs w:val="30"/>
        </w:rPr>
      </w:pPr>
      <w:r>
        <w:rPr>
          <w:rFonts w:eastAsia="黑体"/>
          <w:sz w:val="30"/>
          <w:szCs w:val="30"/>
        </w:rPr>
        <w:t>六、单位整体支出绩效情况</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default" w:eastAsia="仿宋_GB2312"/>
          <w:sz w:val="30"/>
          <w:szCs w:val="30"/>
          <w:lang w:val="en-US" w:eastAsia="zh-CN"/>
        </w:rPr>
      </w:pPr>
      <w:r>
        <w:rPr>
          <w:rFonts w:hint="eastAsia" w:eastAsia="仿宋_GB2312"/>
          <w:sz w:val="30"/>
          <w:szCs w:val="30"/>
        </w:rPr>
        <w:t>2022 年</w:t>
      </w:r>
      <w:r>
        <w:rPr>
          <w:rFonts w:hint="eastAsia" w:eastAsia="仿宋_GB2312"/>
          <w:sz w:val="30"/>
          <w:szCs w:val="30"/>
          <w:lang w:eastAsia="zh-CN"/>
        </w:rPr>
        <w:t>，</w:t>
      </w:r>
      <w:r>
        <w:rPr>
          <w:rFonts w:hint="eastAsia" w:eastAsia="仿宋_GB2312"/>
          <w:sz w:val="30"/>
          <w:szCs w:val="30"/>
        </w:rPr>
        <w:t>在省委省政府的正确领导下，在省委教育工委、 省教育厅的关心指导下，学校团结带领全体师生员工，坚持以习近平新时代中国特色社会主义思想为指导，深入学习贯彻党的二十大精神，全面贯彻党的教育方针，落实立德树人根本任务，坚持稳中求进的工作总基调，攻坚克难，狠抓落实，学校各项工作取得新成效。</w:t>
      </w:r>
    </w:p>
    <w:p>
      <w:pPr>
        <w:keepNext w:val="0"/>
        <w:keepLines w:val="0"/>
        <w:pageBreakBefore w:val="0"/>
        <w:widowControl/>
        <w:suppressLineNumbers w:val="0"/>
        <w:kinsoku/>
        <w:wordWrap/>
        <w:overflowPunct/>
        <w:topLinePunct w:val="0"/>
        <w:bidi w:val="0"/>
        <w:snapToGrid/>
        <w:spacing w:beforeAutospacing="0" w:line="580" w:lineRule="exact"/>
        <w:ind w:firstLine="623"/>
        <w:jc w:val="left"/>
        <w:textAlignment w:val="auto"/>
        <w:rPr>
          <w:rFonts w:hint="eastAsia" w:ascii="仿宋" w:hAnsi="仿宋" w:eastAsia="仿宋"/>
          <w:b/>
          <w:sz w:val="30"/>
          <w:szCs w:val="30"/>
          <w:highlight w:val="none"/>
        </w:rPr>
      </w:pPr>
      <w:r>
        <w:rPr>
          <w:rFonts w:hint="eastAsia" w:ascii="仿宋" w:hAnsi="仿宋" w:eastAsia="仿宋"/>
          <w:b/>
          <w:sz w:val="30"/>
          <w:szCs w:val="30"/>
          <w:highlight w:val="none"/>
        </w:rPr>
        <w:t>（一）单位整体支出情况</w:t>
      </w:r>
    </w:p>
    <w:p>
      <w:pPr>
        <w:pStyle w:val="13"/>
        <w:keepNext w:val="0"/>
        <w:keepLines w:val="0"/>
        <w:pageBreakBefore w:val="0"/>
        <w:kinsoku/>
        <w:wordWrap/>
        <w:overflowPunct/>
        <w:topLinePunct w:val="0"/>
        <w:autoSpaceDE w:val="0"/>
        <w:bidi w:val="0"/>
        <w:adjustRightInd w:val="0"/>
        <w:snapToGrid/>
        <w:spacing w:beforeAutospacing="0" w:line="580" w:lineRule="exact"/>
        <w:ind w:firstLine="576"/>
        <w:textAlignment w:val="auto"/>
        <w:rPr>
          <w:rFonts w:hint="eastAsia" w:ascii="Times New Roman" w:hAnsi="Times New Roman" w:eastAsia="仿宋_GB2312" w:cs="Times New Roman"/>
          <w:kern w:val="2"/>
          <w:sz w:val="30"/>
          <w:szCs w:val="30"/>
          <w:highlight w:val="none"/>
          <w:lang w:val="en-US" w:eastAsia="zh-CN" w:bidi="ar-SA"/>
        </w:rPr>
      </w:pPr>
      <w:r>
        <w:rPr>
          <w:rFonts w:hint="eastAsia" w:ascii="Times New Roman" w:hAnsi="Times New Roman" w:eastAsia="仿宋_GB2312" w:cs="Times New Roman"/>
          <w:kern w:val="2"/>
          <w:sz w:val="30"/>
          <w:szCs w:val="30"/>
          <w:highlight w:val="none"/>
          <w:lang w:val="en-US" w:eastAsia="zh-CN" w:bidi="ar-SA"/>
        </w:rPr>
        <w:t>2022年我校总支出为81184.10万元。按支出性质分类，基本支出43575.50万元，项目支出37608.60万元；按支出的经济内容分类，工资福利支出29053.93万元、商品和服务支出30182.75万元、对个人和家庭的补助支出8211.43万元、资本性支出13736.00万元。</w:t>
      </w:r>
    </w:p>
    <w:p>
      <w:pPr>
        <w:pStyle w:val="13"/>
        <w:keepNext w:val="0"/>
        <w:keepLines w:val="0"/>
        <w:pageBreakBefore w:val="0"/>
        <w:kinsoku/>
        <w:wordWrap/>
        <w:overflowPunct/>
        <w:topLinePunct w:val="0"/>
        <w:autoSpaceDE w:val="0"/>
        <w:bidi w:val="0"/>
        <w:adjustRightInd w:val="0"/>
        <w:snapToGrid/>
        <w:spacing w:beforeAutospacing="0" w:line="580" w:lineRule="exact"/>
        <w:ind w:firstLine="576"/>
        <w:textAlignment w:val="auto"/>
        <w:rPr>
          <w:rFonts w:hint="eastAsia" w:ascii="Times New Roman" w:hAnsi="Times New Roman" w:eastAsia="仿宋_GB2312" w:cs="Times New Roman"/>
          <w:kern w:val="2"/>
          <w:sz w:val="30"/>
          <w:szCs w:val="30"/>
          <w:highlight w:val="none"/>
          <w:lang w:val="en-US" w:eastAsia="zh-CN" w:bidi="ar-SA"/>
        </w:rPr>
      </w:pPr>
      <w:r>
        <w:rPr>
          <w:rFonts w:hint="eastAsia" w:ascii="Times New Roman" w:hAnsi="Times New Roman" w:eastAsia="仿宋_GB2312" w:cs="Times New Roman"/>
          <w:kern w:val="2"/>
          <w:sz w:val="30"/>
          <w:szCs w:val="30"/>
          <w:highlight w:val="none"/>
          <w:lang w:val="en-US" w:eastAsia="zh-CN" w:bidi="ar-SA"/>
        </w:rPr>
        <w:t xml:space="preserve"> “三公”经费支出50.45万元，其中公务接待费4.76万元、公务用车运行维护费45.69万元，因公出国费0万元。在保证学校正常需求的运转下，比2021年三公经费支出的68.02万元减少了17.57万元，整体呈下降趋势。我校严格控制行政办公费、差旅费、培训费、会议费。培训费中无计划外举办培训班，无超范围和开支标准列支培训费，无虚报和未经规定程序报销培训费，无转嫁、摊派培训培训费用和向参训人员乱收费等问题。</w:t>
      </w:r>
    </w:p>
    <w:p>
      <w:pPr>
        <w:pStyle w:val="13"/>
        <w:keepNext w:val="0"/>
        <w:keepLines w:val="0"/>
        <w:pageBreakBefore w:val="0"/>
        <w:kinsoku/>
        <w:wordWrap/>
        <w:overflowPunct/>
        <w:topLinePunct w:val="0"/>
        <w:autoSpaceDE w:val="0"/>
        <w:bidi w:val="0"/>
        <w:adjustRightInd w:val="0"/>
        <w:snapToGrid/>
        <w:spacing w:beforeAutospacing="0" w:line="580" w:lineRule="exact"/>
        <w:ind w:firstLine="576"/>
        <w:textAlignment w:val="auto"/>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（二）管理效率及履职绩效</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1.“四大攻坚战”稳步推进</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将巡视整改、承办省大运会、改办大学、博士学位授予单位建设等四项工作作为学校年度 “四大攻坚战”，强力推进，狠抓落实。</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高站位抓巡视整改工作。坚持将巡视整改作为一项重要的政治任务，持续抓整改工作，并持续推动了意识形态、选人用人、机构编制的整改工作。省委巡视办对巡视整改情况进行了现场抽查评估，认为“学校党委认真落实省委巡视反馈意见，精心研究部署，推动巡视整改工作全面落实”，巡视整改工作评定结果为“好”。</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高标准承办好省大运会。坚持“当好东道主、赛出好成绩、喜迎二十大”目标，做好疫情防控、赛事组织、赛事训练、接待联络、宣传推广、志愿服务、服务保障等工作，成功承办了省第十二届大学生运动会、协办了省第十四届运动会，全省105所高校、669支代表队、共计1万余人参会，人数之多、规模之大、反响之好创历史之最。大运会的承办，充分提振了师生员工的精气神，检验了学校管理服务水平，展示了学校近年来的办学成果。</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3）积极推进更名大学工作。继续加强了与教育部、省委省政府、省教育厅和岳阳市委市政府的沟通联系和对接，改办大学工作稳步推进，各项数据指标全面达标，岳阳学院项目于8月18日全面动工建设，独立学院转设工作进入实质性阶段。</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4）稳步开展博士学位授予单位建设工作。博士学位授予单位建设的八项基本指标，包括人才培养、师资队伍、学科平台、科学研究、服务地方经济建设等核心指标，均已达到要求。化学工程与技术、信息与通信工程学科获批湖南省“十四”重点建设学科，化学工程与技术、信息与通信工程学科、中国语言文学等 3个“十三五”湖南省新增博士学位授予建设学科的各项指标均已达到或超过基本申报条件。</w:t>
      </w: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2.党建思政工作持续加强</w:t>
      </w: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坚持用习近平新时代中国特色社会主义思想武装头脑、指导实践，深刻认识到“两个确立”的决定性意义，不断增强“四个意识”，坚定 “四个自信”，做到“两个维护”，以高质量党建工作引领学校事业高质量发展。</w:t>
      </w:r>
    </w:p>
    <w:p>
      <w:pPr>
        <w:pStyle w:val="2"/>
        <w:keepNext w:val="0"/>
        <w:keepLines w:val="0"/>
        <w:pageBreakBefore w:val="0"/>
        <w:numPr>
          <w:ilvl w:val="0"/>
          <w:numId w:val="4"/>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理论学习年”活动深入开展。学校党委将2022年确定为“理论学习年”，系统开展了理论学习示范组创建、理论笔谈、支部书记微党课比赛、大学生思想政治教育优秀育人案例征集评选等8项活动。严格落实党委会“第一议题”制度和中心组学习制度，坚持“上下同题”“上下同步”，组织集中(或扩大)学习18次。认真做好迎接党的二十大并及时部署党的二十大精神学习宣传贯彻工作，成立了全省高校首个党的创新理论巾帼讲师团，开展各类宣讲近20场次。</w:t>
      </w:r>
    </w:p>
    <w:p>
      <w:pPr>
        <w:pStyle w:val="2"/>
        <w:keepNext w:val="0"/>
        <w:keepLines w:val="0"/>
        <w:pageBreakBefore w:val="0"/>
        <w:numPr>
          <w:ilvl w:val="0"/>
          <w:numId w:val="4"/>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基层党建工作扎实有效。认真贯彻落实基层党组织整建提质要求，完成了全校党支部换届选举工作，持续实施党建“三项工程”，推进党支部“五化”建设，机关一总支学工团委党支部顺利通过全国第二批党建工作“样板支部”验收，土建学院学生第二党支部、信息学院教师第二党支部获评全国第三批高校党建工作“样板支部”培育创建单位。做好党员发展和培训工作，全年发展党员781名。《发挥地方高校资源优势“四大工程”助力乡村振兴》获评全省精准帮扶典型项目，并作为全省重点案例推荐至教育部。</w:t>
      </w:r>
    </w:p>
    <w:p>
      <w:pPr>
        <w:pStyle w:val="2"/>
        <w:keepNext w:val="0"/>
        <w:keepLines w:val="0"/>
        <w:pageBreakBefore w:val="0"/>
        <w:numPr>
          <w:ilvl w:val="0"/>
          <w:numId w:val="4"/>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干部队伍建设持续加强。多措并举抓好干部教育培训，与省教育工委党校联合举办了省高等学校第133期处级干部培训班，对80名处级干部进行了培训，完成了上级各类调训任务16人次；出台了《湖南理工学院党员档案管理办法(试行)》，对全校副科级以上干部人事档案进行了专审，档案管理硬件设施焕然一新；不断加强干部日常监督管理，认真完成了上年度领导干部个人有关事项报告填报和抽查核实工作，如实报告率达100%。</w:t>
      </w:r>
    </w:p>
    <w:p>
      <w:pPr>
        <w:pStyle w:val="2"/>
        <w:keepNext w:val="0"/>
        <w:keepLines w:val="0"/>
        <w:pageBreakBefore w:val="0"/>
        <w:numPr>
          <w:ilvl w:val="0"/>
          <w:numId w:val="4"/>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意识形态工作责任制不断落实。修订、出台了《中共湖南理工学院委员会意识形态工作责任制实施细则(修订)》《中共湖南理工学院委员会意识形态工作责任制主体责任清单、任务清单和制度清单》等9项制度，严格加强课堂主阵地管理和教材管理，加强了网络意识形态工作。聚焦学校高质量发展抓好内涵宣传和重点宣传，全年在省级以上媒体发稿近400篇，展示了学校良好办学形象和师生进取风貌。</w:t>
      </w:r>
    </w:p>
    <w:p>
      <w:pPr>
        <w:pStyle w:val="2"/>
        <w:keepNext w:val="0"/>
        <w:keepLines w:val="0"/>
        <w:pageBreakBefore w:val="0"/>
        <w:numPr>
          <w:ilvl w:val="0"/>
          <w:numId w:val="4"/>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全面从严治党向纵深推进。深入推进清廉学校建设，加强对 “一把手”及领导班子监督。继续实施并加强了重点领域和关键环节监督管理，全年共受理监督报备事项192项。严肃执纪问责，全年共受理信访举报件12件，其中初核7件， 立案 4人次，给予政务处分1人次，组织处理13人次。加强巡视巡察上下联动、巡视巡察整改和成果运用，对校内9个单位开展校内常规巡察。组建巡察干部人才库，首批入库人才共46人，其中组长库14人，专业人员库32人。</w:t>
      </w:r>
    </w:p>
    <w:p>
      <w:pPr>
        <w:pStyle w:val="2"/>
        <w:keepNext w:val="0"/>
        <w:keepLines w:val="0"/>
        <w:pageBreakBefore w:val="0"/>
        <w:numPr>
          <w:ilvl w:val="0"/>
          <w:numId w:val="4"/>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统战和共青团等工作不断加强。加强党外人士队伍建设，加强了抵御和防范校园宗教渗透工作。服务青年成长成才，办好业余团校、“青马工程”、理论微宣讲比赛等活动，学校再次获评全国和湖南省大中专暑期“三下乡”社会实践优秀单位，获省共青团改革创新大赛银奖 (全国第三)，机械学院氢能技术研究团队获评第19届“湖南青年五四奖章(集体)”。积极创建全国文明校园，大力弘扬和践行社会主义核心价值观，学校获评“全国无偿献血促进奖”。</w:t>
      </w:r>
    </w:p>
    <w:p>
      <w:pPr>
        <w:pStyle w:val="2"/>
        <w:keepNext w:val="0"/>
        <w:keepLines w:val="0"/>
        <w:pageBreakBefore w:val="0"/>
        <w:numPr>
          <w:ilvl w:val="0"/>
          <w:numId w:val="0"/>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3.人才培养质量不断提升</w:t>
      </w:r>
    </w:p>
    <w:p>
      <w:pPr>
        <w:pStyle w:val="2"/>
        <w:keepNext w:val="0"/>
        <w:keepLines w:val="0"/>
        <w:pageBreakBefore w:val="0"/>
        <w:numPr>
          <w:ilvl w:val="0"/>
          <w:numId w:val="0"/>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认真贯彻落实习近平总书记关于教育的重要论述，坚守为党育人、为国育才的初心使命，落实立德树人根本任务，着力培养德智体美劳全面发展的社会主义建设者和接班人。</w:t>
      </w:r>
    </w:p>
    <w:p>
      <w:pPr>
        <w:pStyle w:val="2"/>
        <w:keepNext w:val="0"/>
        <w:keepLines w:val="0"/>
        <w:pageBreakBefore w:val="0"/>
        <w:numPr>
          <w:ilvl w:val="0"/>
          <w:numId w:val="5"/>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立德树人工作扎实开展。进一步推进“三全育人”综合改革试点高校建设工作，《用党的创新理论铸魂育人“三维机制”的探索与实践》获省级教学成果奖一等奖，学校获省高校思想政治教育项目2项、省思想政治理论课教研专项项目1项。进一步加强了辅导员队伍、班主任队伍建设，出台辅导员考核办法、班主任工作条例等，完成事业编辅导员招录11人；师生获评全国最美辅导员提名奖、湖南省“最美辅导员”、湖南省“最美大学生”、中国青年志愿者优秀个人奖、中国大学生自强之星等。深入开展网络思想政治教育工作，学校顺利通过湖南省第二批易班建设高校项目验收。建设较高标准的心理健康教育中心，学校获评2022年“湖南省高校心理健康教育先进单位”。武装征兵工作稳步推进，实现走兵101人，其中毕业生70人。</w:t>
      </w:r>
    </w:p>
    <w:p>
      <w:pPr>
        <w:pStyle w:val="2"/>
        <w:keepNext w:val="0"/>
        <w:keepLines w:val="0"/>
        <w:pageBreakBefore w:val="0"/>
        <w:numPr>
          <w:ilvl w:val="0"/>
          <w:numId w:val="5"/>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专业课程建设不断加强。深入推进教育评价综合改革，坚持“以本为本”，加强专业内涵建设，获批国家级一流本科专业建设点4个，省级一流本科专业建设点2个，学校国家级和省级一流本科专业建设点分别达到12个、14个，省级以上一流本科专业建设点占所有专业数50%以上，实现了教学院、专业大类全覆盖。化学工程与工艺专业成功通过工程教育专业认证，电子信息工程专业完成了认证自评、机械设计制造及其自动化专业获得认证受理。31门在线开放课程上线国家智慧教学平台，上线课程数量居省内同层次高校前列。作为第一完成单位申报的省级教学成果奖立项7项。</w:t>
      </w:r>
    </w:p>
    <w:p>
      <w:pPr>
        <w:pStyle w:val="2"/>
        <w:keepNext w:val="0"/>
        <w:keepLines w:val="0"/>
        <w:pageBreakBefore w:val="0"/>
        <w:numPr>
          <w:ilvl w:val="0"/>
          <w:numId w:val="5"/>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本科教育教学成效明显。成功召开2022年本科教学工作大会，掀起高度重视本科教学热潮。加强实践教育，与近20家企业签订了实践教育基地协议。搭建“校政校”教育实习基地模式，明确了岳阳地区 50所中学作为我校重点建设和合作的教育实习基地。学生学科竞赛成果喜人，获省级及以上竞赛奖346项，其中国家级I类竞赛获奖88项。教师教学能力不断提升，在全省教学创新大赛、课堂教学竞赛、课程思政竞赛、信息化教学竞赛四大I类教学竞赛中获一等奖4项、二等奖6 项、三等奖9项，学校荣获“优秀组织奖”；1个团队在2022年高等学校(本科)外语课程思政优秀教学案例全国交流活动中荣获英语专业组特等奖，在湖南省获特等奖的5所高校中排名第一。</w:t>
      </w:r>
    </w:p>
    <w:p>
      <w:pPr>
        <w:pStyle w:val="2"/>
        <w:keepNext w:val="0"/>
        <w:keepLines w:val="0"/>
        <w:pageBreakBefore w:val="0"/>
        <w:numPr>
          <w:ilvl w:val="0"/>
          <w:numId w:val="5"/>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招生就业工作持续加强。生源质量稳步提升，录取新生 5800 人，其中校本部 4120 人，南湖学院 1680 人，录取分数线逐年提高。积极推进书记校长访企拓岗促就业专项行动、在留岳就业活动、校友专场空中双选会，精准开展就业帮扶，一次性获批教育部就业育人项目 27 个，位列全省高校第 3 位。 本科生初次就业去向落实率为 89.79%，超过全省平均水平 3.75%；研究生初次就业去向落实率为 94.46%，超过全省平均水平2.83%。</w:t>
      </w:r>
    </w:p>
    <w:p>
      <w:pPr>
        <w:pStyle w:val="2"/>
        <w:keepNext w:val="0"/>
        <w:keepLines w:val="0"/>
        <w:pageBreakBefore w:val="0"/>
        <w:numPr>
          <w:ilvl w:val="0"/>
          <w:numId w:val="5"/>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师资队伍建设不断强化。加强内引外培，新增博士42人、“学术顾问”2人。完善了职称评定制度体系，评选教授8人、副教授21人、高级实验师1人、讲师6人。学校现有专任教师1112人，其中博士487 人，占比43.79%；具有正高级职称人员162人，副高级职称人员318人，高级职称占比43.17%。持续深化人事制度改革，进一步修订出台了高层次人才引进办法、青年博士引进初始考核暂行办法、青年博士首个聘期考核暂行办法。1 人入选湖南省“三尖”创新人才工程项目科技领军人才(拔尖) 、3人入选青年科技人才(荷尖)，2人入选湖南省科技托举人才工程项目。加强外籍教师聘用和管理，现有授课外教18人。</w:t>
      </w:r>
    </w:p>
    <w:p>
      <w:pPr>
        <w:pStyle w:val="2"/>
        <w:keepNext w:val="0"/>
        <w:keepLines w:val="0"/>
        <w:pageBreakBefore w:val="0"/>
        <w:numPr>
          <w:ilvl w:val="0"/>
          <w:numId w:val="5"/>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研究生教育不断加强。顺利完成了2022年615人研究生招生计划，有序开展了2023年硕士研究生招生工作，目前在校研究生达1395人。加强研究生导师管理，修订了9个专业研究生培养方案，研究生获省级及以上学科竞赛奖励共423项，其中国家级奖励108项，在第十九届中国研究生数学建模竞赛中获一等奖1项、二等奖11项、三等奖12 项。</w:t>
      </w:r>
    </w:p>
    <w:p>
      <w:pPr>
        <w:pStyle w:val="2"/>
        <w:keepNext w:val="0"/>
        <w:keepLines w:val="0"/>
        <w:pageBreakBefore w:val="0"/>
        <w:widowControl w:val="0"/>
        <w:numPr>
          <w:ilvl w:val="0"/>
          <w:numId w:val="5"/>
        </w:numPr>
        <w:kinsoku/>
        <w:wordWrap/>
        <w:overflowPunct/>
        <w:topLinePunct w:val="0"/>
        <w:autoSpaceDE/>
        <w:autoSpaceDN/>
        <w:bidi w:val="0"/>
        <w:adjustRightInd/>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继续教育工作日益规范。成人学历教育录取新生1400人，完成学分收入101万元。举办非学历培训15个，完成进校经费199.2万元，超额完成预期目标。持续开展学历教育专项整治工作，获得省教育厅督察组肯定。</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4.科研创新能力不断增强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学校围绕“三新一高”要求，聚焦“三高四新”战略定位和使命任务，助力岳阳打造名副其实的省域副中心城市，坚持以服务求支持，以贡献求合作，以合作求发展，以有为求有位，科研创新和社会服务能力不断增强。</w:t>
      </w:r>
    </w:p>
    <w:p>
      <w:pPr>
        <w:pStyle w:val="2"/>
        <w:keepNext w:val="0"/>
        <w:keepLines w:val="0"/>
        <w:pageBreakBefore w:val="0"/>
        <w:widowControl w:val="0"/>
        <w:numPr>
          <w:ilvl w:val="0"/>
          <w:numId w:val="6"/>
        </w:numPr>
        <w:kinsoku/>
        <w:wordWrap/>
        <w:overflowPunct/>
        <w:topLinePunct w:val="0"/>
        <w:autoSpaceDE/>
        <w:autoSpaceDN/>
        <w:bidi w:val="0"/>
        <w:adjustRightInd/>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承接高水平科研项目取得新突破。立项国家级项目23项，其中国家自科基金项目11项、国家自科基金重大科研仪器研制和国家重点研发计划项目子项目5项、国家社科基金项目3项、教育部人文社科基金项目4项。立项省级项目73项，其中省水利科技重大项目1项、省社科基金重大项目1项，省级社科重点项目6项。纵向科研项目进校经费2560万元，取得历史最好成绩。</w:t>
      </w:r>
    </w:p>
    <w:p>
      <w:pPr>
        <w:pStyle w:val="2"/>
        <w:keepNext w:val="0"/>
        <w:keepLines w:val="0"/>
        <w:pageBreakBefore w:val="0"/>
        <w:numPr>
          <w:ilvl w:val="0"/>
          <w:numId w:val="6"/>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高层次人才和平台建设取得新进展。入选湖南省“三尖”创新人才工程项目科技领军人才(拔尖)1名、青年科技人才(荷尖)3名，入选湖南省科技人才托举工程项目2名。积极推进“热塑性弹性体”国家技术创新中心建设；申报省重点实验室2个；新增省级社科研究基地 1 个，5个省社科研究基地顺利通过省社科规划办检查验收，其中湖南省屈原文化研究基地被评为优秀等级。迄今为止，学校已建成省部级科研平台31个。</w:t>
      </w:r>
    </w:p>
    <w:p>
      <w:pPr>
        <w:pStyle w:val="2"/>
        <w:keepNext w:val="0"/>
        <w:keepLines w:val="0"/>
        <w:pageBreakBefore w:val="0"/>
        <w:numPr>
          <w:ilvl w:val="0"/>
          <w:numId w:val="6"/>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服务社会发展能力再上新台阶。新增产学研合作企业22家，与企业签订产学研合作合同359个，产学研合作进校科研经费1.19亿元。获湖南省技术交易和技术转移服务后补助经费60万元，居全省高校首位；获批“湖南省技术转移转化示范机构”和“湖南省高校科技成果转化和技术转移基地”；“东洞庭湖区传统农耕器具科普基地”获评湖南省科学技术普及基地。</w:t>
      </w:r>
    </w:p>
    <w:p>
      <w:pPr>
        <w:pStyle w:val="2"/>
        <w:keepNext w:val="0"/>
        <w:keepLines w:val="0"/>
        <w:pageBreakBefore w:val="0"/>
        <w:numPr>
          <w:ilvl w:val="0"/>
          <w:numId w:val="6"/>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科研成果创新水平和学术影响呈现新气象。获省部级科研成果奖励13项，其中省科学技术奖励3项、中国机械工业科技进步奖和中国电子元件行业协会科学技术奖各1项；省社科成果奖5项，一等奖 1项，二等奖2项，三等奖2项。公开发表学术论文519余篇，其中CSSCI 收录30余篇、SCI收录196篇、EI期刊收录176篇；授权知识产权86件，其中发明专利47件；智库成果16项，其中省级成果4项，市厅级成果12项。承办精细化工国际学术研讨会、湘语国际学术会议等国际国内学术会议39次，邀请国内知名专家近300余人进校做专题讲座或专题报告。《云梦学刊》继续获省社科基金学术期刊专项资助，“当代学术史研究”栏目获得“第八届湖南省期刊优秀栏目”。</w:t>
      </w:r>
    </w:p>
    <w:p>
      <w:pPr>
        <w:pStyle w:val="2"/>
        <w:keepNext w:val="0"/>
        <w:keepLines w:val="0"/>
        <w:pageBreakBefore w:val="0"/>
        <w:numPr>
          <w:ilvl w:val="0"/>
          <w:numId w:val="0"/>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5.校园条件保障持续增强</w:t>
      </w:r>
    </w:p>
    <w:p>
      <w:pPr>
        <w:pStyle w:val="2"/>
        <w:keepNext w:val="0"/>
        <w:keepLines w:val="0"/>
        <w:pageBreakBefore w:val="0"/>
        <w:numPr>
          <w:ilvl w:val="0"/>
          <w:numId w:val="0"/>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牢固树立“三个为本”的办学理念，持续改善办学条件，积极回应师生关切，外争资源，内惠民生，不断打造更高水平的平安校园、智慧校园、美丽校园、文明校园、和谐校园，师生获得感、幸福感、安全感不断提高。</w:t>
      </w:r>
    </w:p>
    <w:p>
      <w:pPr>
        <w:pStyle w:val="2"/>
        <w:keepNext w:val="0"/>
        <w:keepLines w:val="0"/>
        <w:pageBreakBefore w:val="0"/>
        <w:numPr>
          <w:ilvl w:val="0"/>
          <w:numId w:val="7"/>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校园基本建设不断完善。完成了学校“十四五”基本建设规划修订、湖南省财政“十四五”基建专项2022年度重点支持项目申报、2023年中央预算内投资项目储备及专项债券项目申报。高标准严要求建设好体育馆、游泳跳水馆、田径场，三大建筑交相辉映，成为“最美校园”新地标。吉祥园林水塘周边整治、大运桥及周边配套工程正在加紧施工。</w:t>
      </w:r>
    </w:p>
    <w:p>
      <w:pPr>
        <w:pStyle w:val="2"/>
        <w:keepNext w:val="0"/>
        <w:keepLines w:val="0"/>
        <w:pageBreakBefore w:val="0"/>
        <w:numPr>
          <w:ilvl w:val="0"/>
          <w:numId w:val="7"/>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读书氛围日益浓厚。加强文献资源建设与服务，完善信息素养教育体系。全年新增纸质图书30398册，新增专题数据库1个。接待入馆读者154.5万人次。深入开展“一校一书”阅读推广、南湖学堂讲座、诗歌朗诵会等丰富多样的文化活动，积极营造全民阅读氛围。图书馆获评全国“全民阅读基地”、湖南省“最美图书馆”，成为师生最向往的地方。</w:t>
      </w:r>
    </w:p>
    <w:p>
      <w:pPr>
        <w:pStyle w:val="2"/>
        <w:keepNext w:val="0"/>
        <w:keepLines w:val="0"/>
        <w:pageBreakBefore w:val="0"/>
        <w:numPr>
          <w:ilvl w:val="0"/>
          <w:numId w:val="7"/>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信息化建设稳步实施。加大校企合作力度，与中国农业银行岳阳分行签订第二轮银校合作协议，农业银行投入4200万元建设“智慧校园”；与中国铁塔岳阳分公司签订校企共建校园网络合作协议，中国铁塔投入2500万元，建成了“万兆主干、千兆到桌面、无线WiFi6全覆盖、网络出口带宽达到61. 1G”的全光高速校园网络。牢固网络安全屏障，升级和扩展应用信息系统及平台功能，引入在线资源课程2700 门，为师生提供快捷的智能化服务。</w:t>
      </w:r>
    </w:p>
    <w:p>
      <w:pPr>
        <w:pStyle w:val="2"/>
        <w:keepNext w:val="0"/>
        <w:keepLines w:val="0"/>
        <w:pageBreakBefore w:val="0"/>
        <w:numPr>
          <w:ilvl w:val="0"/>
          <w:numId w:val="7"/>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校园综合治理更加有序。严格落实平安校园建设要求，加强了校园意识形态阵地管控、舆情处置、国家安全、反恐防爆、疫情防控等方面工作，学校在全省高校党建工作会议上介绍校园维稳工作经验，被省教育厅、省应急管理厅、省安委会等推介8次，被省人民政府评为全省年度“平安单位”。</w:t>
      </w:r>
    </w:p>
    <w:p>
      <w:pPr>
        <w:pStyle w:val="2"/>
        <w:keepNext w:val="0"/>
        <w:keepLines w:val="0"/>
        <w:pageBreakBefore w:val="0"/>
        <w:numPr>
          <w:ilvl w:val="0"/>
          <w:numId w:val="0"/>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6.内部治理体系不断优化</w:t>
      </w:r>
    </w:p>
    <w:p>
      <w:pPr>
        <w:pStyle w:val="2"/>
        <w:keepNext w:val="0"/>
        <w:keepLines w:val="0"/>
        <w:pageBreakBefore w:val="0"/>
        <w:numPr>
          <w:ilvl w:val="0"/>
          <w:numId w:val="0"/>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坚持依法治校、依法办学，创新发展思路，深化内部改革，完善制度保障体系，持续推动治理体系和治理能力现代化，办学活力得到进一步激发。</w:t>
      </w:r>
    </w:p>
    <w:p>
      <w:pPr>
        <w:pStyle w:val="2"/>
        <w:keepNext w:val="0"/>
        <w:keepLines w:val="0"/>
        <w:pageBreakBefore w:val="0"/>
        <w:numPr>
          <w:ilvl w:val="0"/>
          <w:numId w:val="8"/>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内部治理体系日益优化。修订完善新的学校章程，严格落实党委领导下的校长负责制，学校党委、书记、校长的3项典型材料入选全省高校党委领导下的校长负责制经验材料汇编。开展新一轮规章制度 “立改废”工作，修订出台教学管理、学生管理、干部管理、科研管理、人事管理等制度55个， 内部管理体系进一步完善。深入推进办学重心下移，推进分配制度改革，出台教学单位制定绩效分配方案的指导性意见、本科人才培养工作量核算办法、教学单位绩效核拨办法等文件，逐步推动实现“多劳多得、优劳优酬”。</w:t>
      </w:r>
    </w:p>
    <w:p>
      <w:pPr>
        <w:pStyle w:val="2"/>
        <w:keepNext w:val="0"/>
        <w:keepLines w:val="0"/>
        <w:pageBreakBefore w:val="0"/>
        <w:numPr>
          <w:ilvl w:val="0"/>
          <w:numId w:val="8"/>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资源配置功能日益强化。牢固树立“过紧日子”思想，坚持开源节流，加强预算管理 、优化业务程序，科学编制2022年财务预算安排，学校财务大局稳定。多措并举争取办学资源，积极争取省财政“十四五”基建专项2022年重点支持项目4000万，争取省教育厅大运会赛事承办经费733万元、省体育局网球场维修改造经费44万元、市财政拨款游泳跳水教学楼项目经费5500万元。 完善审计质量内部监督机制，有序推进常规审计和专项审计监督、经济责任审计，完成审计项目586个，审计资金总额3.02亿元，审减538.94万元。报送的经济责任审计项目获全省优秀内部审计项目一等奖。修订出台招标采购管理办法，全年依法依规完成各类采购，采购金额12019万元，签订合同109份。2022年新增固定资产总值2.23亿元，其中教学仪器设备总值1.96 亿元。规范周转房和门面管理，完成公开招租并签订合同55家。加强校友联络和基金会管理，做好了岳阳籍专家、学者信息收集及联络工作。</w:t>
      </w:r>
    </w:p>
    <w:p>
      <w:pPr>
        <w:pStyle w:val="2"/>
        <w:keepNext w:val="0"/>
        <w:keepLines w:val="0"/>
        <w:pageBreakBefore w:val="0"/>
        <w:numPr>
          <w:ilvl w:val="0"/>
          <w:numId w:val="8"/>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后勤服务水平不断提升。疫情防控工作平安有序，没 有出现重大校园疫情事故，全年组织近 3 万人次核酸采样，疫苗接种 7.6 万余剂次。新建北院停车场，扩容车位 93 个， 解决了办公楼、家属区停车难问题。组织餐饮公司投资 1000 多万元对南院一食堂进行全面提质升级改造，师生对新的就</w:t>
      </w:r>
      <w:bookmarkStart w:id="0" w:name="_GoBack"/>
      <w:bookmarkEnd w:id="0"/>
      <w:r>
        <w:rPr>
          <w:rFonts w:hint="eastAsia" w:ascii="仿宋_GB2312" w:hAnsi="仿宋_GB2312" w:eastAsia="仿宋_GB2312" w:cs="仿宋_GB2312"/>
          <w:kern w:val="2"/>
          <w:sz w:val="30"/>
          <w:szCs w:val="30"/>
          <w:lang w:val="en-US" w:eastAsia="zh-CN" w:bidi="ar-SA"/>
        </w:rPr>
        <w:t>餐环境和服务满意度高。提质校园主马路、东院田径场、综合训练馆、实验室等，校园环境越来越优美。</w:t>
      </w:r>
    </w:p>
    <w:p>
      <w:pPr>
        <w:pStyle w:val="2"/>
        <w:keepNext w:val="0"/>
        <w:keepLines w:val="0"/>
        <w:pageBreakBefore w:val="0"/>
        <w:numPr>
          <w:ilvl w:val="0"/>
          <w:numId w:val="8"/>
        </w:numPr>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民生工程进一步深入人心。积极推进党务公开、校务公开和信息公开，开展校领导接待日活动，确保师生、社会对学校重大事项的知情权，切实维护师生权益。修订完善了教职工代表大会制度，成功召开五届五次教代会工作，做好了教代会提案办理工作。组织开展教职工八段锦、篮球赛等一系列文体活动，进一步丰富教职工业余生活。以文化养老、 健康养老、快乐养老为宗旨，积极探索离退休人员服务管理模式，让离退休老同志老有所养、老有所依、老有所乐、老有所安。与岳阳楼区积极沟通协调，2022年秋季学期确保了我校39名教职工子女顺利就读小学。全年各类奖助学金评审工作顺利完成，国家奖学金、励志奖学金奖励525人，发放资金269.4万元。</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黑体" w:hAnsi="黑体" w:eastAsia="黑体" w:cs="黑体"/>
          <w:sz w:val="30"/>
          <w:szCs w:val="30"/>
          <w:highlight w:val="none"/>
        </w:rPr>
      </w:pPr>
      <w:r>
        <w:rPr>
          <w:rFonts w:hint="eastAsia" w:ascii="黑体" w:hAnsi="黑体" w:eastAsia="黑体" w:cs="黑体"/>
          <w:sz w:val="30"/>
          <w:szCs w:val="30"/>
          <w:highlight w:val="none"/>
        </w:rPr>
        <w:t>七、存在的问题及原因分析</w:t>
      </w:r>
    </w:p>
    <w:p>
      <w:pPr>
        <w:keepNext w:val="0"/>
        <w:keepLines w:val="0"/>
        <w:pageBreakBefore w:val="0"/>
        <w:kinsoku/>
        <w:wordWrap/>
        <w:overflowPunct/>
        <w:topLinePunct w:val="0"/>
        <w:bidi w:val="0"/>
        <w:snapToGrid/>
        <w:spacing w:beforeAutospacing="0" w:line="5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1.学校事业发展的资金供需矛盾依然突出。我省高校经常性生均拨款多年维持在解决“吃饭”+“运转”的基本</w:t>
      </w:r>
      <w:r>
        <w:rPr>
          <w:rFonts w:hint="eastAsia" w:ascii="仿宋_GB2312" w:hAnsi="仿宋_GB2312" w:eastAsia="仿宋_GB2312" w:cs="仿宋_GB2312"/>
          <w:color w:val="auto"/>
          <w:sz w:val="30"/>
          <w:szCs w:val="30"/>
          <w:highlight w:val="none"/>
          <w:lang w:eastAsia="zh-CN"/>
        </w:rPr>
        <w:t>标准水平。</w:t>
      </w:r>
      <w:r>
        <w:rPr>
          <w:rFonts w:hint="eastAsia" w:ascii="仿宋_GB2312" w:hAnsi="仿宋_GB2312" w:eastAsia="仿宋_GB2312" w:cs="仿宋_GB2312"/>
          <w:color w:val="auto"/>
          <w:sz w:val="30"/>
          <w:szCs w:val="30"/>
          <w:highlight w:val="none"/>
        </w:rPr>
        <w:t>学校收入增加</w:t>
      </w:r>
      <w:r>
        <w:rPr>
          <w:rFonts w:hint="eastAsia" w:ascii="仿宋_GB2312" w:hAnsi="仿宋_GB2312" w:eastAsia="仿宋_GB2312" w:cs="仿宋_GB2312"/>
          <w:color w:val="auto"/>
          <w:sz w:val="30"/>
          <w:szCs w:val="30"/>
          <w:highlight w:val="none"/>
          <w:lang w:eastAsia="zh-CN"/>
        </w:rPr>
        <w:t>渠道</w:t>
      </w:r>
      <w:r>
        <w:rPr>
          <w:rFonts w:hint="eastAsia" w:ascii="仿宋_GB2312" w:hAnsi="仿宋_GB2312" w:eastAsia="仿宋_GB2312" w:cs="仿宋_GB2312"/>
          <w:color w:val="auto"/>
          <w:sz w:val="30"/>
          <w:szCs w:val="30"/>
          <w:highlight w:val="none"/>
        </w:rPr>
        <w:t>有限，而大事</w:t>
      </w:r>
      <w:r>
        <w:rPr>
          <w:rFonts w:hint="eastAsia" w:ascii="仿宋_GB2312" w:hAnsi="仿宋_GB2312" w:eastAsia="仿宋_GB2312" w:cs="仿宋_GB2312"/>
          <w:color w:val="auto"/>
          <w:sz w:val="30"/>
          <w:szCs w:val="30"/>
          <w:highlight w:val="none"/>
          <w:lang w:eastAsia="zh-CN"/>
        </w:rPr>
        <w:t>要事</w:t>
      </w:r>
      <w:r>
        <w:rPr>
          <w:rFonts w:hint="eastAsia" w:ascii="仿宋_GB2312" w:hAnsi="仿宋_GB2312" w:eastAsia="仿宋_GB2312" w:cs="仿宋_GB2312"/>
          <w:color w:val="auto"/>
          <w:sz w:val="30"/>
          <w:szCs w:val="30"/>
          <w:highlight w:val="none"/>
        </w:rPr>
        <w:t>多，重点工作需大量资金投入。</w:t>
      </w:r>
    </w:p>
    <w:p>
      <w:pPr>
        <w:keepNext w:val="0"/>
        <w:keepLines w:val="0"/>
        <w:pageBreakBefore w:val="0"/>
        <w:kinsoku/>
        <w:wordWrap/>
        <w:overflowPunct/>
        <w:topLinePunct w:val="0"/>
        <w:bidi w:val="0"/>
        <w:snapToGrid/>
        <w:spacing w:beforeAutospacing="0" w:line="5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2.维护预算刚性有待加强。年初预算申报论证不够科学规范</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把关不够严</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考虑不够周全</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数字偏大，近三年每年申报汇总都在10</w:t>
      </w:r>
      <w:r>
        <w:rPr>
          <w:rFonts w:hint="eastAsia" w:ascii="仿宋_GB2312" w:hAnsi="仿宋_GB2312" w:eastAsia="仿宋_GB2312" w:cs="仿宋_GB2312"/>
          <w:color w:val="auto"/>
          <w:sz w:val="30"/>
          <w:szCs w:val="30"/>
          <w:highlight w:val="none"/>
          <w:lang w:val="en-US" w:eastAsia="zh-CN"/>
        </w:rPr>
        <w:t>.00</w:t>
      </w:r>
      <w:r>
        <w:rPr>
          <w:rFonts w:hint="eastAsia" w:ascii="仿宋_GB2312" w:hAnsi="仿宋_GB2312" w:eastAsia="仿宋_GB2312" w:cs="仿宋_GB2312"/>
          <w:color w:val="auto"/>
          <w:sz w:val="30"/>
          <w:szCs w:val="30"/>
          <w:highlight w:val="none"/>
        </w:rPr>
        <w:t>亿元以上，增加了预算沟通与协调难度</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预算约束力</w:t>
      </w:r>
      <w:r>
        <w:rPr>
          <w:rFonts w:hint="eastAsia" w:ascii="仿宋_GB2312" w:hAnsi="仿宋_GB2312" w:eastAsia="仿宋_GB2312" w:cs="仿宋_GB2312"/>
          <w:color w:val="auto"/>
          <w:sz w:val="30"/>
          <w:szCs w:val="30"/>
          <w:highlight w:val="none"/>
          <w:lang w:eastAsia="zh-CN"/>
        </w:rPr>
        <w:t>有待提高</w:t>
      </w:r>
      <w:r>
        <w:rPr>
          <w:rFonts w:hint="eastAsia" w:ascii="仿宋_GB2312" w:hAnsi="仿宋_GB2312" w:eastAsia="仿宋_GB2312" w:cs="仿宋_GB2312"/>
          <w:color w:val="auto"/>
          <w:sz w:val="30"/>
          <w:szCs w:val="30"/>
          <w:highlight w:val="none"/>
        </w:rPr>
        <w:t>。预算绩效考核与评价深入不够，预算管理仍存在重编制、轻控制现象，</w:t>
      </w:r>
      <w:r>
        <w:rPr>
          <w:rFonts w:hint="eastAsia" w:ascii="仿宋_GB2312" w:hAnsi="仿宋_GB2312" w:eastAsia="仿宋_GB2312" w:cs="仿宋_GB2312"/>
          <w:color w:val="auto"/>
          <w:sz w:val="30"/>
          <w:szCs w:val="30"/>
          <w:highlight w:val="none"/>
          <w:lang w:val="en-US" w:eastAsia="zh-CN"/>
        </w:rPr>
        <w:t>绩效考评结果应用</w:t>
      </w:r>
      <w:r>
        <w:rPr>
          <w:rFonts w:hint="eastAsia" w:ascii="仿宋_GB2312" w:hAnsi="仿宋_GB2312" w:eastAsia="仿宋_GB2312" w:cs="仿宋_GB2312"/>
          <w:color w:val="auto"/>
          <w:sz w:val="30"/>
          <w:szCs w:val="30"/>
          <w:highlight w:val="none"/>
        </w:rPr>
        <w:t>不够到位。</w:t>
      </w:r>
    </w:p>
    <w:p>
      <w:pPr>
        <w:keepNext w:val="0"/>
        <w:keepLines w:val="0"/>
        <w:pageBreakBefore w:val="0"/>
        <w:kinsoku/>
        <w:wordWrap/>
        <w:overflowPunct/>
        <w:topLinePunct w:val="0"/>
        <w:autoSpaceDE w:val="0"/>
        <w:autoSpaceDN w:val="0"/>
        <w:bidi w:val="0"/>
        <w:adjustRightInd w:val="0"/>
        <w:snapToGrid/>
        <w:spacing w:beforeAutospacing="0" w:line="5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3.“过紧日子” </w:t>
      </w:r>
      <w:r>
        <w:rPr>
          <w:rFonts w:hint="eastAsia" w:ascii="仿宋_GB2312" w:hAnsi="仿宋_GB2312" w:eastAsia="仿宋_GB2312" w:cs="仿宋_GB2312"/>
          <w:color w:val="auto"/>
          <w:sz w:val="30"/>
          <w:szCs w:val="30"/>
          <w:highlight w:val="none"/>
          <w:lang w:eastAsia="zh-CN"/>
        </w:rPr>
        <w:t>的整体环境有待完善。目前，</w:t>
      </w:r>
      <w:r>
        <w:rPr>
          <w:rFonts w:hint="eastAsia" w:ascii="仿宋_GB2312" w:hAnsi="仿宋_GB2312" w:eastAsia="仿宋_GB2312" w:cs="仿宋_GB2312"/>
          <w:color w:val="auto"/>
          <w:sz w:val="30"/>
          <w:szCs w:val="30"/>
          <w:highlight w:val="none"/>
        </w:rPr>
        <w:t>学校相关制度、部门归口管理相对独立</w:t>
      </w:r>
      <w:r>
        <w:rPr>
          <w:rFonts w:hint="eastAsia" w:ascii="仿宋_GB2312" w:hAnsi="仿宋_GB2312" w:eastAsia="仿宋_GB2312" w:cs="仿宋_GB2312"/>
          <w:color w:val="auto"/>
          <w:sz w:val="30"/>
          <w:szCs w:val="30"/>
          <w:highlight w:val="none"/>
          <w:lang w:eastAsia="zh-CN"/>
        </w:rPr>
        <w:t>，导致</w:t>
      </w:r>
      <w:r>
        <w:rPr>
          <w:rFonts w:hint="eastAsia" w:ascii="仿宋_GB2312" w:hAnsi="仿宋_GB2312" w:eastAsia="仿宋_GB2312" w:cs="仿宋_GB2312"/>
          <w:color w:val="auto"/>
          <w:sz w:val="30"/>
          <w:szCs w:val="30"/>
          <w:highlight w:val="none"/>
        </w:rPr>
        <w:t>信息沟通不及时</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对同一领域、同一单位、同一事项可能存在制度性的重复投入问题, 相关部门之间协同配合不够</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难以形成合力配合财务部门落实压减政策。</w:t>
      </w:r>
      <w:r>
        <w:rPr>
          <w:rFonts w:hint="eastAsia" w:ascii="仿宋_GB2312" w:hAnsi="仿宋_GB2312" w:eastAsia="仿宋_GB2312" w:cs="仿宋_GB2312"/>
          <w:color w:val="auto"/>
          <w:sz w:val="30"/>
          <w:szCs w:val="30"/>
          <w:highlight w:val="none"/>
          <w:lang w:eastAsia="zh-CN"/>
        </w:rPr>
        <w:t>同时，</w:t>
      </w:r>
      <w:r>
        <w:rPr>
          <w:rFonts w:hint="eastAsia" w:ascii="仿宋_GB2312" w:hAnsi="仿宋_GB2312" w:eastAsia="仿宋_GB2312" w:cs="仿宋_GB2312"/>
          <w:color w:val="auto"/>
          <w:sz w:val="30"/>
          <w:szCs w:val="30"/>
          <w:highlight w:val="none"/>
        </w:rPr>
        <w:t>一般公用的物业</w:t>
      </w:r>
      <w:r>
        <w:rPr>
          <w:rFonts w:hint="eastAsia" w:ascii="仿宋_GB2312" w:hAnsi="仿宋_GB2312" w:eastAsia="仿宋_GB2312" w:cs="仿宋_GB2312"/>
          <w:color w:val="auto"/>
          <w:sz w:val="30"/>
          <w:szCs w:val="30"/>
          <w:highlight w:val="none"/>
          <w:lang w:eastAsia="zh-CN"/>
        </w:rPr>
        <w:t>及</w:t>
      </w:r>
      <w:r>
        <w:rPr>
          <w:rFonts w:hint="eastAsia" w:ascii="仿宋_GB2312" w:hAnsi="仿宋_GB2312" w:eastAsia="仿宋_GB2312" w:cs="仿宋_GB2312"/>
          <w:color w:val="auto"/>
          <w:sz w:val="30"/>
          <w:szCs w:val="30"/>
          <w:highlight w:val="none"/>
        </w:rPr>
        <w:t>保洁、水电设备耗用</w:t>
      </w:r>
      <w:r>
        <w:rPr>
          <w:rFonts w:hint="eastAsia" w:ascii="仿宋_GB2312" w:hAnsi="仿宋_GB2312" w:eastAsia="仿宋_GB2312" w:cs="仿宋_GB2312"/>
          <w:color w:val="auto"/>
          <w:sz w:val="30"/>
          <w:szCs w:val="30"/>
          <w:highlight w:val="none"/>
          <w:lang w:eastAsia="zh-CN"/>
        </w:rPr>
        <w:t>的</w:t>
      </w:r>
      <w:r>
        <w:rPr>
          <w:rFonts w:hint="eastAsia" w:ascii="仿宋_GB2312" w:hAnsi="仿宋_GB2312" w:eastAsia="仿宋_GB2312" w:cs="仿宋_GB2312"/>
          <w:color w:val="auto"/>
          <w:sz w:val="30"/>
          <w:szCs w:val="30"/>
          <w:highlight w:val="none"/>
        </w:rPr>
        <w:t>补偿收费等目标管理</w:t>
      </w:r>
      <w:r>
        <w:rPr>
          <w:rFonts w:hint="eastAsia" w:ascii="仿宋_GB2312" w:hAnsi="仿宋_GB2312" w:eastAsia="仿宋_GB2312" w:cs="仿宋_GB2312"/>
          <w:color w:val="auto"/>
          <w:sz w:val="30"/>
          <w:szCs w:val="30"/>
          <w:highlight w:val="none"/>
          <w:lang w:eastAsia="zh-CN"/>
        </w:rPr>
        <w:t>较为</w:t>
      </w:r>
      <w:r>
        <w:rPr>
          <w:rFonts w:hint="eastAsia" w:ascii="仿宋_GB2312" w:hAnsi="仿宋_GB2312" w:eastAsia="仿宋_GB2312" w:cs="仿宋_GB2312"/>
          <w:color w:val="auto"/>
          <w:sz w:val="30"/>
          <w:szCs w:val="30"/>
          <w:highlight w:val="none"/>
        </w:rPr>
        <w:t>宽松</w:t>
      </w:r>
      <w:r>
        <w:rPr>
          <w:rFonts w:hint="eastAsia" w:ascii="仿宋_GB2312" w:hAnsi="仿宋_GB2312" w:eastAsia="仿宋_GB2312" w:cs="仿宋_GB2312"/>
          <w:color w:val="auto"/>
          <w:sz w:val="30"/>
          <w:szCs w:val="30"/>
          <w:highlight w:val="none"/>
          <w:lang w:eastAsia="zh-CN"/>
        </w:rPr>
        <w:t>，阻碍了运行经费的压缩效益</w:t>
      </w:r>
      <w:r>
        <w:rPr>
          <w:rFonts w:hint="eastAsia" w:ascii="仿宋_GB2312" w:hAnsi="仿宋_GB2312" w:eastAsia="仿宋_GB2312" w:cs="仿宋_GB2312"/>
          <w:color w:val="auto"/>
          <w:sz w:val="30"/>
          <w:szCs w:val="30"/>
          <w:highlight w:val="none"/>
        </w:rPr>
        <w:t>。</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黑体" w:hAnsi="黑体" w:eastAsia="黑体" w:cs="黑体"/>
          <w:sz w:val="30"/>
          <w:szCs w:val="30"/>
          <w:highlight w:val="none"/>
        </w:rPr>
      </w:pPr>
      <w:r>
        <w:rPr>
          <w:rFonts w:hint="eastAsia" w:ascii="黑体" w:hAnsi="黑体" w:eastAsia="黑体" w:cs="黑体"/>
          <w:sz w:val="30"/>
          <w:szCs w:val="30"/>
          <w:highlight w:val="none"/>
        </w:rPr>
        <w:t>八、下一步改进措施</w:t>
      </w:r>
    </w:p>
    <w:p>
      <w:pPr>
        <w:keepNext w:val="0"/>
        <w:keepLines w:val="0"/>
        <w:pageBreakBefore w:val="0"/>
        <w:kinsoku/>
        <w:wordWrap/>
        <w:overflowPunct/>
        <w:topLinePunct w:val="0"/>
        <w:bidi w:val="0"/>
        <w:snapToGrid/>
        <w:spacing w:beforeAutospacing="0" w:line="5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1.积极开源节流。积极争取各级财政支持，特别是基建等专项资金</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发挥好二级单位主体作用，深入挖掘校内增收潜力，在多层次办学、教育培训、智慧化校园、分析测试中心、后勤社会化改革、产教融合等方面寻找新的收入增长点。加强校</w:t>
      </w:r>
      <w:r>
        <w:rPr>
          <w:rFonts w:hint="eastAsia" w:ascii="仿宋_GB2312" w:hAnsi="仿宋_GB2312" w:eastAsia="仿宋_GB2312" w:cs="仿宋_GB2312"/>
          <w:color w:val="auto"/>
          <w:sz w:val="30"/>
          <w:szCs w:val="30"/>
          <w:highlight w:val="none"/>
          <w:lang w:eastAsia="zh-CN"/>
        </w:rPr>
        <w:t>政</w:t>
      </w:r>
      <w:r>
        <w:rPr>
          <w:rFonts w:hint="eastAsia" w:ascii="仿宋_GB2312" w:hAnsi="仿宋_GB2312" w:eastAsia="仿宋_GB2312" w:cs="仿宋_GB2312"/>
          <w:color w:val="auto"/>
          <w:sz w:val="30"/>
          <w:szCs w:val="30"/>
          <w:highlight w:val="none"/>
        </w:rPr>
        <w:t>校企合作、社会捐资助学、校友资源、教育基金会等方面的工作力度，实现其他收入的持续增长。</w:t>
      </w:r>
    </w:p>
    <w:p>
      <w:pPr>
        <w:keepNext w:val="0"/>
        <w:keepLines w:val="0"/>
        <w:pageBreakBefore w:val="0"/>
        <w:kinsoku/>
        <w:wordWrap/>
        <w:overflowPunct/>
        <w:topLinePunct w:val="0"/>
        <w:bidi w:val="0"/>
        <w:snapToGrid/>
        <w:spacing w:beforeAutospacing="0" w:line="580" w:lineRule="exact"/>
        <w:ind w:firstLine="600" w:firstLineChars="200"/>
        <w:textAlignment w:val="auto"/>
        <w:rPr>
          <w:rFonts w:hint="eastAsia" w:ascii="仿宋_GB2312" w:hAnsi="仿宋_GB2312" w:eastAsia="仿宋_GB2312" w:cs="仿宋_GB2312"/>
          <w:color w:val="auto"/>
          <w:spacing w:val="-6"/>
          <w:sz w:val="30"/>
          <w:szCs w:val="30"/>
          <w:highlight w:val="none"/>
        </w:rPr>
      </w:pPr>
      <w:r>
        <w:rPr>
          <w:rFonts w:hint="eastAsia" w:ascii="仿宋_GB2312" w:hAnsi="仿宋_GB2312" w:eastAsia="仿宋_GB2312" w:cs="仿宋_GB2312"/>
          <w:color w:val="auto"/>
          <w:sz w:val="30"/>
          <w:szCs w:val="30"/>
          <w:highlight w:val="none"/>
        </w:rPr>
        <w:t>2.发挥好预算资源配置导向作用，激发改革活力。</w:t>
      </w:r>
      <w:r>
        <w:rPr>
          <w:rFonts w:hint="eastAsia" w:ascii="仿宋_GB2312" w:hAnsi="仿宋_GB2312" w:eastAsia="仿宋_GB2312" w:cs="仿宋_GB2312"/>
          <w:color w:val="auto"/>
          <w:sz w:val="30"/>
          <w:szCs w:val="30"/>
          <w:highlight w:val="none"/>
          <w:lang w:eastAsia="zh-CN"/>
        </w:rPr>
        <w:t>除</w:t>
      </w:r>
      <w:r>
        <w:rPr>
          <w:rFonts w:hint="eastAsia" w:ascii="仿宋_GB2312" w:hAnsi="仿宋_GB2312" w:eastAsia="仿宋_GB2312" w:cs="仿宋_GB2312"/>
          <w:color w:val="auto"/>
          <w:sz w:val="30"/>
          <w:szCs w:val="30"/>
          <w:highlight w:val="none"/>
        </w:rPr>
        <w:t>对接</w:t>
      </w:r>
      <w:r>
        <w:rPr>
          <w:rFonts w:hint="eastAsia" w:ascii="仿宋_GB2312" w:hAnsi="仿宋_GB2312" w:eastAsia="仿宋_GB2312" w:cs="仿宋_GB2312"/>
          <w:color w:val="auto"/>
          <w:sz w:val="30"/>
          <w:szCs w:val="30"/>
          <w:highlight w:val="none"/>
          <w:lang w:val="en-US" w:eastAsia="zh-CN"/>
        </w:rPr>
        <w:t>学校重点任务</w:t>
      </w:r>
      <w:r>
        <w:rPr>
          <w:rFonts w:hint="eastAsia" w:ascii="仿宋_GB2312" w:hAnsi="仿宋_GB2312" w:eastAsia="仿宋_GB2312" w:cs="仿宋_GB2312"/>
          <w:color w:val="auto"/>
          <w:sz w:val="30"/>
          <w:szCs w:val="30"/>
          <w:highlight w:val="none"/>
          <w:lang w:eastAsia="zh-CN"/>
        </w:rPr>
        <w:t>外，</w:t>
      </w:r>
      <w:r>
        <w:rPr>
          <w:rFonts w:hint="eastAsia" w:ascii="仿宋_GB2312" w:hAnsi="仿宋_GB2312" w:eastAsia="仿宋_GB2312" w:cs="仿宋_GB2312"/>
          <w:color w:val="auto"/>
          <w:sz w:val="30"/>
          <w:szCs w:val="30"/>
          <w:highlight w:val="none"/>
        </w:rPr>
        <w:t>预算要</w:t>
      </w:r>
      <w:r>
        <w:rPr>
          <w:rFonts w:hint="eastAsia" w:ascii="仿宋_GB2312" w:hAnsi="仿宋_GB2312" w:eastAsia="仿宋_GB2312" w:cs="仿宋_GB2312"/>
          <w:color w:val="auto"/>
          <w:spacing w:val="-6"/>
          <w:sz w:val="30"/>
          <w:szCs w:val="30"/>
          <w:highlight w:val="none"/>
        </w:rPr>
        <w:t>配合管理改革，促进重心下移，</w:t>
      </w:r>
      <w:r>
        <w:rPr>
          <w:rFonts w:hint="eastAsia" w:ascii="仿宋_GB2312" w:hAnsi="仿宋_GB2312" w:eastAsia="仿宋_GB2312" w:cs="仿宋_GB2312"/>
          <w:color w:val="auto"/>
          <w:sz w:val="30"/>
          <w:szCs w:val="30"/>
          <w:highlight w:val="none"/>
        </w:rPr>
        <w:t>做到事权和财权统一，充分调动二级单位当家理财的积极性和主动性，逐步建立校院两级管理体制和分级经济责任制。学校预算要</w:t>
      </w:r>
      <w:r>
        <w:rPr>
          <w:rFonts w:hint="eastAsia" w:ascii="仿宋_GB2312" w:hAnsi="仿宋_GB2312" w:eastAsia="仿宋_GB2312" w:cs="仿宋_GB2312"/>
          <w:color w:val="auto"/>
          <w:sz w:val="30"/>
          <w:szCs w:val="30"/>
          <w:highlight w:val="none"/>
          <w:lang w:eastAsia="zh-CN"/>
        </w:rPr>
        <w:t>逐步</w:t>
      </w:r>
      <w:r>
        <w:rPr>
          <w:rFonts w:hint="eastAsia" w:ascii="仿宋_GB2312" w:hAnsi="仿宋_GB2312" w:eastAsia="仿宋_GB2312" w:cs="仿宋_GB2312"/>
          <w:color w:val="auto"/>
          <w:sz w:val="30"/>
          <w:szCs w:val="30"/>
          <w:highlight w:val="none"/>
        </w:rPr>
        <w:t>消化部门及学院业务沉淀资金，以</w:t>
      </w:r>
      <w:r>
        <w:rPr>
          <w:rFonts w:hint="eastAsia" w:ascii="仿宋_GB2312" w:hAnsi="仿宋_GB2312" w:eastAsia="仿宋_GB2312" w:cs="仿宋_GB2312"/>
          <w:color w:val="auto"/>
          <w:sz w:val="30"/>
          <w:szCs w:val="30"/>
          <w:highlight w:val="none"/>
          <w:lang w:val="en-US" w:eastAsia="zh-CN"/>
        </w:rPr>
        <w:t>促进</w:t>
      </w:r>
      <w:r>
        <w:rPr>
          <w:rFonts w:hint="eastAsia" w:ascii="仿宋_GB2312" w:hAnsi="仿宋_GB2312" w:eastAsia="仿宋_GB2312" w:cs="仿宋_GB2312"/>
          <w:color w:val="auto"/>
          <w:sz w:val="30"/>
          <w:szCs w:val="30"/>
          <w:highlight w:val="none"/>
          <w:lang w:eastAsia="zh-CN"/>
        </w:rPr>
        <w:t>零基预算，</w:t>
      </w:r>
      <w:r>
        <w:rPr>
          <w:rFonts w:hint="eastAsia" w:ascii="仿宋_GB2312" w:hAnsi="仿宋_GB2312" w:eastAsia="仿宋_GB2312" w:cs="仿宋_GB2312"/>
          <w:color w:val="auto"/>
          <w:sz w:val="30"/>
          <w:szCs w:val="30"/>
          <w:highlight w:val="none"/>
        </w:rPr>
        <w:t>有效缓解我校改革发展过程中资金短缺的困境。</w:t>
      </w:r>
    </w:p>
    <w:p>
      <w:pPr>
        <w:keepNext w:val="0"/>
        <w:keepLines w:val="0"/>
        <w:pageBreakBefore w:val="0"/>
        <w:kinsoku/>
        <w:wordWrap/>
        <w:overflowPunct/>
        <w:topLinePunct w:val="0"/>
        <w:bidi w:val="0"/>
        <w:snapToGrid/>
        <w:spacing w:beforeAutospacing="0" w:line="5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3.规范资源消耗的补偿机制。以巡视整改为突破口，梳理学校门面、公租房</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教学科研场地、科研设施设备等管理</w:t>
      </w:r>
      <w:r>
        <w:rPr>
          <w:rFonts w:hint="eastAsia" w:ascii="仿宋_GB2312" w:hAnsi="仿宋_GB2312" w:eastAsia="仿宋_GB2312" w:cs="仿宋_GB2312"/>
          <w:color w:val="auto"/>
          <w:sz w:val="30"/>
          <w:szCs w:val="30"/>
          <w:highlight w:val="none"/>
          <w:lang w:eastAsia="zh-CN"/>
        </w:rPr>
        <w:t>制度</w:t>
      </w:r>
      <w:r>
        <w:rPr>
          <w:rFonts w:hint="eastAsia" w:ascii="仿宋_GB2312" w:hAnsi="仿宋_GB2312" w:eastAsia="仿宋_GB2312" w:cs="仿宋_GB2312"/>
          <w:color w:val="auto"/>
          <w:sz w:val="30"/>
          <w:szCs w:val="30"/>
          <w:highlight w:val="none"/>
        </w:rPr>
        <w:t>，消除搭便车现象，构建有偿使用、持续发展的良性循环制度。借助学校电信合作、银校合作契机，提升资源管理</w:t>
      </w:r>
      <w:r>
        <w:rPr>
          <w:rFonts w:hint="eastAsia" w:ascii="仿宋_GB2312" w:hAnsi="仿宋_GB2312" w:eastAsia="仿宋_GB2312" w:cs="仿宋_GB2312"/>
          <w:color w:val="auto"/>
          <w:sz w:val="30"/>
          <w:szCs w:val="30"/>
          <w:highlight w:val="none"/>
          <w:lang w:eastAsia="zh-CN"/>
        </w:rPr>
        <w:t>信息化</w:t>
      </w:r>
      <w:r>
        <w:rPr>
          <w:rFonts w:hint="eastAsia" w:ascii="仿宋_GB2312" w:hAnsi="仿宋_GB2312" w:eastAsia="仿宋_GB2312" w:cs="仿宋_GB2312"/>
          <w:color w:val="auto"/>
          <w:sz w:val="30"/>
          <w:szCs w:val="30"/>
          <w:highlight w:val="none"/>
        </w:rPr>
        <w:t>水平，做到收入颗粒归仓。</w:t>
      </w:r>
    </w:p>
    <w:p>
      <w:pPr>
        <w:keepNext w:val="0"/>
        <w:keepLines w:val="0"/>
        <w:pageBreakBefore w:val="0"/>
        <w:kinsoku/>
        <w:wordWrap/>
        <w:overflowPunct/>
        <w:topLinePunct w:val="0"/>
        <w:bidi w:val="0"/>
        <w:snapToGrid/>
        <w:spacing w:beforeAutospacing="0" w:line="58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rPr>
        <w:t>4.进一步提升财务服务水平。</w:t>
      </w:r>
      <w:r>
        <w:rPr>
          <w:rFonts w:hint="eastAsia" w:ascii="仿宋_GB2312" w:hAnsi="仿宋_GB2312" w:eastAsia="仿宋_GB2312" w:cs="仿宋_GB2312"/>
          <w:color w:val="auto"/>
          <w:sz w:val="30"/>
          <w:szCs w:val="30"/>
          <w:highlight w:val="none"/>
          <w:lang w:eastAsia="zh-CN"/>
        </w:rPr>
        <w:t>要赋管理于服务之中，</w:t>
      </w:r>
      <w:r>
        <w:rPr>
          <w:rFonts w:hint="eastAsia" w:ascii="仿宋_GB2312" w:hAnsi="仿宋_GB2312" w:eastAsia="仿宋_GB2312" w:cs="仿宋_GB2312"/>
          <w:color w:val="auto"/>
          <w:sz w:val="30"/>
          <w:szCs w:val="30"/>
          <w:highlight w:val="none"/>
        </w:rPr>
        <w:t>通过网上报账、预算管理两大新系统与现有财务系统的成功对接，实现我校财务管理信息化水平再提升，为我校构建预算执行情况分析体系，完善财务评价制度，及时了解财务运行情况，进行科学决策和管理提供有力抓手</w:t>
      </w:r>
      <w:r>
        <w:rPr>
          <w:rFonts w:hint="eastAsia" w:ascii="仿宋_GB2312" w:hAnsi="仿宋_GB2312" w:eastAsia="仿宋_GB2312" w:cs="仿宋_GB2312"/>
          <w:color w:val="auto"/>
          <w:sz w:val="30"/>
          <w:szCs w:val="30"/>
          <w:highlight w:val="none"/>
          <w:lang w:eastAsia="zh-CN"/>
        </w:rPr>
        <w:t>，做到润物无声</w:t>
      </w:r>
      <w:r>
        <w:rPr>
          <w:rFonts w:hint="eastAsia" w:ascii="仿宋_GB2312" w:hAnsi="仿宋_GB2312" w:eastAsia="仿宋_GB2312" w:cs="仿宋_GB2312"/>
          <w:color w:val="auto"/>
          <w:sz w:val="30"/>
          <w:szCs w:val="30"/>
          <w:highlight w:val="none"/>
        </w:rPr>
        <w:t>。</w:t>
      </w:r>
    </w:p>
    <w:p>
      <w:pPr>
        <w:keepNext w:val="0"/>
        <w:keepLines w:val="0"/>
        <w:pageBreakBefore w:val="0"/>
        <w:widowControl/>
        <w:kinsoku/>
        <w:wordWrap/>
        <w:overflowPunct/>
        <w:topLinePunct w:val="0"/>
        <w:bidi w:val="0"/>
        <w:snapToGrid/>
        <w:spacing w:beforeAutospacing="0" w:line="580" w:lineRule="exact"/>
        <w:ind w:firstLine="600" w:firstLineChars="200"/>
        <w:jc w:val="left"/>
        <w:textAlignment w:val="auto"/>
        <w:rPr>
          <w:rFonts w:hint="eastAsia" w:ascii="黑体" w:hAnsi="黑体" w:eastAsia="黑体" w:cs="黑体"/>
          <w:sz w:val="30"/>
          <w:szCs w:val="30"/>
          <w:highlight w:val="none"/>
        </w:rPr>
      </w:pPr>
      <w:r>
        <w:rPr>
          <w:rFonts w:hint="eastAsia" w:ascii="黑体" w:hAnsi="黑体" w:eastAsia="黑体" w:cs="黑体"/>
          <w:sz w:val="30"/>
          <w:szCs w:val="30"/>
          <w:highlight w:val="none"/>
        </w:rPr>
        <w:t>九、单位整体支出绩效自评结果拟应用和公开情况</w:t>
      </w: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对绩效评价结果中存在的问题，督促落实整改措施，及时督促调整工作计划、绩效目标，加强项目财务管理，提高资金使用效益；对绩效评价中发现的各种违法、违规问题依法处理，严肃财经纪律，确保资金的有效使用。</w:t>
      </w: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部门整体支出情况及绩效自评结果将在学校官网上进行公开公示，接受广大师生和社会的监督。绩效评价结果作为为下一年预算编制提供参考。</w:t>
      </w: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sz w:val="30"/>
          <w:szCs w:val="30"/>
          <w:lang w:eastAsia="zh-CN"/>
        </w:rPr>
      </w:pP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sz w:val="30"/>
          <w:szCs w:val="30"/>
          <w:lang w:eastAsia="zh-CN"/>
        </w:rPr>
      </w:pP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sz w:val="30"/>
          <w:szCs w:val="30"/>
          <w:lang w:eastAsia="zh-CN"/>
        </w:rPr>
      </w:pP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sz w:val="30"/>
          <w:szCs w:val="30"/>
          <w:lang w:eastAsia="zh-CN"/>
        </w:rPr>
      </w:pPr>
    </w:p>
    <w:p>
      <w:pPr>
        <w:pStyle w:val="2"/>
        <w:keepNext w:val="0"/>
        <w:keepLines w:val="0"/>
        <w:pageBreakBefore w:val="0"/>
        <w:kinsoku/>
        <w:wordWrap/>
        <w:overflowPunct/>
        <w:topLinePunct w:val="0"/>
        <w:bidi w:val="0"/>
        <w:snapToGrid/>
        <w:spacing w:before="0" w:beforeAutospacing="0" w:line="580" w:lineRule="exact"/>
        <w:ind w:firstLine="600" w:firstLineChars="200"/>
        <w:textAlignment w:val="auto"/>
        <w:rPr>
          <w:rFonts w:hint="eastAsia" w:ascii="仿宋_GB2312" w:hAnsi="仿宋_GB2312" w:eastAsia="仿宋_GB2312" w:cs="仿宋_GB2312"/>
          <w:sz w:val="30"/>
          <w:szCs w:val="30"/>
          <w:lang w:eastAsia="zh-CN"/>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1CA98"/>
    <w:multiLevelType w:val="singleLevel"/>
    <w:tmpl w:val="9951CA98"/>
    <w:lvl w:ilvl="0" w:tentative="0">
      <w:start w:val="1"/>
      <w:numFmt w:val="decimal"/>
      <w:suff w:val="nothing"/>
      <w:lvlText w:val="（%1）"/>
      <w:lvlJc w:val="left"/>
    </w:lvl>
  </w:abstractNum>
  <w:abstractNum w:abstractNumId="1">
    <w:nsid w:val="AF997B01"/>
    <w:multiLevelType w:val="singleLevel"/>
    <w:tmpl w:val="AF997B01"/>
    <w:lvl w:ilvl="0" w:tentative="0">
      <w:start w:val="1"/>
      <w:numFmt w:val="decimal"/>
      <w:suff w:val="nothing"/>
      <w:lvlText w:val="（%1）"/>
      <w:lvlJc w:val="left"/>
    </w:lvl>
  </w:abstractNum>
  <w:abstractNum w:abstractNumId="2">
    <w:nsid w:val="C3F7B6E2"/>
    <w:multiLevelType w:val="singleLevel"/>
    <w:tmpl w:val="C3F7B6E2"/>
    <w:lvl w:ilvl="0" w:tentative="0">
      <w:start w:val="3"/>
      <w:numFmt w:val="decimal"/>
      <w:suff w:val="nothing"/>
      <w:lvlText w:val="%1、"/>
      <w:lvlJc w:val="left"/>
    </w:lvl>
  </w:abstractNum>
  <w:abstractNum w:abstractNumId="3">
    <w:nsid w:val="C9ADF8E6"/>
    <w:multiLevelType w:val="singleLevel"/>
    <w:tmpl w:val="C9ADF8E6"/>
    <w:lvl w:ilvl="0" w:tentative="0">
      <w:start w:val="1"/>
      <w:numFmt w:val="decimal"/>
      <w:suff w:val="nothing"/>
      <w:lvlText w:val="（%1）"/>
      <w:lvlJc w:val="left"/>
    </w:lvl>
  </w:abstractNum>
  <w:abstractNum w:abstractNumId="4">
    <w:nsid w:val="FE8F2774"/>
    <w:multiLevelType w:val="singleLevel"/>
    <w:tmpl w:val="FE8F2774"/>
    <w:lvl w:ilvl="0" w:tentative="0">
      <w:start w:val="1"/>
      <w:numFmt w:val="decimal"/>
      <w:suff w:val="nothing"/>
      <w:lvlText w:val="（%1）"/>
      <w:lvlJc w:val="left"/>
    </w:lvl>
  </w:abstractNum>
  <w:abstractNum w:abstractNumId="5">
    <w:nsid w:val="07DD3015"/>
    <w:multiLevelType w:val="singleLevel"/>
    <w:tmpl w:val="07DD3015"/>
    <w:lvl w:ilvl="0" w:tentative="0">
      <w:start w:val="1"/>
      <w:numFmt w:val="chineseCounting"/>
      <w:suff w:val="nothing"/>
      <w:lvlText w:val="%1、"/>
      <w:lvlJc w:val="left"/>
      <w:pPr>
        <w:ind w:left="-2"/>
      </w:pPr>
      <w:rPr>
        <w:rFonts w:hint="eastAsia"/>
      </w:rPr>
    </w:lvl>
  </w:abstractNum>
  <w:abstractNum w:abstractNumId="6">
    <w:nsid w:val="1803E67C"/>
    <w:multiLevelType w:val="singleLevel"/>
    <w:tmpl w:val="1803E67C"/>
    <w:lvl w:ilvl="0" w:tentative="0">
      <w:start w:val="2"/>
      <w:numFmt w:val="chineseCounting"/>
      <w:suff w:val="nothing"/>
      <w:lvlText w:val="（%1）"/>
      <w:lvlJc w:val="left"/>
      <w:rPr>
        <w:rFonts w:hint="eastAsia"/>
      </w:rPr>
    </w:lvl>
  </w:abstractNum>
  <w:abstractNum w:abstractNumId="7">
    <w:nsid w:val="6C62F132"/>
    <w:multiLevelType w:val="singleLevel"/>
    <w:tmpl w:val="6C62F132"/>
    <w:lvl w:ilvl="0" w:tentative="0">
      <w:start w:val="1"/>
      <w:numFmt w:val="decimal"/>
      <w:suff w:val="nothing"/>
      <w:lvlText w:val="（%1）"/>
      <w:lvlJc w:val="left"/>
    </w:lvl>
  </w:abstractNum>
  <w:num w:numId="1">
    <w:abstractNumId w:val="2"/>
  </w:num>
  <w:num w:numId="2">
    <w:abstractNumId w:val="5"/>
  </w:num>
  <w:num w:numId="3">
    <w:abstractNumId w:val="6"/>
  </w:num>
  <w:num w:numId="4">
    <w:abstractNumId w:val="0"/>
  </w:num>
  <w:num w:numId="5">
    <w:abstractNumId w:val="3"/>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zZDFkNTJlYjQzYTEwOGRlOGExZjA5MjA2YzEyNmEifQ=="/>
  </w:docVars>
  <w:rsids>
    <w:rsidRoot w:val="00000000"/>
    <w:rsid w:val="003B1604"/>
    <w:rsid w:val="00A566D5"/>
    <w:rsid w:val="01C012ED"/>
    <w:rsid w:val="034A70C0"/>
    <w:rsid w:val="036839EA"/>
    <w:rsid w:val="03EF0962"/>
    <w:rsid w:val="04CC1D57"/>
    <w:rsid w:val="052676B9"/>
    <w:rsid w:val="057C552B"/>
    <w:rsid w:val="06974A6E"/>
    <w:rsid w:val="0705522E"/>
    <w:rsid w:val="083B22F2"/>
    <w:rsid w:val="089B03BE"/>
    <w:rsid w:val="09095327"/>
    <w:rsid w:val="091F0FEF"/>
    <w:rsid w:val="09436A8B"/>
    <w:rsid w:val="0C1666D9"/>
    <w:rsid w:val="0C2B3807"/>
    <w:rsid w:val="0CFE2CC9"/>
    <w:rsid w:val="0D442DD2"/>
    <w:rsid w:val="0D7C7D44"/>
    <w:rsid w:val="121C256F"/>
    <w:rsid w:val="127F48AC"/>
    <w:rsid w:val="12C56763"/>
    <w:rsid w:val="13207E3D"/>
    <w:rsid w:val="13555C66"/>
    <w:rsid w:val="13BB1914"/>
    <w:rsid w:val="14B06F9F"/>
    <w:rsid w:val="154A5893"/>
    <w:rsid w:val="15BB209F"/>
    <w:rsid w:val="17DA4A5F"/>
    <w:rsid w:val="18205602"/>
    <w:rsid w:val="1A5328A6"/>
    <w:rsid w:val="1D28626C"/>
    <w:rsid w:val="1ECE699F"/>
    <w:rsid w:val="1EF74148"/>
    <w:rsid w:val="205904EB"/>
    <w:rsid w:val="20A200E4"/>
    <w:rsid w:val="21197C6C"/>
    <w:rsid w:val="21D20555"/>
    <w:rsid w:val="22F64717"/>
    <w:rsid w:val="263C68E5"/>
    <w:rsid w:val="2644463F"/>
    <w:rsid w:val="273932D9"/>
    <w:rsid w:val="286332DD"/>
    <w:rsid w:val="2932632A"/>
    <w:rsid w:val="2B536BAA"/>
    <w:rsid w:val="2BDE3F9A"/>
    <w:rsid w:val="2C31056E"/>
    <w:rsid w:val="2D4367AA"/>
    <w:rsid w:val="306A22A0"/>
    <w:rsid w:val="308C311F"/>
    <w:rsid w:val="31A627B9"/>
    <w:rsid w:val="32807B59"/>
    <w:rsid w:val="32E77BD8"/>
    <w:rsid w:val="33F325DD"/>
    <w:rsid w:val="34993154"/>
    <w:rsid w:val="35B50461"/>
    <w:rsid w:val="38561A88"/>
    <w:rsid w:val="3914512A"/>
    <w:rsid w:val="39D8622D"/>
    <w:rsid w:val="3A0732AD"/>
    <w:rsid w:val="3A804B9A"/>
    <w:rsid w:val="3AE315CD"/>
    <w:rsid w:val="3AFF1F91"/>
    <w:rsid w:val="3BD333EF"/>
    <w:rsid w:val="3BD74C8E"/>
    <w:rsid w:val="3CAD1E92"/>
    <w:rsid w:val="3E5325C6"/>
    <w:rsid w:val="3F4B6AEF"/>
    <w:rsid w:val="3F76656C"/>
    <w:rsid w:val="423773F7"/>
    <w:rsid w:val="4326474D"/>
    <w:rsid w:val="442E1B0B"/>
    <w:rsid w:val="45442C68"/>
    <w:rsid w:val="457E2FEE"/>
    <w:rsid w:val="472114B3"/>
    <w:rsid w:val="497A5406"/>
    <w:rsid w:val="4B5A1437"/>
    <w:rsid w:val="4DFA480C"/>
    <w:rsid w:val="4EDF651A"/>
    <w:rsid w:val="4FF57980"/>
    <w:rsid w:val="518E0122"/>
    <w:rsid w:val="51F37EF0"/>
    <w:rsid w:val="54C67D59"/>
    <w:rsid w:val="57201787"/>
    <w:rsid w:val="578B2EF1"/>
    <w:rsid w:val="578F2469"/>
    <w:rsid w:val="57ED0FBA"/>
    <w:rsid w:val="591C41D0"/>
    <w:rsid w:val="59350DEE"/>
    <w:rsid w:val="59835FFD"/>
    <w:rsid w:val="5A225816"/>
    <w:rsid w:val="5D017965"/>
    <w:rsid w:val="5E343D6A"/>
    <w:rsid w:val="5EB86749"/>
    <w:rsid w:val="60824919"/>
    <w:rsid w:val="62E96ED1"/>
    <w:rsid w:val="63AC178F"/>
    <w:rsid w:val="6B122D3D"/>
    <w:rsid w:val="6B827EC3"/>
    <w:rsid w:val="6D443964"/>
    <w:rsid w:val="6D800432"/>
    <w:rsid w:val="6DB4632D"/>
    <w:rsid w:val="6FB443DB"/>
    <w:rsid w:val="6FC21BFD"/>
    <w:rsid w:val="6FF173C5"/>
    <w:rsid w:val="72744FEC"/>
    <w:rsid w:val="73A17354"/>
    <w:rsid w:val="75093403"/>
    <w:rsid w:val="75AB270C"/>
    <w:rsid w:val="79DD6C0C"/>
    <w:rsid w:val="7A074806"/>
    <w:rsid w:val="7CED360A"/>
    <w:rsid w:val="7E8F4979"/>
    <w:rsid w:val="7FE9630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before="100" w:beforeAutospacing="1"/>
    </w:pPr>
    <w:rPr>
      <w:kern w:val="0"/>
      <w:sz w:val="20"/>
    </w:r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8"/>
    <w:link w:val="3"/>
    <w:semiHidden/>
    <w:qFormat/>
    <w:uiPriority w:val="99"/>
    <w:rPr>
      <w:sz w:val="18"/>
      <w:szCs w:val="18"/>
    </w:rPr>
  </w:style>
  <w:style w:type="character" w:customStyle="1" w:styleId="15">
    <w:name w:val="font01"/>
    <w:basedOn w:val="8"/>
    <w:qFormat/>
    <w:uiPriority w:val="0"/>
    <w:rPr>
      <w:rFonts w:hint="eastAsia" w:ascii="宋体" w:hAnsi="宋体" w:eastAsia="宋体" w:cs="宋体"/>
      <w:color w:val="000000"/>
      <w:sz w:val="22"/>
      <w:szCs w:val="22"/>
      <w:u w:val="none"/>
    </w:rPr>
  </w:style>
  <w:style w:type="character" w:customStyle="1" w:styleId="16">
    <w:name w:val="font21"/>
    <w:basedOn w:val="8"/>
    <w:qFormat/>
    <w:uiPriority w:val="0"/>
    <w:rPr>
      <w:rFonts w:hint="eastAsia" w:ascii="宋体" w:hAnsi="宋体" w:eastAsia="宋体" w:cs="宋体"/>
      <w:color w:val="000000"/>
      <w:sz w:val="24"/>
      <w:szCs w:val="24"/>
      <w:u w:val="none"/>
    </w:rPr>
  </w:style>
  <w:style w:type="character" w:customStyle="1" w:styleId="17">
    <w:name w:val="font1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10.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2023-08-16T01:28:00Z</cp:lastPrinted>
  <dcterms:created xsi:type="dcterms:W3CDTF">2020-07-05T10:32:00Z</dcterms:created>
  <dcterms:modified xsi:type="dcterms:W3CDTF">2023-08-25T10:33:09Z</dcterms:modified>
</cp:coreProperties>
</file>

<file path=customXml/item3.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Office_11.8.2.10195_F1E327BC-269C-435d-A152-05C5408002CA</Application>
  <DocSecurity>0</DocSecurity>
  <Lines>63</Lines>
  <Paragraphs>18</Paragraphs>
  <Company>Microsoft</Company>
  <CharactersWithSpaces>9008</CharactersWithSpaces>
  <AppVersion>14.0000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str>2052-11.8.2.10195</vt:lp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6.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be9f6611-6f78-44f5-8b04-b949e6a8fb3e}">
  <ds:schemaRefs/>
</ds:datastoreItem>
</file>

<file path=customXml/itemProps2.xml><?xml version="1.0" encoding="utf-8"?>
<ds:datastoreItem xmlns:ds="http://schemas.openxmlformats.org/officeDocument/2006/customXml" ds:itemID="{8c49c71d-2e06-4786-adbf-490a4c025160}">
  <ds:schemaRefs/>
</ds:datastoreItem>
</file>

<file path=customXml/itemProps3.xml><?xml version="1.0" encoding="utf-8"?>
<ds:datastoreItem xmlns:ds="http://schemas.openxmlformats.org/officeDocument/2006/customXml" ds:itemID="{1127d349-323f-4a94-84c4-6b13718795b7}">
  <ds:schemaRefs/>
</ds:datastoreItem>
</file>

<file path=customXml/itemProps4.xml><?xml version="1.0" encoding="utf-8"?>
<ds:datastoreItem xmlns:ds="http://schemas.openxmlformats.org/officeDocument/2006/customXml" ds:itemID="{c6a30218-f79b-4576-8f4d-87e4ce81ccc6}">
  <ds:schemaRefs/>
</ds:datastoreItem>
</file>

<file path=customXml/itemProps5.xml><?xml version="1.0" encoding="utf-8"?>
<ds:datastoreItem xmlns:ds="http://schemas.openxmlformats.org/officeDocument/2006/customXml" ds:itemID="{7e7cc2b2-f10d-40a2-944d-c0ec8d785fcf}">
  <ds:schemaRefs/>
</ds:datastoreItem>
</file>

<file path=customXml/itemProps6.xml><?xml version="1.0" encoding="utf-8"?>
<ds:datastoreItem xmlns:ds="http://schemas.openxmlformats.org/officeDocument/2006/customXml" ds:itemID="{25e207af-306c-4c57-8174-c1be6f022666}">
  <ds:schemaRefs/>
</ds:datastoreItem>
</file>

<file path=customXml/itemProps7.xml><?xml version="1.0" encoding="utf-8"?>
<ds:datastoreItem xmlns:ds="http://schemas.openxmlformats.org/officeDocument/2006/customXml" ds:itemID="{e7479ede-70a3-4d8d-8386-e726fbeaf40b}">
  <ds:schemaRefs/>
</ds:datastoreItem>
</file>

<file path=customXml/itemProps8.xml><?xml version="1.0" encoding="utf-8"?>
<ds:datastoreItem xmlns:ds="http://schemas.openxmlformats.org/officeDocument/2006/customXml" ds:itemID="{902c051f-dc16-46eb-bbde-8f9e04b1d862}">
  <ds:schemaRefs/>
</ds:datastoreItem>
</file>

<file path=customXml/itemProps9.xml><?xml version="1.0" encoding="utf-8"?>
<ds:datastoreItem xmlns:ds="http://schemas.openxmlformats.org/officeDocument/2006/customXml" ds:itemID="{4d28535a-cf37-4fae-940d-ecfc3ec795b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13250</Words>
  <Characters>14101</Characters>
  <Lines>63</Lines>
  <Paragraphs>18</Paragraphs>
  <TotalTime>233</TotalTime>
  <ScaleCrop>false</ScaleCrop>
  <LinksUpToDate>false</LinksUpToDate>
  <CharactersWithSpaces>14185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caroline</cp:lastModifiedBy>
  <cp:lastPrinted>2023-08-16T01:28:00Z</cp:lastPrinted>
  <dcterms:modified xsi:type="dcterms:W3CDTF">2023-09-14T02:28:47Z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9726991EE922427CADD48438FA2F9F01</vt:lpwstr>
  </property>
</Properties>
</file>