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4AB9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Fonts w:ascii="微软雅黑" w:hAnsi="微软雅黑" w:eastAsia="微软雅黑" w:cs="微软雅黑"/>
          <w:i w:val="0"/>
          <w:iCs w:val="0"/>
          <w:caps w:val="0"/>
          <w:color w:val="494949"/>
          <w:spacing w:val="0"/>
          <w:sz w:val="22"/>
          <w:szCs w:val="22"/>
        </w:rPr>
      </w:pPr>
      <w:bookmarkStart w:id="58" w:name="_GoBack"/>
      <w:r>
        <w:rPr>
          <w:rStyle w:val="7"/>
          <w:rFonts w:ascii="黑体" w:hAnsi="宋体" w:eastAsia="黑体" w:cs="黑体"/>
          <w:b/>
          <w:bCs/>
          <w:i w:val="0"/>
          <w:iCs w:val="0"/>
          <w:caps w:val="0"/>
          <w:color w:val="000000"/>
          <w:spacing w:val="0"/>
          <w:sz w:val="52"/>
          <w:szCs w:val="52"/>
          <w:bdr w:val="none" w:color="auto" w:sz="0" w:space="0"/>
          <w:shd w:val="clear" w:fill="FFFFFF"/>
        </w:rPr>
        <w:t>2022年度湖南现代物流职业技术</w:t>
      </w:r>
    </w:p>
    <w:p w14:paraId="09714A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Fonts w:hint="eastAsia" w:ascii="微软雅黑" w:hAnsi="微软雅黑" w:eastAsia="微软雅黑" w:cs="微软雅黑"/>
          <w:i w:val="0"/>
          <w:iCs w:val="0"/>
          <w:caps w:val="0"/>
          <w:color w:val="494949"/>
          <w:spacing w:val="0"/>
          <w:sz w:val="22"/>
          <w:szCs w:val="22"/>
        </w:rPr>
      </w:pPr>
      <w:bookmarkStart w:id="0" w:name="_Toc24697"/>
      <w:bookmarkEnd w:id="0"/>
      <w:bookmarkStart w:id="1" w:name="_Toc7002"/>
      <w:bookmarkEnd w:id="1"/>
      <w:r>
        <w:rPr>
          <w:rStyle w:val="7"/>
          <w:rFonts w:hint="eastAsia" w:ascii="黑体" w:hAnsi="宋体" w:eastAsia="黑体" w:cs="黑体"/>
          <w:b/>
          <w:bCs/>
          <w:i w:val="0"/>
          <w:iCs w:val="0"/>
          <w:caps w:val="0"/>
          <w:color w:val="000000"/>
          <w:spacing w:val="0"/>
          <w:sz w:val="52"/>
          <w:szCs w:val="52"/>
          <w:bdr w:val="none" w:color="auto" w:sz="0" w:space="0"/>
          <w:shd w:val="clear" w:fill="FFFFFF"/>
        </w:rPr>
        <w:t>学院部门决算</w:t>
      </w:r>
      <w:bookmarkEnd w:id="58"/>
    </w:p>
    <w:p w14:paraId="7F0EE6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03196E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Fonts w:hint="eastAsia" w:ascii="微软雅黑" w:hAnsi="微软雅黑" w:eastAsia="微软雅黑" w:cs="微软雅黑"/>
          <w:i w:val="0"/>
          <w:iCs w:val="0"/>
          <w:caps w:val="0"/>
          <w:color w:val="494949"/>
          <w:spacing w:val="0"/>
          <w:sz w:val="22"/>
          <w:szCs w:val="22"/>
        </w:rPr>
      </w:pPr>
      <w:r>
        <w:rPr>
          <w:rFonts w:hint="eastAsia" w:ascii="黑体" w:hAnsi="宋体" w:eastAsia="黑体" w:cs="黑体"/>
          <w:i w:val="0"/>
          <w:iCs w:val="0"/>
          <w:caps w:val="0"/>
          <w:color w:val="494949"/>
          <w:spacing w:val="0"/>
          <w:sz w:val="32"/>
          <w:szCs w:val="32"/>
          <w:bdr w:val="none" w:color="auto" w:sz="0" w:space="0"/>
          <w:shd w:val="clear" w:fill="FFFFFF"/>
        </w:rPr>
        <w:t>目录</w:t>
      </w:r>
    </w:p>
    <w:p w14:paraId="725DFF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"_Toc8769"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b/>
          <w:bCs/>
          <w:i w:val="0"/>
          <w:iCs w:val="0"/>
          <w:caps w:val="0"/>
          <w:color w:val="494949"/>
          <w:spacing w:val="0"/>
          <w:sz w:val="28"/>
          <w:szCs w:val="28"/>
          <w:u w:val="none"/>
          <w:bdr w:val="none" w:color="auto" w:sz="0" w:space="0"/>
          <w:shd w:val="clear" w:fill="FFFFFF"/>
        </w:rPr>
        <w:t>第一部分湖南现代物流职业技术学院概况 1</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p>
    <w:p w14:paraId="01A0AA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"_Toc11213"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一、部门职责 2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p>
    <w:p w14:paraId="3C34548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"_Toc11439"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二、机构设置 4</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p>
    <w:p w14:paraId="62CD551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"_Toc25337"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b/>
          <w:bCs/>
          <w:i w:val="0"/>
          <w:iCs w:val="0"/>
          <w:caps w:val="0"/>
          <w:color w:val="494949"/>
          <w:spacing w:val="0"/>
          <w:sz w:val="28"/>
          <w:szCs w:val="28"/>
          <w:u w:val="none"/>
          <w:bdr w:val="none" w:color="auto" w:sz="0" w:space="0"/>
          <w:shd w:val="clear" w:fill="FFFFFF"/>
        </w:rPr>
        <w:t>第二部分湖南现代物流职业技术学院2022年度部门决算表 6</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p>
    <w:p w14:paraId="1E38342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一、</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"_Toc13616"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收入支出决算总表 7</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p>
    <w:p w14:paraId="07C37D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二、</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"_Toc14338"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收入决算表 8</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p>
    <w:p w14:paraId="47E2CB8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三、</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"_Toc12998"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支出决算表 1</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0</w:t>
      </w:r>
    </w:p>
    <w:p w14:paraId="6A6DEFB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四、</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"_Toc6395"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财政拨款收入支出决算总表 1</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2</w:t>
      </w:r>
    </w:p>
    <w:p w14:paraId="02CAE7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五、</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"_Toc585"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一般公共预算财政拨款支出决算表 1</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3</w:t>
      </w:r>
    </w:p>
    <w:p w14:paraId="715342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六、</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"_Toc21577"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一般公共预算财政拨款基本支出决算明细表 1</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5</w:t>
      </w:r>
    </w:p>
    <w:p w14:paraId="20D861A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七、政府性基金预算财政拨款收入支出决算表</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"_Toc31101"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 1</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7</w:t>
      </w:r>
    </w:p>
    <w:p w14:paraId="5E48D6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八、国有资本经营预算财政拨款支出决算表</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"_Toc6941"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 1</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8</w:t>
      </w:r>
    </w:p>
    <w:p w14:paraId="14485C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九、财政拨款“三公”经费支出决算表</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"_Toc20348"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 1</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9</w:t>
      </w:r>
    </w:p>
    <w:p w14:paraId="512EBF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"_Toc16390"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b/>
          <w:bCs/>
          <w:i w:val="0"/>
          <w:iCs w:val="0"/>
          <w:caps w:val="0"/>
          <w:color w:val="494949"/>
          <w:spacing w:val="0"/>
          <w:sz w:val="28"/>
          <w:szCs w:val="28"/>
          <w:u w:val="none"/>
          <w:bdr w:val="none" w:color="auto" w:sz="0" w:space="0"/>
          <w:shd w:val="clear" w:fill="FFFFFF"/>
        </w:rPr>
        <w:t>第三部分湖南现代物流职业技术学院2022年度部门决算情况说明 2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Style w:val="7"/>
          <w:rFonts w:hint="eastAsia" w:ascii="宋体" w:hAnsi="宋体" w:eastAsia="宋体" w:cs="宋体"/>
          <w:b/>
          <w:bCs/>
          <w:i w:val="0"/>
          <w:iCs w:val="0"/>
          <w:caps w:val="0"/>
          <w:color w:val="494949"/>
          <w:spacing w:val="0"/>
          <w:sz w:val="28"/>
          <w:szCs w:val="28"/>
          <w:bdr w:val="none" w:color="auto" w:sz="0" w:space="0"/>
          <w:shd w:val="clear" w:fill="FFFFFF"/>
        </w:rPr>
        <w:t>0</w:t>
      </w:r>
    </w:p>
    <w:p w14:paraId="7402B58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"_Toc16573"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一、收入支出决算总体情况说明 2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1</w:t>
      </w:r>
    </w:p>
    <w:p w14:paraId="5D47F0F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"_Toc1102"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二、收入决算情况说明 2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1</w:t>
      </w:r>
    </w:p>
    <w:p w14:paraId="0368B1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"_Toc20701"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三、支出决算情况说明 21</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p>
    <w:p w14:paraId="4906056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"_Toc1623"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四、财政拨款收入支出决算总体情况说明 21</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p>
    <w:p w14:paraId="0C0B79E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"_Toc12713"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五、一般公共预算财政拨款支出决算情况说明 21</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p>
    <w:p w14:paraId="0D0A82E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"_Toc13541"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六、一般公共预算财政拨款基本支出决算情况说明 2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3</w:t>
      </w:r>
    </w:p>
    <w:p w14:paraId="7D6C11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"_Toc8779"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七、一般公共预算财政拨款三公经费支出决算情况说明 2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3</w:t>
      </w:r>
    </w:p>
    <w:p w14:paraId="74438E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"_Toc8379"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八、政府性基金预算收入支出决算情况 2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4</w:t>
      </w:r>
    </w:p>
    <w:p w14:paraId="0BB1C5F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"_Toc3511"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九、关于机关运行经费支出说明 2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5</w:t>
      </w:r>
    </w:p>
    <w:p w14:paraId="19612F9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"_Toc6478"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十、一般性支出情况 25</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p>
    <w:p w14:paraId="45F82C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"_Toc7316"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十一、关于政府采购支出说明 2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5</w:t>
      </w:r>
    </w:p>
    <w:p w14:paraId="7485408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"_Toc1932"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十二、关于国有资产占用情况说明 2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5</w:t>
      </w:r>
    </w:p>
    <w:p w14:paraId="101692D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42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"_Toc29561"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i w:val="0"/>
          <w:iCs w:val="0"/>
          <w:caps w:val="0"/>
          <w:color w:val="494949"/>
          <w:spacing w:val="0"/>
          <w:sz w:val="28"/>
          <w:szCs w:val="28"/>
          <w:u w:val="none"/>
          <w:bdr w:val="none" w:color="auto" w:sz="0" w:space="0"/>
          <w:shd w:val="clear" w:fill="FFFFFF"/>
        </w:rPr>
        <w:t>十三、关于预算绩效情况的说明 2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Fonts w:hint="eastAsia" w:ascii="宋体" w:hAnsi="宋体" w:eastAsia="宋体" w:cs="宋体"/>
          <w:i w:val="0"/>
          <w:iCs w:val="0"/>
          <w:caps w:val="0"/>
          <w:color w:val="494949"/>
          <w:spacing w:val="0"/>
          <w:sz w:val="28"/>
          <w:szCs w:val="28"/>
          <w:bdr w:val="none" w:color="auto" w:sz="0" w:space="0"/>
          <w:shd w:val="clear" w:fill="FFFFFF"/>
        </w:rPr>
        <w:t>6</w:t>
      </w:r>
    </w:p>
    <w:p w14:paraId="0FE3745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begin"/>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instrText xml:space="preserve"> HYPERLINK "https://www.hmlc.edu.cn/info/1020/13192.htm" \l "_Toc18340" </w:instrTex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separate"/>
      </w:r>
      <w:r>
        <w:rPr>
          <w:rStyle w:val="8"/>
          <w:rFonts w:hint="eastAsia" w:ascii="宋体" w:hAnsi="宋体" w:eastAsia="宋体" w:cs="宋体"/>
          <w:b/>
          <w:bCs/>
          <w:i w:val="0"/>
          <w:iCs w:val="0"/>
          <w:caps w:val="0"/>
          <w:color w:val="494949"/>
          <w:spacing w:val="0"/>
          <w:sz w:val="28"/>
          <w:szCs w:val="28"/>
          <w:u w:val="none"/>
          <w:bdr w:val="none" w:color="auto" w:sz="0" w:space="0"/>
          <w:shd w:val="clear" w:fill="FFFFFF"/>
        </w:rPr>
        <w:t>第四部分名词解释 2</w:t>
      </w:r>
      <w:r>
        <w:rPr>
          <w:rFonts w:hint="eastAsia" w:ascii="微软雅黑" w:hAnsi="微软雅黑" w:eastAsia="微软雅黑" w:cs="微软雅黑"/>
          <w:i w:val="0"/>
          <w:iCs w:val="0"/>
          <w:caps w:val="0"/>
          <w:color w:val="494949"/>
          <w:spacing w:val="0"/>
          <w:sz w:val="22"/>
          <w:szCs w:val="22"/>
          <w:u w:val="none"/>
          <w:bdr w:val="none" w:color="auto" w:sz="0" w:space="0"/>
          <w:shd w:val="clear" w:fill="FFFFFF"/>
        </w:rPr>
        <w:fldChar w:fldCharType="end"/>
      </w:r>
      <w:r>
        <w:rPr>
          <w:rStyle w:val="7"/>
          <w:rFonts w:hint="eastAsia" w:ascii="宋体" w:hAnsi="宋体" w:eastAsia="宋体" w:cs="宋体"/>
          <w:b/>
          <w:bCs/>
          <w:i w:val="0"/>
          <w:iCs w:val="0"/>
          <w:caps w:val="0"/>
          <w:color w:val="494949"/>
          <w:spacing w:val="0"/>
          <w:sz w:val="28"/>
          <w:szCs w:val="28"/>
          <w:bdr w:val="none" w:color="auto" w:sz="0" w:space="0"/>
          <w:shd w:val="clear" w:fill="FFFFFF"/>
        </w:rPr>
        <w:t>8</w:t>
      </w:r>
    </w:p>
    <w:p w14:paraId="34D408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600" w:lineRule="atLeast"/>
        <w:ind w:left="0" w:right="0" w:firstLine="562"/>
        <w:jc w:val="both"/>
        <w:rPr>
          <w:rFonts w:hint="eastAsia" w:ascii="微软雅黑" w:hAnsi="微软雅黑" w:eastAsia="微软雅黑" w:cs="微软雅黑"/>
          <w:i w:val="0"/>
          <w:iCs w:val="0"/>
          <w:caps w:val="0"/>
          <w:color w:val="494949"/>
          <w:spacing w:val="0"/>
          <w:sz w:val="22"/>
          <w:szCs w:val="22"/>
        </w:rPr>
      </w:pPr>
      <w:r>
        <w:rPr>
          <w:rFonts w:hint="eastAsia" w:ascii="微软雅黑" w:hAnsi="微软雅黑" w:eastAsia="微软雅黑" w:cs="微软雅黑"/>
          <w:i w:val="0"/>
          <w:iCs w:val="0"/>
          <w:caps w:val="0"/>
          <w:color w:val="494949"/>
          <w:spacing w:val="0"/>
          <w:sz w:val="22"/>
          <w:szCs w:val="22"/>
          <w:bdr w:val="none" w:color="auto" w:sz="0" w:space="0"/>
          <w:shd w:val="clear" w:fill="FFFFFF"/>
        </w:rPr>
        <w:t> </w:t>
      </w:r>
    </w:p>
    <w:p w14:paraId="4197226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2032BF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Fonts w:hint="default" w:ascii="Calibri" w:hAnsi="Calibri" w:cs="Calibri"/>
          <w:b/>
          <w:bCs/>
          <w:i w:val="0"/>
          <w:iCs w:val="0"/>
          <w:caps w:val="0"/>
          <w:color w:val="494949"/>
          <w:spacing w:val="0"/>
          <w:sz w:val="44"/>
          <w:szCs w:val="44"/>
        </w:rPr>
      </w:pPr>
      <w:bookmarkStart w:id="2" w:name="_Toc8769"/>
      <w:bookmarkEnd w:id="2"/>
      <w:bookmarkStart w:id="3" w:name="_Toc440"/>
      <w:bookmarkEnd w:id="3"/>
      <w:r>
        <w:rPr>
          <w:rStyle w:val="7"/>
          <w:rFonts w:hint="eastAsia" w:ascii="黑体" w:hAnsi="宋体" w:eastAsia="黑体" w:cs="黑体"/>
          <w:b/>
          <w:bCs/>
          <w:i w:val="0"/>
          <w:iCs w:val="0"/>
          <w:caps w:val="0"/>
          <w:color w:val="494949"/>
          <w:spacing w:val="0"/>
          <w:sz w:val="32"/>
          <w:szCs w:val="32"/>
          <w:bdr w:val="none" w:color="auto" w:sz="0" w:space="0"/>
          <w:shd w:val="clear" w:fill="FFFFFF"/>
        </w:rPr>
        <w:t>第一部分</w:t>
      </w:r>
    </w:p>
    <w:p w14:paraId="43DB58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Fonts w:hint="default" w:ascii="Calibri" w:hAnsi="Calibri" w:cs="Calibri"/>
          <w:b/>
          <w:bCs/>
          <w:i w:val="0"/>
          <w:iCs w:val="0"/>
          <w:caps w:val="0"/>
          <w:color w:val="494949"/>
          <w:spacing w:val="0"/>
          <w:sz w:val="44"/>
          <w:szCs w:val="44"/>
        </w:rPr>
      </w:pPr>
      <w:bookmarkStart w:id="4" w:name="_Toc30615"/>
      <w:bookmarkEnd w:id="4"/>
      <w:bookmarkStart w:id="5" w:name="_Toc1390"/>
      <w:bookmarkEnd w:id="5"/>
      <w:r>
        <w:rPr>
          <w:rStyle w:val="7"/>
          <w:rFonts w:hint="eastAsia" w:ascii="黑体" w:hAnsi="宋体" w:eastAsia="黑体" w:cs="黑体"/>
          <w:b/>
          <w:bCs/>
          <w:i w:val="0"/>
          <w:iCs w:val="0"/>
          <w:caps w:val="0"/>
          <w:color w:val="494949"/>
          <w:spacing w:val="0"/>
          <w:sz w:val="32"/>
          <w:szCs w:val="32"/>
          <w:bdr w:val="none" w:color="auto" w:sz="0" w:space="0"/>
          <w:shd w:val="clear" w:fill="FFFFFF"/>
        </w:rPr>
        <w:t>湖南现代物流职业技术学院概况</w:t>
      </w:r>
    </w:p>
    <w:p w14:paraId="2509E5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562"/>
        <w:jc w:val="left"/>
        <w:rPr>
          <w:rFonts w:hint="eastAsia" w:ascii="宋体" w:hAnsi="宋体" w:eastAsia="宋体" w:cs="宋体"/>
          <w:b/>
          <w:bCs/>
          <w:i w:val="0"/>
          <w:iCs w:val="0"/>
          <w:caps w:val="0"/>
          <w:color w:val="494949"/>
          <w:spacing w:val="0"/>
          <w:sz w:val="36"/>
          <w:szCs w:val="36"/>
        </w:rPr>
      </w:pPr>
      <w:bookmarkStart w:id="6" w:name="_Toc11213"/>
      <w:bookmarkEnd w:id="6"/>
      <w:bookmarkStart w:id="7" w:name="_Toc24833"/>
      <w:bookmarkEnd w:id="7"/>
      <w:r>
        <w:rPr>
          <w:rStyle w:val="7"/>
          <w:rFonts w:hint="eastAsia" w:ascii="黑体" w:hAnsi="宋体" w:eastAsia="黑体" w:cs="黑体"/>
          <w:b/>
          <w:bCs/>
          <w:i w:val="0"/>
          <w:iCs w:val="0"/>
          <w:caps w:val="0"/>
          <w:color w:val="494949"/>
          <w:spacing w:val="0"/>
          <w:sz w:val="28"/>
          <w:szCs w:val="28"/>
          <w:bdr w:val="none" w:color="auto" w:sz="0" w:space="0"/>
          <w:shd w:val="clear" w:fill="FFFFFF"/>
        </w:rPr>
        <w:t>一、部门职责</w:t>
      </w:r>
    </w:p>
    <w:p w14:paraId="796C3E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湖南现代物流职业技术学院是湖南省楚怡高水平高职学校建设计划建设单位A档、湖南省人民政府和中国物流与采购联合会共建院校、教育部人才培养工作水平评估优秀院校、湖南省示范性高职学院、首批国家级职业教育教师教学创新团队立项建设单位、第一批国家级示范性职业教育集团（联盟）培育单位、首批全国五个1+X证书制度试点专业牵头单位、国家现代学徒制试点院校、全国高等职业院校体育工作“一校一品”示范基地、首批国家级课程思政示范课程及课程思政教学名师和团队单位、全国职业教育改革创新试验校、“全国党建工作样板支部”培育创建单位、全国物流职业教育教学指导委会第一副主任单位、全国职业院校技术技能竞赛工作委员会副主任单位、全国职业院校教材委员会委员单位、国家物流职业教育人才培养基地、全国物流管理1+X证书制度师资培训基地、全国物流管理1+X证书产教协同创新中心立项建设单位、教育部网络学习空间应用普及活动优秀学校、国家级物流信息专业教学资源库立项建设单位。</w:t>
      </w:r>
    </w:p>
    <w:p w14:paraId="4A4F412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学校创建于1965年，前身为湖南省物资学校。2005年3月，湖南省物资学校与湖南省石油化工职工大学合并升格为湖南现代物流职业技术学院。学校是全国唯一以现代物流为主导专业的高等院校，是公办全日制普通高等院校，现隶属于湖南省教育厅。学校位于长沙市远大二路泉塘，毗邻长沙市星沙国家级经济技术开发区。学校现有教师近400人，在校学生规模8000多人。</w:t>
      </w:r>
    </w:p>
    <w:p w14:paraId="6D9136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学校全方位对接物流产业打造现代物流大专业群，现设有物流管理学院、物流工程学院、物流信息学院、物流商学院、物流人文艺术学院和国际合作与继续教育学院、马克思主义学院7个二级学院，开设物流管理、物流工程技术、物流信息技术、物联网技术、物流金融管理等28个专业。</w:t>
      </w:r>
    </w:p>
    <w:p w14:paraId="57B7E1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近年来，学校在内涵建设上成绩斐然。学校立项有国家社科基金高校思想政治专项课题1项，国家级精品资源共享课1门，国家级精品在线开放课程3门，国家首批优秀教材1本，国家十三五规划教材4本，国家级课程思政示范项目1个，国家级教学标准3个，国家级技能标准1个，国家级课题6项，国家级人才培养培训基地3个，国家级劳模、名师或裁判近10人，教育部认定为创新发展行动计划项目6个，教育部“1+X”证书试点专业5个，教育部遴选的首届世界职业技术发展大会案例2个，中央财政支持建设专业2个，等。此外，学校还立项有省级一流特色专业群3个，省级专业教学团队3个，省级思政教学团队1个，省级专业教学资源库1个，省级“双师型”名师工作室1个，省级教师技艺技能传承创新平台1个，省级教学成果奖一等奖4项，入选2021年“湖湘青年英才” 支持计划1人（该年度支持计划唯一一名高职学院人才入选），首批省级芙蓉教学名师1人，省级教学名师3人，入选省级职业教育优秀教材5本，省级精品在线开放课程9门等。学校是全省唯一一所跻身工程研究中心建设、全省唯一一所跻身湖南省重大科技专项研究的高职院校，是湖南省教育厅备案的为数不多的来华留学生招生单位。湖南省“扫黄打非”进基层示范点。学校连续6年被评为“湖南省就业工作先进单位”。</w:t>
      </w:r>
    </w:p>
    <w:p w14:paraId="40D0DE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仅仅在2018-2022年五年间，学校荣获多项国家级荣誉，获批国家级各类项目30余项，省级重点项目30余项,在省级以上一类技能竞赛中，师生获得各种奖励300多项。2021年度，在中国高职发展智库发布的国家级教改项目和“三大赛”排行榜中，我校项目数量排名全国第172、225位，均列全省第14位。</w:t>
      </w:r>
    </w:p>
    <w:p w14:paraId="05F0523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此外，学校有一批国家级、省级专业带头人、教学名师、青年骨干教师、湖南省物流业促进发展委员会专家委员和湖南省物流标准化委员会专家委员，参与了湖南省物流业振兴实施规划、湖南省物流业发展规划、长株潭物流规划等产业发展规划的制定工作，承担了上百项国家级、省级科研课题和一批企业项目的研发工作。</w:t>
      </w:r>
    </w:p>
    <w:p w14:paraId="689B450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近年来，学校求真务实，真抓实干，大胆创新，形成了一些在国、省内职教界有一定知名度的特色亮点品牌，主要有“三名工程”、“成长金钥匙---素质拓展工程”、“一抵制三走进”、“大学生成长之锚——新生入学十倡议”、“三促活动”、“牵强富会”，党校”三三制“等。此外，我校基础设施建设的“五精三宜”、融资工作的“借鸡生蛋”等也颇有创新特色。</w:t>
      </w:r>
    </w:p>
    <w:p w14:paraId="42B3A02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562"/>
        <w:jc w:val="left"/>
        <w:rPr>
          <w:rFonts w:hint="eastAsia" w:ascii="宋体" w:hAnsi="宋体" w:eastAsia="宋体" w:cs="宋体"/>
          <w:b/>
          <w:bCs/>
          <w:i w:val="0"/>
          <w:iCs w:val="0"/>
          <w:caps w:val="0"/>
          <w:color w:val="494949"/>
          <w:spacing w:val="0"/>
          <w:sz w:val="36"/>
          <w:szCs w:val="36"/>
        </w:rPr>
      </w:pPr>
      <w:bookmarkStart w:id="8" w:name="_Toc11439"/>
      <w:bookmarkEnd w:id="8"/>
      <w:bookmarkStart w:id="9" w:name="_Toc12769"/>
      <w:bookmarkEnd w:id="9"/>
      <w:r>
        <w:rPr>
          <w:rStyle w:val="7"/>
          <w:rFonts w:hint="eastAsia" w:ascii="黑体" w:hAnsi="宋体" w:eastAsia="黑体" w:cs="黑体"/>
          <w:b/>
          <w:bCs/>
          <w:i w:val="0"/>
          <w:iCs w:val="0"/>
          <w:caps w:val="0"/>
          <w:color w:val="494949"/>
          <w:spacing w:val="0"/>
          <w:sz w:val="28"/>
          <w:szCs w:val="28"/>
          <w:bdr w:val="none" w:color="auto" w:sz="0" w:space="0"/>
          <w:shd w:val="clear" w:fill="FFFFFF"/>
        </w:rPr>
        <w:t>二、机构设置及决算单位构成</w:t>
      </w:r>
    </w:p>
    <w:p w14:paraId="654226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一）内设机构设置。湖南现代物流职业技术学院内设机构包括：学校内设党政（群团）管理机构15个，分别是党政办、组织人事处（统战部）、宣传部、纪检监察审计处、离退办（工会办）、计财处（资产管理处）、教务处、质量整改与督导办、学生工作处（学生工作部、武装部）、团委、科研处、招生办、校企合作与就业处、基建后勤处及保卫处；教辅机构2个，图文信息中心和实训中心；教学机构7个，物流管理学院、物流信息学院、物流工程学院、商学院、国际合作与继续教育学院、人文艺术学院及思政课部；其他机构1个，湖南省物流公共信息平台公司。</w:t>
      </w:r>
    </w:p>
    <w:p w14:paraId="10B39F0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（二）决算单位构成。湖南现代物流职业技术学院2022年部门决算汇总公开没有其他决算单位，仅包含本单位决算。</w:t>
      </w:r>
    </w:p>
    <w:p w14:paraId="07869F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bookmarkStart w:id="10" w:name="_Toc3413"/>
      <w:bookmarkEnd w:id="10"/>
      <w:bookmarkStart w:id="11" w:name="_Toc25337"/>
      <w:bookmarkEnd w:id="11"/>
    </w:p>
    <w:p w14:paraId="705CA0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61039D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1281BE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424F7A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60BD50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434F82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4527D9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25875A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6BA30D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Fonts w:hint="default" w:ascii="Calibri" w:hAnsi="Calibri" w:cs="Calibri"/>
          <w:b/>
          <w:bCs/>
          <w:i w:val="0"/>
          <w:iCs w:val="0"/>
          <w:caps w:val="0"/>
          <w:color w:val="494949"/>
          <w:spacing w:val="0"/>
          <w:sz w:val="44"/>
          <w:szCs w:val="44"/>
        </w:rPr>
      </w:pPr>
      <w:r>
        <w:rPr>
          <w:rStyle w:val="7"/>
          <w:rFonts w:hint="eastAsia" w:ascii="黑体" w:hAnsi="宋体" w:eastAsia="黑体" w:cs="黑体"/>
          <w:b/>
          <w:bCs/>
          <w:i w:val="0"/>
          <w:iCs w:val="0"/>
          <w:caps w:val="0"/>
          <w:color w:val="494949"/>
          <w:spacing w:val="0"/>
          <w:sz w:val="32"/>
          <w:szCs w:val="32"/>
          <w:bdr w:val="none" w:color="auto" w:sz="0" w:space="0"/>
          <w:shd w:val="clear" w:fill="FFFFFF"/>
        </w:rPr>
        <w:t>第二部分</w:t>
      </w:r>
    </w:p>
    <w:p w14:paraId="3FF5E2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1056" w:lineRule="atLeast"/>
        <w:ind w:left="0" w:right="0" w:firstLine="0"/>
        <w:jc w:val="center"/>
        <w:rPr>
          <w:rFonts w:hint="default" w:ascii="Calibri" w:hAnsi="Calibri" w:cs="Calibri"/>
          <w:b/>
          <w:bCs/>
          <w:i w:val="0"/>
          <w:iCs w:val="0"/>
          <w:caps w:val="0"/>
          <w:color w:val="494949"/>
          <w:spacing w:val="0"/>
          <w:sz w:val="44"/>
          <w:szCs w:val="44"/>
        </w:rPr>
      </w:pPr>
      <w:bookmarkStart w:id="12" w:name="_Toc5759"/>
      <w:bookmarkEnd w:id="12"/>
      <w:r>
        <w:rPr>
          <w:rStyle w:val="7"/>
          <w:rFonts w:hint="eastAsia" w:ascii="黑体" w:hAnsi="宋体" w:eastAsia="黑体" w:cs="黑体"/>
          <w:b/>
          <w:bCs/>
          <w:i w:val="0"/>
          <w:iCs w:val="0"/>
          <w:caps w:val="0"/>
          <w:color w:val="494949"/>
          <w:spacing w:val="0"/>
          <w:sz w:val="32"/>
          <w:szCs w:val="32"/>
          <w:bdr w:val="none" w:color="auto" w:sz="0" w:space="0"/>
          <w:shd w:val="clear" w:fill="FFFFFF"/>
        </w:rPr>
        <w:t>湖南现代物流职业技术学院2022年度部门决算表</w:t>
      </w:r>
    </w:p>
    <w:p w14:paraId="646C39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0EC9C91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eastAsia" w:ascii="宋体" w:hAnsi="宋体" w:eastAsia="宋体" w:cs="宋体"/>
          <w:b/>
          <w:bCs/>
          <w:i w:val="0"/>
          <w:iCs w:val="0"/>
          <w:caps w:val="0"/>
          <w:color w:val="494949"/>
          <w:spacing w:val="0"/>
          <w:sz w:val="36"/>
          <w:szCs w:val="36"/>
        </w:rPr>
      </w:pPr>
      <w:bookmarkStart w:id="13" w:name="_Toc13616"/>
      <w:bookmarkEnd w:id="13"/>
      <w:r>
        <w:rPr>
          <w:rStyle w:val="7"/>
          <w:rFonts w:hint="eastAsia" w:ascii="黑体" w:hAnsi="宋体" w:eastAsia="黑体" w:cs="黑体"/>
          <w:b/>
          <w:bCs/>
          <w:i w:val="0"/>
          <w:iCs w:val="0"/>
          <w:caps w:val="0"/>
          <w:color w:val="494949"/>
          <w:spacing w:val="0"/>
          <w:sz w:val="32"/>
          <w:szCs w:val="32"/>
          <w:bdr w:val="none" w:color="auto" w:sz="0" w:space="0"/>
          <w:shd w:val="clear" w:fill="FFFFFF"/>
        </w:rPr>
        <w:t>收入支出决算总表</w:t>
      </w:r>
    </w:p>
    <w:p w14:paraId="2BF8D32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840" w:firstLine="420"/>
        <w:jc w:val="right"/>
        <w:rPr>
          <w:rFonts w:hint="eastAsia" w:ascii="微软雅黑" w:hAnsi="微软雅黑" w:eastAsia="微软雅黑" w:cs="微软雅黑"/>
          <w:i w:val="0"/>
          <w:iCs w:val="0"/>
          <w:caps w:val="0"/>
          <w:color w:val="494949"/>
          <w:spacing w:val="0"/>
          <w:sz w:val="22"/>
          <w:szCs w:val="22"/>
        </w:rPr>
      </w:pPr>
      <w:r>
        <w:rPr>
          <w:rFonts w:ascii="仿宋_GB2312" w:hAnsi="微软雅黑" w:eastAsia="仿宋_GB2312" w:cs="仿宋_GB2312"/>
          <w:i w:val="0"/>
          <w:iCs w:val="0"/>
          <w:caps w:val="0"/>
          <w:color w:val="494949"/>
          <w:spacing w:val="0"/>
          <w:sz w:val="21"/>
          <w:szCs w:val="21"/>
          <w:bdr w:val="none" w:color="auto" w:sz="0" w:space="0"/>
          <w:shd w:val="clear" w:fill="FFFFFF"/>
        </w:rPr>
        <w:t>公开</w:t>
      </w:r>
      <w:r>
        <w:rPr>
          <w:rFonts w:hint="default" w:ascii="Times New Roman" w:hAnsi="Times New Roman" w:eastAsia="微软雅黑" w:cs="Times New Roman"/>
          <w:i w:val="0"/>
          <w:iCs w:val="0"/>
          <w:caps w:val="0"/>
          <w:color w:val="494949"/>
          <w:spacing w:val="0"/>
          <w:sz w:val="21"/>
          <w:szCs w:val="21"/>
          <w:bdr w:val="none" w:color="auto" w:sz="0" w:space="0"/>
          <w:shd w:val="clear" w:fill="FFFFFF"/>
        </w:rPr>
        <w:t>0</w:t>
      </w:r>
      <w:r>
        <w:rPr>
          <w:rFonts w:hint="default" w:ascii="仿宋_GB2312" w:hAnsi="微软雅黑" w:eastAsia="仿宋_GB2312" w:cs="仿宋_GB2312"/>
          <w:i w:val="0"/>
          <w:iCs w:val="0"/>
          <w:caps w:val="0"/>
          <w:color w:val="494949"/>
          <w:spacing w:val="0"/>
          <w:sz w:val="21"/>
          <w:szCs w:val="21"/>
          <w:bdr w:val="none" w:color="auto" w:sz="0" w:space="0"/>
          <w:shd w:val="clear" w:fill="FFFFFF"/>
        </w:rPr>
        <w:t>1表</w:t>
      </w:r>
    </w:p>
    <w:p w14:paraId="43174A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编制单位：湖南现代物流职业技术学院              金额单位：万元</w:t>
      </w: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710"/>
        <w:gridCol w:w="833"/>
        <w:gridCol w:w="1171"/>
        <w:gridCol w:w="1587"/>
        <w:gridCol w:w="833"/>
        <w:gridCol w:w="1171"/>
        <w:gridCol w:w="402"/>
        <w:gridCol w:w="403"/>
        <w:gridCol w:w="412"/>
      </w:tblGrid>
      <w:tr w14:paraId="47CFD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000" w:type="pct"/>
            <w:gridSpan w:val="9"/>
            <w:tcBorders>
              <w:top w:val="nil"/>
              <w:left w:val="nil"/>
              <w:bottom w:val="nil"/>
              <w:right w:val="nil"/>
            </w:tcBorders>
            <w:shd w:val="clear" w:color="auto" w:fill="FFFFFF"/>
            <w:tcMar>
              <w:left w:w="108" w:type="dxa"/>
              <w:right w:w="108" w:type="dxa"/>
            </w:tcMar>
            <w:vAlign w:val="center"/>
          </w:tcPr>
          <w:tbl>
            <w:tblPr>
              <w:tblW w:w="140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4078"/>
            </w:tblGrid>
            <w:tr w14:paraId="6294B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0" w:type="auto"/>
                  <w:tcBorders>
                    <w:top w:val="nil"/>
                    <w:left w:val="nil"/>
                    <w:bottom w:val="nil"/>
                    <w:right w:val="nil"/>
                  </w:tcBorders>
                  <w:shd w:val="clear"/>
                  <w:vAlign w:val="center"/>
                </w:tcPr>
                <w:p w14:paraId="7AE586B3">
                  <w:pPr>
                    <w:rPr>
                      <w:rFonts w:hint="eastAsia" w:ascii="宋体"/>
                      <w:sz w:val="24"/>
                      <w:szCs w:val="24"/>
                    </w:rPr>
                  </w:pPr>
                </w:p>
              </w:tc>
            </w:tr>
          </w:tbl>
          <w:p w14:paraId="57703C5F">
            <w:pPr>
              <w:spacing w:before="0" w:beforeAutospacing="0" w:after="0" w:afterAutospacing="0"/>
              <w:ind w:left="0" w:right="0"/>
              <w:rPr>
                <w:rFonts w:hint="eastAsia" w:ascii="微软雅黑" w:hAnsi="微软雅黑" w:eastAsia="微软雅黑" w:cs="微软雅黑"/>
                <w:i w:val="0"/>
                <w:iCs w:val="0"/>
                <w:caps w:val="0"/>
                <w:color w:val="494949"/>
                <w:spacing w:val="0"/>
                <w:sz w:val="22"/>
                <w:szCs w:val="22"/>
              </w:rPr>
            </w:pPr>
          </w:p>
        </w:tc>
      </w:tr>
      <w:tr w14:paraId="3C0C9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241" w:type="pct"/>
            <w:gridSpan w:val="3"/>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14:paraId="743AC3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收入</w:t>
            </w:r>
          </w:p>
        </w:tc>
        <w:tc>
          <w:tcPr>
            <w:tcW w:w="2160" w:type="pct"/>
            <w:gridSpan w:val="3"/>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392476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支出</w:t>
            </w:r>
          </w:p>
        </w:tc>
        <w:tc>
          <w:tcPr>
            <w:tcW w:w="198"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5040F2BF">
            <w:pPr>
              <w:rPr>
                <w:rFonts w:hint="eastAsia" w:ascii="微软雅黑" w:hAnsi="微软雅黑" w:eastAsia="微软雅黑" w:cs="微软雅黑"/>
                <w:i w:val="0"/>
                <w:iCs w:val="0"/>
                <w:caps w:val="0"/>
                <w:color w:val="494949"/>
                <w:spacing w:val="0"/>
                <w:sz w:val="22"/>
                <w:szCs w:val="22"/>
              </w:rPr>
            </w:pPr>
          </w:p>
        </w:tc>
        <w:tc>
          <w:tcPr>
            <w:tcW w:w="198"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5FE31F0">
            <w:pPr>
              <w:rPr>
                <w:rFonts w:hint="eastAsia" w:ascii="微软雅黑" w:hAnsi="微软雅黑" w:eastAsia="微软雅黑" w:cs="微软雅黑"/>
                <w:i w:val="0"/>
                <w:iCs w:val="0"/>
                <w:caps w:val="0"/>
                <w:color w:val="494949"/>
                <w:spacing w:val="0"/>
                <w:sz w:val="22"/>
                <w:szCs w:val="22"/>
              </w:rPr>
            </w:pPr>
          </w:p>
        </w:tc>
        <w:tc>
          <w:tcPr>
            <w:tcW w:w="200"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66EF0718">
            <w:pPr>
              <w:rPr>
                <w:rFonts w:hint="eastAsia" w:ascii="微软雅黑" w:hAnsi="微软雅黑" w:eastAsia="微软雅黑" w:cs="微软雅黑"/>
                <w:i w:val="0"/>
                <w:iCs w:val="0"/>
                <w:caps w:val="0"/>
                <w:color w:val="494949"/>
                <w:spacing w:val="0"/>
                <w:sz w:val="22"/>
                <w:szCs w:val="22"/>
              </w:rPr>
            </w:pPr>
          </w:p>
        </w:tc>
      </w:tr>
      <w:tr w14:paraId="059B0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CD6ED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项目</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85CB6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行次</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03482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决算数</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4C402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项目</w:t>
            </w:r>
            <w:r>
              <w:rPr>
                <w:rFonts w:hint="default" w:ascii="Times New Roman" w:hAnsi="Times New Roman" w:eastAsia="仿宋_GB2312" w:cs="Times New Roman"/>
                <w:i w:val="0"/>
                <w:iCs w:val="0"/>
                <w:caps w:val="0"/>
                <w:color w:val="494949"/>
                <w:spacing w:val="0"/>
                <w:sz w:val="21"/>
                <w:szCs w:val="21"/>
                <w:bdr w:val="none" w:color="auto" w:sz="0" w:space="0"/>
              </w:rPr>
              <w:t>(</w:t>
            </w:r>
            <w:r>
              <w:rPr>
                <w:rFonts w:hint="default" w:ascii="仿宋_GB2312" w:hAnsi="微软雅黑" w:eastAsia="仿宋_GB2312" w:cs="仿宋_GB2312"/>
                <w:i w:val="0"/>
                <w:iCs w:val="0"/>
                <w:caps w:val="0"/>
                <w:color w:val="494949"/>
                <w:spacing w:val="0"/>
                <w:sz w:val="21"/>
                <w:szCs w:val="21"/>
                <w:bdr w:val="none" w:color="auto" w:sz="0" w:space="0"/>
              </w:rPr>
              <w:t>按功能分类</w:t>
            </w:r>
            <w:r>
              <w:rPr>
                <w:rFonts w:hint="default" w:ascii="Times New Roman" w:hAnsi="Times New Roman" w:eastAsia="仿宋_GB2312" w:cs="Times New Roman"/>
                <w:i w:val="0"/>
                <w:iCs w:val="0"/>
                <w:caps w:val="0"/>
                <w:color w:val="494949"/>
                <w:spacing w:val="0"/>
                <w:sz w:val="21"/>
                <w:szCs w:val="21"/>
                <w:bdr w:val="none" w:color="auto" w:sz="0" w:space="0"/>
              </w:rPr>
              <w:t>)</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A4E54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行次</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DC026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决算数</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B5E5606">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F8867A5">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5538F6F">
            <w:pPr>
              <w:rPr>
                <w:rFonts w:hint="eastAsia" w:ascii="微软雅黑" w:hAnsi="微软雅黑" w:eastAsia="微软雅黑" w:cs="微软雅黑"/>
                <w:i w:val="0"/>
                <w:iCs w:val="0"/>
                <w:caps w:val="0"/>
                <w:color w:val="494949"/>
                <w:spacing w:val="0"/>
                <w:sz w:val="22"/>
                <w:szCs w:val="22"/>
              </w:rPr>
            </w:pPr>
          </w:p>
        </w:tc>
      </w:tr>
      <w:tr w14:paraId="42306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B3D5D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栏次</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8775888">
            <w:pPr>
              <w:rPr>
                <w:rFonts w:hint="eastAsia" w:ascii="微软雅黑" w:hAnsi="微软雅黑" w:eastAsia="微软雅黑" w:cs="微软雅黑"/>
                <w:i w:val="0"/>
                <w:iCs w:val="0"/>
                <w:caps w:val="0"/>
                <w:color w:val="494949"/>
                <w:spacing w:val="0"/>
                <w:sz w:val="22"/>
                <w:szCs w:val="22"/>
              </w:rPr>
            </w:pP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2976F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1</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66E3A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栏次</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579FA5D">
            <w:pPr>
              <w:rPr>
                <w:rFonts w:hint="eastAsia" w:ascii="微软雅黑" w:hAnsi="微软雅黑" w:eastAsia="微软雅黑" w:cs="微软雅黑"/>
                <w:i w:val="0"/>
                <w:iCs w:val="0"/>
                <w:caps w:val="0"/>
                <w:color w:val="494949"/>
                <w:spacing w:val="0"/>
                <w:sz w:val="22"/>
                <w:szCs w:val="22"/>
              </w:rPr>
            </w:pP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A2C15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2</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C0C77BA">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DBE0521">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FA2218F">
            <w:pPr>
              <w:rPr>
                <w:rFonts w:hint="eastAsia" w:ascii="微软雅黑" w:hAnsi="微软雅黑" w:eastAsia="微软雅黑" w:cs="微软雅黑"/>
                <w:i w:val="0"/>
                <w:iCs w:val="0"/>
                <w:caps w:val="0"/>
                <w:color w:val="494949"/>
                <w:spacing w:val="0"/>
                <w:sz w:val="22"/>
                <w:szCs w:val="22"/>
              </w:rPr>
            </w:pPr>
          </w:p>
        </w:tc>
      </w:tr>
      <w:tr w14:paraId="5C4A7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B298A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一、一般公共预算财政拨款收入</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95DEE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9DF58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9992.20</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797B9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一、一般公共服务支出</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BB18E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16</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B6F1E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5236336">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157015F">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8409867">
            <w:pPr>
              <w:rPr>
                <w:rFonts w:hint="eastAsia" w:ascii="微软雅黑" w:hAnsi="微软雅黑" w:eastAsia="微软雅黑" w:cs="微软雅黑"/>
                <w:i w:val="0"/>
                <w:iCs w:val="0"/>
                <w:caps w:val="0"/>
                <w:color w:val="494949"/>
                <w:spacing w:val="0"/>
                <w:sz w:val="22"/>
                <w:szCs w:val="22"/>
              </w:rPr>
            </w:pPr>
          </w:p>
        </w:tc>
      </w:tr>
      <w:tr w14:paraId="4E9F9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99478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二、政府性基金预算财政拨款收入</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58AD0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7061B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3D0EB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二、外交支出</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EC18C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17</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7D1AA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154057E">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A9D6D04">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ABB250B">
            <w:pPr>
              <w:rPr>
                <w:rFonts w:hint="eastAsia" w:ascii="微软雅黑" w:hAnsi="微软雅黑" w:eastAsia="微软雅黑" w:cs="微软雅黑"/>
                <w:i w:val="0"/>
                <w:iCs w:val="0"/>
                <w:caps w:val="0"/>
                <w:color w:val="494949"/>
                <w:spacing w:val="0"/>
                <w:sz w:val="22"/>
                <w:szCs w:val="22"/>
              </w:rPr>
            </w:pPr>
          </w:p>
        </w:tc>
      </w:tr>
      <w:tr w14:paraId="75AD9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EDAE9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三、上级补助收入</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40B1B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3</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6F4A6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87EA3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三、国防支出</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C626D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18</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5E46A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BD82090">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AB8195F">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3ED0543">
            <w:pPr>
              <w:rPr>
                <w:rFonts w:hint="eastAsia" w:ascii="微软雅黑" w:hAnsi="微软雅黑" w:eastAsia="微软雅黑" w:cs="微软雅黑"/>
                <w:i w:val="0"/>
                <w:iCs w:val="0"/>
                <w:caps w:val="0"/>
                <w:color w:val="494949"/>
                <w:spacing w:val="0"/>
                <w:sz w:val="22"/>
                <w:szCs w:val="22"/>
              </w:rPr>
            </w:pPr>
          </w:p>
        </w:tc>
      </w:tr>
      <w:tr w14:paraId="237B6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7C331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四、事业收入</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B5AA8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4</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C17E2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4067.93</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F2A33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四、公共安全支出</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88D4D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19</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CECFF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74D0A19">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CF894FB">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6DA0EFD">
            <w:pPr>
              <w:rPr>
                <w:rFonts w:hint="eastAsia" w:ascii="微软雅黑" w:hAnsi="微软雅黑" w:eastAsia="微软雅黑" w:cs="微软雅黑"/>
                <w:i w:val="0"/>
                <w:iCs w:val="0"/>
                <w:caps w:val="0"/>
                <w:color w:val="494949"/>
                <w:spacing w:val="0"/>
                <w:sz w:val="22"/>
                <w:szCs w:val="22"/>
              </w:rPr>
            </w:pPr>
          </w:p>
        </w:tc>
      </w:tr>
      <w:tr w14:paraId="0F854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E268A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五、经营收入</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4F394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5</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16ACB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C3367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五、教育支出</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1892D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20</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F7756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13150.70</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C0DB5A5">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069D5F5">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73E096A">
            <w:pPr>
              <w:rPr>
                <w:rFonts w:hint="eastAsia" w:ascii="微软雅黑" w:hAnsi="微软雅黑" w:eastAsia="微软雅黑" w:cs="微软雅黑"/>
                <w:i w:val="0"/>
                <w:iCs w:val="0"/>
                <w:caps w:val="0"/>
                <w:color w:val="494949"/>
                <w:spacing w:val="0"/>
                <w:sz w:val="22"/>
                <w:szCs w:val="22"/>
              </w:rPr>
            </w:pPr>
          </w:p>
        </w:tc>
      </w:tr>
      <w:tr w14:paraId="218B0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362DC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六、附属单位上缴收入</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3C27C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6</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A2993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CCB53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六、科学技术支出</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FDF4A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21</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80E11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DF8386C">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A257264">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BCE0425">
            <w:pPr>
              <w:rPr>
                <w:rFonts w:hint="eastAsia" w:ascii="微软雅黑" w:hAnsi="微软雅黑" w:eastAsia="微软雅黑" w:cs="微软雅黑"/>
                <w:i w:val="0"/>
                <w:iCs w:val="0"/>
                <w:caps w:val="0"/>
                <w:color w:val="494949"/>
                <w:spacing w:val="0"/>
                <w:sz w:val="22"/>
                <w:szCs w:val="22"/>
              </w:rPr>
            </w:pPr>
          </w:p>
        </w:tc>
      </w:tr>
      <w:tr w14:paraId="4AD96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ACEB5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七、其他收入</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23D96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7</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64380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138.49</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499F2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七、文化旅游体育与传媒支出</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43617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22</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295EE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6014FEC">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D31E602">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8F1E603">
            <w:pPr>
              <w:rPr>
                <w:rFonts w:hint="eastAsia" w:ascii="微软雅黑" w:hAnsi="微软雅黑" w:eastAsia="微软雅黑" w:cs="微软雅黑"/>
                <w:i w:val="0"/>
                <w:iCs w:val="0"/>
                <w:caps w:val="0"/>
                <w:color w:val="494949"/>
                <w:spacing w:val="0"/>
                <w:sz w:val="22"/>
                <w:szCs w:val="22"/>
              </w:rPr>
            </w:pPr>
          </w:p>
        </w:tc>
      </w:tr>
      <w:tr w14:paraId="26560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BDD74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2DAA9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8</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AC73F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DED9D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八、社会保障和就业支出</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190CE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23</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09F12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1208.65</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DC54213">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2AC8DC4">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5992818">
            <w:pPr>
              <w:rPr>
                <w:rFonts w:hint="eastAsia" w:ascii="微软雅黑" w:hAnsi="微软雅黑" w:eastAsia="微软雅黑" w:cs="微软雅黑"/>
                <w:i w:val="0"/>
                <w:iCs w:val="0"/>
                <w:caps w:val="0"/>
                <w:color w:val="494949"/>
                <w:spacing w:val="0"/>
                <w:sz w:val="22"/>
                <w:szCs w:val="22"/>
              </w:rPr>
            </w:pPr>
          </w:p>
        </w:tc>
      </w:tr>
      <w:tr w14:paraId="3BA6E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BB5957D">
            <w:pPr>
              <w:rPr>
                <w:rFonts w:hint="eastAsia" w:ascii="微软雅黑" w:hAnsi="微软雅黑" w:eastAsia="微软雅黑" w:cs="微软雅黑"/>
                <w:i w:val="0"/>
                <w:iCs w:val="0"/>
                <w:caps w:val="0"/>
                <w:color w:val="494949"/>
                <w:spacing w:val="0"/>
                <w:sz w:val="22"/>
                <w:szCs w:val="22"/>
              </w:rPr>
            </w:pP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3FFC1F2">
            <w:pPr>
              <w:rPr>
                <w:rFonts w:hint="eastAsia" w:ascii="微软雅黑" w:hAnsi="微软雅黑" w:eastAsia="微软雅黑" w:cs="微软雅黑"/>
                <w:i w:val="0"/>
                <w:iCs w:val="0"/>
                <w:caps w:val="0"/>
                <w:color w:val="494949"/>
                <w:spacing w:val="0"/>
                <w:sz w:val="22"/>
                <w:szCs w:val="22"/>
              </w:rPr>
            </w:pP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DFA76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29416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九、卫生健康支出</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1F6EC7D">
            <w:pPr>
              <w:rPr>
                <w:rFonts w:hint="eastAsia" w:ascii="微软雅黑" w:hAnsi="微软雅黑" w:eastAsia="微软雅黑" w:cs="微软雅黑"/>
                <w:i w:val="0"/>
                <w:iCs w:val="0"/>
                <w:caps w:val="0"/>
                <w:color w:val="494949"/>
                <w:spacing w:val="0"/>
                <w:sz w:val="22"/>
                <w:szCs w:val="22"/>
              </w:rPr>
            </w:pP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8128E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DD5CCEC">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6F15282">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42D3846">
            <w:pPr>
              <w:rPr>
                <w:rFonts w:hint="eastAsia" w:ascii="微软雅黑" w:hAnsi="微软雅黑" w:eastAsia="微软雅黑" w:cs="微软雅黑"/>
                <w:i w:val="0"/>
                <w:iCs w:val="0"/>
                <w:caps w:val="0"/>
                <w:color w:val="494949"/>
                <w:spacing w:val="0"/>
                <w:sz w:val="22"/>
                <w:szCs w:val="22"/>
              </w:rPr>
            </w:pPr>
          </w:p>
        </w:tc>
      </w:tr>
      <w:tr w14:paraId="6A2FC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63F28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38C36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9</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79599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81393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十、节能环保支出</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DA947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24</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5DA95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9CACAAD">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8A96969">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32C95FC">
            <w:pPr>
              <w:rPr>
                <w:rFonts w:hint="eastAsia" w:ascii="微软雅黑" w:hAnsi="微软雅黑" w:eastAsia="微软雅黑" w:cs="微软雅黑"/>
                <w:i w:val="0"/>
                <w:iCs w:val="0"/>
                <w:caps w:val="0"/>
                <w:color w:val="494949"/>
                <w:spacing w:val="0"/>
                <w:sz w:val="22"/>
                <w:szCs w:val="22"/>
              </w:rPr>
            </w:pPr>
          </w:p>
        </w:tc>
      </w:tr>
      <w:tr w14:paraId="3D7BC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06E29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A2448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10</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BC81E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52E95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十九、住房保障支出</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B4DC5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25</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C1542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637.02</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2288EA7">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4CA17F0">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3FAA711">
            <w:pPr>
              <w:rPr>
                <w:rFonts w:hint="eastAsia" w:ascii="微软雅黑" w:hAnsi="微软雅黑" w:eastAsia="微软雅黑" w:cs="微软雅黑"/>
                <w:i w:val="0"/>
                <w:iCs w:val="0"/>
                <w:caps w:val="0"/>
                <w:color w:val="494949"/>
                <w:spacing w:val="0"/>
                <w:sz w:val="22"/>
                <w:szCs w:val="22"/>
              </w:rPr>
            </w:pPr>
          </w:p>
        </w:tc>
      </w:tr>
      <w:tr w14:paraId="50992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054FF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本年收入合计</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0FFD1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11</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80694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14198.62</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71F9F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本年支出合计</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619AF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26</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93DAD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15251.18</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08ACD1A">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506D6F2">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CF3F0F7">
            <w:pPr>
              <w:rPr>
                <w:rFonts w:hint="eastAsia" w:ascii="微软雅黑" w:hAnsi="微软雅黑" w:eastAsia="微软雅黑" w:cs="微软雅黑"/>
                <w:i w:val="0"/>
                <w:iCs w:val="0"/>
                <w:caps w:val="0"/>
                <w:color w:val="494949"/>
                <w:spacing w:val="0"/>
                <w:sz w:val="22"/>
                <w:szCs w:val="22"/>
              </w:rPr>
            </w:pPr>
          </w:p>
        </w:tc>
      </w:tr>
      <w:tr w14:paraId="59411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DCD50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用事业基金弥补收支差额</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F6E1F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12</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FAE08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7946A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结余分配</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76B53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27</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0930D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7279D7E">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791E56F">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A7CEEAB">
            <w:pPr>
              <w:rPr>
                <w:rFonts w:hint="eastAsia" w:ascii="微软雅黑" w:hAnsi="微软雅黑" w:eastAsia="微软雅黑" w:cs="微软雅黑"/>
                <w:i w:val="0"/>
                <w:iCs w:val="0"/>
                <w:caps w:val="0"/>
                <w:color w:val="494949"/>
                <w:spacing w:val="0"/>
                <w:sz w:val="22"/>
                <w:szCs w:val="22"/>
              </w:rPr>
            </w:pPr>
          </w:p>
        </w:tc>
      </w:tr>
      <w:tr w14:paraId="57A52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8F03C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年初结转和结余</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618A6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13</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70AB6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2939.02</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48353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年末结转和结余</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7D830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28</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7A4C0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1886.47</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73C8702">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C322E38">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1CC2D60">
            <w:pPr>
              <w:rPr>
                <w:rFonts w:hint="eastAsia" w:ascii="微软雅黑" w:hAnsi="微软雅黑" w:eastAsia="微软雅黑" w:cs="微软雅黑"/>
                <w:i w:val="0"/>
                <w:iCs w:val="0"/>
                <w:caps w:val="0"/>
                <w:color w:val="494949"/>
                <w:spacing w:val="0"/>
                <w:sz w:val="22"/>
                <w:szCs w:val="22"/>
              </w:rPr>
            </w:pPr>
          </w:p>
        </w:tc>
      </w:tr>
      <w:tr w14:paraId="02E00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5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43F63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总计</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33AB0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15</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6DDA0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2"/>
                <w:szCs w:val="22"/>
                <w:bdr w:val="none" w:color="auto" w:sz="0" w:space="0"/>
              </w:rPr>
              <w:t>17137.64</w:t>
            </w:r>
          </w:p>
        </w:tc>
        <w:tc>
          <w:tcPr>
            <w:tcW w:w="976"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05570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总计</w:t>
            </w:r>
          </w:p>
        </w:tc>
        <w:tc>
          <w:tcPr>
            <w:tcW w:w="4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2B236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30</w:t>
            </w:r>
          </w:p>
        </w:tc>
        <w:tc>
          <w:tcPr>
            <w:tcW w:w="7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78411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2"/>
                <w:szCs w:val="22"/>
                <w:bdr w:val="none" w:color="auto" w:sz="0" w:space="0"/>
              </w:rPr>
              <w:t>17137.64</w:t>
            </w: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1867919">
            <w:pPr>
              <w:rPr>
                <w:rFonts w:hint="eastAsia" w:ascii="微软雅黑" w:hAnsi="微软雅黑" w:eastAsia="微软雅黑" w:cs="微软雅黑"/>
                <w:i w:val="0"/>
                <w:iCs w:val="0"/>
                <w:caps w:val="0"/>
                <w:color w:val="494949"/>
                <w:spacing w:val="0"/>
                <w:sz w:val="22"/>
                <w:szCs w:val="22"/>
              </w:rPr>
            </w:pPr>
          </w:p>
        </w:tc>
        <w:tc>
          <w:tcPr>
            <w:tcW w:w="19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C424F35">
            <w:pPr>
              <w:rPr>
                <w:rFonts w:hint="eastAsia" w:ascii="微软雅黑" w:hAnsi="微软雅黑" w:eastAsia="微软雅黑" w:cs="微软雅黑"/>
                <w:i w:val="0"/>
                <w:iCs w:val="0"/>
                <w:caps w:val="0"/>
                <w:color w:val="494949"/>
                <w:spacing w:val="0"/>
                <w:sz w:val="22"/>
                <w:szCs w:val="22"/>
              </w:rPr>
            </w:pPr>
          </w:p>
        </w:tc>
        <w:tc>
          <w:tcPr>
            <w:tcW w:w="20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2E39654">
            <w:pPr>
              <w:rPr>
                <w:rFonts w:hint="eastAsia" w:ascii="微软雅黑" w:hAnsi="微软雅黑" w:eastAsia="微软雅黑" w:cs="微软雅黑"/>
                <w:i w:val="0"/>
                <w:iCs w:val="0"/>
                <w:caps w:val="0"/>
                <w:color w:val="494949"/>
                <w:spacing w:val="0"/>
                <w:sz w:val="22"/>
                <w:szCs w:val="22"/>
              </w:rPr>
            </w:pPr>
          </w:p>
        </w:tc>
      </w:tr>
    </w:tbl>
    <w:p w14:paraId="09D1C8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注：本表反映部门本年度的总收支和年末结转结余情况。</w:t>
      </w:r>
    </w:p>
    <w:p w14:paraId="440CB1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bookmarkStart w:id="14" w:name="_Toc14338"/>
      <w:bookmarkEnd w:id="14"/>
    </w:p>
    <w:p w14:paraId="11C20C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622708F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038077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Fonts w:hint="eastAsia" w:ascii="微软雅黑" w:hAnsi="微软雅黑" w:eastAsia="微软雅黑" w:cs="微软雅黑"/>
          <w:i w:val="0"/>
          <w:iCs w:val="0"/>
          <w:caps w:val="0"/>
          <w:color w:val="494949"/>
          <w:spacing w:val="0"/>
          <w:sz w:val="22"/>
          <w:szCs w:val="22"/>
        </w:rPr>
      </w:pPr>
      <w:r>
        <w:rPr>
          <w:rStyle w:val="7"/>
          <w:rFonts w:hint="eastAsia" w:ascii="黑体" w:hAnsi="宋体" w:eastAsia="黑体" w:cs="黑体"/>
          <w:b/>
          <w:bCs/>
          <w:i w:val="0"/>
          <w:iCs w:val="0"/>
          <w:caps w:val="0"/>
          <w:color w:val="494949"/>
          <w:spacing w:val="0"/>
          <w:sz w:val="32"/>
          <w:szCs w:val="32"/>
          <w:bdr w:val="none" w:color="auto" w:sz="0" w:space="0"/>
          <w:shd w:val="clear" w:fill="FFFFFF"/>
        </w:rPr>
        <w:t>收入决算表</w:t>
      </w:r>
    </w:p>
    <w:p w14:paraId="72D606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840" w:firstLine="420"/>
        <w:jc w:val="righ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公开</w:t>
      </w:r>
      <w:r>
        <w:rPr>
          <w:rFonts w:hint="default" w:ascii="Times New Roman" w:hAnsi="Times New Roman" w:eastAsia="微软雅黑" w:cs="Times New Roman"/>
          <w:i w:val="0"/>
          <w:iCs w:val="0"/>
          <w:caps w:val="0"/>
          <w:color w:val="494949"/>
          <w:spacing w:val="0"/>
          <w:sz w:val="21"/>
          <w:szCs w:val="21"/>
          <w:bdr w:val="none" w:color="auto" w:sz="0" w:space="0"/>
          <w:shd w:val="clear" w:fill="FFFFFF"/>
        </w:rPr>
        <w:t>0</w:t>
      </w:r>
      <w:r>
        <w:rPr>
          <w:rFonts w:hint="default" w:ascii="仿宋_GB2312" w:hAnsi="微软雅黑" w:eastAsia="仿宋_GB2312" w:cs="仿宋_GB2312"/>
          <w:i w:val="0"/>
          <w:iCs w:val="0"/>
          <w:caps w:val="0"/>
          <w:color w:val="494949"/>
          <w:spacing w:val="0"/>
          <w:sz w:val="21"/>
          <w:szCs w:val="21"/>
          <w:bdr w:val="none" w:color="auto" w:sz="0" w:space="0"/>
          <w:shd w:val="clear" w:fill="FFFFFF"/>
        </w:rPr>
        <w:t>2表  </w:t>
      </w:r>
    </w:p>
    <w:p w14:paraId="4768B4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编制单位：湖南现代物流职业技术学院        金额单位：万元</w:t>
      </w:r>
    </w:p>
    <w:tbl>
      <w:tblPr>
        <w:tblW w:w="0" w:type="auto"/>
        <w:tblCellSpacing w:w="15"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11"/>
        <w:gridCol w:w="40"/>
        <w:gridCol w:w="778"/>
        <w:gridCol w:w="1290"/>
        <w:gridCol w:w="1203"/>
        <w:gridCol w:w="1203"/>
        <w:gridCol w:w="1203"/>
        <w:gridCol w:w="1117"/>
        <w:gridCol w:w="429"/>
      </w:tblGrid>
      <w:tr w14:paraId="0D4DD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tblCellSpacing w:w="15" w:type="dxa"/>
        </w:trPr>
        <w:tc>
          <w:tcPr>
            <w:tcW w:w="4835" w:type="dxa"/>
            <w:gridSpan w:val="3"/>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14:paraId="40CB06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项目</w:t>
            </w:r>
          </w:p>
        </w:tc>
        <w:tc>
          <w:tcPr>
            <w:tcW w:w="1726" w:type="dxa"/>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916C9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本年收入合计</w:t>
            </w:r>
          </w:p>
        </w:tc>
        <w:tc>
          <w:tcPr>
            <w:tcW w:w="1676" w:type="dxa"/>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36441A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财政拨款收入</w:t>
            </w:r>
          </w:p>
        </w:tc>
        <w:tc>
          <w:tcPr>
            <w:tcW w:w="4364" w:type="dxa"/>
            <w:gridSpan w:val="2"/>
            <w:tcBorders>
              <w:top w:val="single" w:color="000000" w:sz="8" w:space="0"/>
              <w:left w:val="nil"/>
              <w:bottom w:val="nil"/>
              <w:right w:val="single" w:color="000000" w:sz="8" w:space="0"/>
            </w:tcBorders>
            <w:shd w:val="clear" w:color="auto" w:fill="FFFFFF"/>
            <w:tcMar>
              <w:left w:w="108" w:type="dxa"/>
              <w:right w:w="108" w:type="dxa"/>
            </w:tcMar>
            <w:vAlign w:val="center"/>
          </w:tcPr>
          <w:p w14:paraId="677CC8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事业收入</w:t>
            </w:r>
          </w:p>
        </w:tc>
        <w:tc>
          <w:tcPr>
            <w:tcW w:w="1589" w:type="dxa"/>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31CC6A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其他收入</w:t>
            </w:r>
          </w:p>
        </w:tc>
        <w:tc>
          <w:tcPr>
            <w:tcW w:w="210" w:type="dxa"/>
            <w:tcBorders>
              <w:top w:val="nil"/>
              <w:left w:val="nil"/>
              <w:bottom w:val="nil"/>
              <w:right w:val="nil"/>
            </w:tcBorders>
            <w:shd w:val="clear" w:color="auto" w:fill="FFFFFF"/>
            <w:vAlign w:val="center"/>
          </w:tcPr>
          <w:p w14:paraId="3A2B52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4DB19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99" w:hRule="atLeast"/>
          <w:tblCellSpacing w:w="15" w:type="dxa"/>
        </w:trPr>
        <w:tc>
          <w:tcPr>
            <w:tcW w:w="2567" w:type="dxa"/>
            <w:gridSpan w:val="2"/>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11779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支出功能分类科目编码</w:t>
            </w:r>
          </w:p>
        </w:tc>
        <w:tc>
          <w:tcPr>
            <w:tcW w:w="2268"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F3E58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科目名称</w:t>
            </w:r>
          </w:p>
        </w:tc>
        <w:tc>
          <w:tcPr>
            <w:tcW w:w="1726" w:type="dxa"/>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88AEE67">
            <w:pPr>
              <w:rPr>
                <w:rFonts w:hint="eastAsia" w:ascii="微软雅黑" w:hAnsi="微软雅黑" w:eastAsia="微软雅黑" w:cs="微软雅黑"/>
                <w:i w:val="0"/>
                <w:iCs w:val="0"/>
                <w:caps w:val="0"/>
                <w:color w:val="494949"/>
                <w:spacing w:val="0"/>
                <w:sz w:val="22"/>
                <w:szCs w:val="22"/>
              </w:rPr>
            </w:pPr>
          </w:p>
        </w:tc>
        <w:tc>
          <w:tcPr>
            <w:tcW w:w="1676" w:type="dxa"/>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63684EAE">
            <w:pPr>
              <w:rPr>
                <w:rFonts w:hint="eastAsia" w:ascii="微软雅黑" w:hAnsi="微软雅黑" w:eastAsia="微软雅黑" w:cs="微软雅黑"/>
                <w:i w:val="0"/>
                <w:iCs w:val="0"/>
                <w:caps w:val="0"/>
                <w:color w:val="494949"/>
                <w:spacing w:val="0"/>
                <w:sz w:val="22"/>
                <w:szCs w:val="22"/>
              </w:rPr>
            </w:pP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B4596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小计</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32E8F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其中：教育收费</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FDC19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小计</w:t>
            </w:r>
          </w:p>
        </w:tc>
        <w:tc>
          <w:tcPr>
            <w:tcW w:w="210" w:type="dxa"/>
            <w:tcBorders>
              <w:top w:val="nil"/>
              <w:left w:val="nil"/>
              <w:bottom w:val="nil"/>
              <w:right w:val="nil"/>
            </w:tcBorders>
            <w:shd w:val="clear" w:color="auto" w:fill="FFFFFF"/>
            <w:vAlign w:val="center"/>
          </w:tcPr>
          <w:p w14:paraId="1983BA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65A19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5" w:hRule="atLeast"/>
          <w:tblCellSpacing w:w="15" w:type="dxa"/>
        </w:trPr>
        <w:tc>
          <w:tcPr>
            <w:tcW w:w="4835" w:type="dxa"/>
            <w:gridSpan w:val="3"/>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3E79E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栏次</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B266F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E20FB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A9B1E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3</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6E343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4</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B389C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5</w:t>
            </w:r>
          </w:p>
        </w:tc>
        <w:tc>
          <w:tcPr>
            <w:tcW w:w="210" w:type="dxa"/>
            <w:tcBorders>
              <w:top w:val="nil"/>
              <w:left w:val="nil"/>
              <w:bottom w:val="nil"/>
              <w:right w:val="nil"/>
            </w:tcBorders>
            <w:shd w:val="clear" w:color="auto" w:fill="FFFFFF"/>
            <w:vAlign w:val="center"/>
          </w:tcPr>
          <w:p w14:paraId="4A2CF7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6B66F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64" w:hRule="atLeast"/>
          <w:tblCellSpacing w:w="15" w:type="dxa"/>
        </w:trPr>
        <w:tc>
          <w:tcPr>
            <w:tcW w:w="4835" w:type="dxa"/>
            <w:gridSpan w:val="3"/>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E79D5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合计</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D615A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14198.62</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BAA45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9992.20</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6EC19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4067.93</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9D210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4067.93</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01CA1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138.49</w:t>
            </w:r>
          </w:p>
        </w:tc>
        <w:tc>
          <w:tcPr>
            <w:tcW w:w="210" w:type="dxa"/>
            <w:tcBorders>
              <w:top w:val="nil"/>
              <w:left w:val="nil"/>
              <w:bottom w:val="nil"/>
              <w:right w:val="nil"/>
            </w:tcBorders>
            <w:shd w:val="clear" w:color="auto" w:fill="FFFFFF"/>
            <w:vAlign w:val="center"/>
          </w:tcPr>
          <w:p w14:paraId="7F0670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0131C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824B3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4711AA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一般公共服务支出</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B6373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197.80</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1F25F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197.80</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777D2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56773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5371E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10" w:type="dxa"/>
            <w:tcBorders>
              <w:top w:val="nil"/>
              <w:left w:val="nil"/>
              <w:bottom w:val="nil"/>
              <w:right w:val="nil"/>
            </w:tcBorders>
            <w:shd w:val="clear" w:color="auto" w:fill="FFFFFF"/>
            <w:vAlign w:val="center"/>
          </w:tcPr>
          <w:p w14:paraId="6C57F9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3B531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FB87D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20106</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494F8D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财政事务</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1709B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1.00</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D7C21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1.00</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609A7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5CCD7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09023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10" w:type="dxa"/>
            <w:tcBorders>
              <w:top w:val="nil"/>
              <w:left w:val="nil"/>
              <w:bottom w:val="nil"/>
              <w:right w:val="nil"/>
            </w:tcBorders>
            <w:shd w:val="clear" w:color="auto" w:fill="FFFFFF"/>
            <w:vAlign w:val="center"/>
          </w:tcPr>
          <w:p w14:paraId="7DBB17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05D5E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60CF9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2010699</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24EED3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其他财政事务支出</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1AC77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1.00</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21A0D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1.00</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939C1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BB00A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2E0539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10" w:type="dxa"/>
            <w:tcBorders>
              <w:top w:val="nil"/>
              <w:left w:val="nil"/>
              <w:bottom w:val="nil"/>
              <w:right w:val="nil"/>
            </w:tcBorders>
            <w:shd w:val="clear" w:color="auto" w:fill="FFFFFF"/>
            <w:vAlign w:val="center"/>
          </w:tcPr>
          <w:p w14:paraId="127787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0EDF9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A824A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20113</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651E96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商贸事务</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4F408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15808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2657E9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EB474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2AAA6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10" w:type="dxa"/>
            <w:tcBorders>
              <w:top w:val="nil"/>
              <w:left w:val="nil"/>
              <w:bottom w:val="nil"/>
              <w:right w:val="nil"/>
            </w:tcBorders>
            <w:shd w:val="clear" w:color="auto" w:fill="FFFFFF"/>
            <w:vAlign w:val="center"/>
          </w:tcPr>
          <w:p w14:paraId="155407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21963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19CBE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2011350</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21C28E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事业运行</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8592F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D3A11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46965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C8CDA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7943F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10" w:type="dxa"/>
            <w:tcBorders>
              <w:top w:val="nil"/>
              <w:left w:val="nil"/>
              <w:bottom w:val="nil"/>
              <w:right w:val="nil"/>
            </w:tcBorders>
            <w:shd w:val="clear" w:color="auto" w:fill="FFFFFF"/>
            <w:vAlign w:val="center"/>
          </w:tcPr>
          <w:p w14:paraId="6007CC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42802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32DEE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45E518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教育支出</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3088A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12087.29</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A9373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8087.39</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F2098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3861.42</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96D63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3861.42</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2B9D6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138.49</w:t>
            </w:r>
          </w:p>
        </w:tc>
        <w:tc>
          <w:tcPr>
            <w:tcW w:w="210" w:type="dxa"/>
            <w:tcBorders>
              <w:top w:val="nil"/>
              <w:left w:val="nil"/>
              <w:bottom w:val="nil"/>
              <w:right w:val="nil"/>
            </w:tcBorders>
            <w:shd w:val="clear" w:color="auto" w:fill="FFFFFF"/>
            <w:vAlign w:val="center"/>
          </w:tcPr>
          <w:p w14:paraId="7AA8BC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0B548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2CFEA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20503</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7A4B94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职业教育</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844EE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12087.29</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1064A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8087.39</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92DC2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3861.42</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0CF71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3861.42</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7A4AA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138.49</w:t>
            </w:r>
          </w:p>
        </w:tc>
        <w:tc>
          <w:tcPr>
            <w:tcW w:w="210" w:type="dxa"/>
            <w:tcBorders>
              <w:top w:val="nil"/>
              <w:left w:val="nil"/>
              <w:bottom w:val="nil"/>
              <w:right w:val="nil"/>
            </w:tcBorders>
            <w:shd w:val="clear" w:color="auto" w:fill="FFFFFF"/>
            <w:vAlign w:val="center"/>
          </w:tcPr>
          <w:p w14:paraId="187F83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4F32E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54B0F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2050302</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0EE2B5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中等职业教育</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EE5FD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39.00</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5BCAC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39.00</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86B27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D31FB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E606E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10" w:type="dxa"/>
            <w:tcBorders>
              <w:top w:val="nil"/>
              <w:left w:val="nil"/>
              <w:bottom w:val="nil"/>
              <w:right w:val="nil"/>
            </w:tcBorders>
            <w:shd w:val="clear" w:color="auto" w:fill="FFFFFF"/>
            <w:vAlign w:val="center"/>
          </w:tcPr>
          <w:p w14:paraId="56748E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66F4A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C7F39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2050305</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26D757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高等职业教育</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71688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12048.29</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3A197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8048.39</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DDADD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3861.42</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5BF51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3861.42</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C64F7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138.49</w:t>
            </w:r>
          </w:p>
        </w:tc>
        <w:tc>
          <w:tcPr>
            <w:tcW w:w="210" w:type="dxa"/>
            <w:tcBorders>
              <w:top w:val="nil"/>
              <w:left w:val="nil"/>
              <w:bottom w:val="nil"/>
              <w:right w:val="nil"/>
            </w:tcBorders>
            <w:shd w:val="clear" w:color="auto" w:fill="FFFFFF"/>
            <w:vAlign w:val="center"/>
          </w:tcPr>
          <w:p w14:paraId="1594F5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61B5E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564AF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705586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科学技术支出</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83AF4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12.20</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E2E89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12.20</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BC370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0C565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34007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10" w:type="dxa"/>
            <w:tcBorders>
              <w:top w:val="nil"/>
              <w:left w:val="nil"/>
              <w:bottom w:val="nil"/>
              <w:right w:val="nil"/>
            </w:tcBorders>
            <w:shd w:val="clear" w:color="auto" w:fill="FFFFFF"/>
            <w:vAlign w:val="center"/>
          </w:tcPr>
          <w:p w14:paraId="3CDC58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12C55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656A9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20606</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3F367C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社会科学</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3923A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2.20</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35A845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2.20</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92A58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56045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5CC98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10" w:type="dxa"/>
            <w:tcBorders>
              <w:top w:val="nil"/>
              <w:left w:val="nil"/>
              <w:bottom w:val="nil"/>
              <w:right w:val="nil"/>
            </w:tcBorders>
            <w:shd w:val="clear" w:color="auto" w:fill="FFFFFF"/>
            <w:vAlign w:val="center"/>
          </w:tcPr>
          <w:p w14:paraId="396A86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07A32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31B5E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2060603</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06B6A4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社科基金支出</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465FE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0.20</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6FDA86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0.20</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080DF9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74C962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94036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10" w:type="dxa"/>
            <w:tcBorders>
              <w:top w:val="nil"/>
              <w:left w:val="nil"/>
              <w:bottom w:val="nil"/>
              <w:right w:val="nil"/>
            </w:tcBorders>
            <w:shd w:val="clear" w:color="auto" w:fill="FFFFFF"/>
            <w:vAlign w:val="center"/>
          </w:tcPr>
          <w:p w14:paraId="65E56D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r w14:paraId="6DC7E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60" w:hRule="atLeast"/>
          <w:tblCellSpacing w:w="15" w:type="dxa"/>
        </w:trPr>
        <w:tc>
          <w:tcPr>
            <w:tcW w:w="1291" w:type="dxa"/>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6E857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2060699</w:t>
            </w:r>
          </w:p>
        </w:tc>
        <w:tc>
          <w:tcPr>
            <w:tcW w:w="3544" w:type="dxa"/>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26E165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其他社会科学支出</w:t>
            </w:r>
          </w:p>
        </w:tc>
        <w:tc>
          <w:tcPr>
            <w:tcW w:w="172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05D91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2.00</w:t>
            </w:r>
          </w:p>
        </w:tc>
        <w:tc>
          <w:tcPr>
            <w:tcW w:w="1676"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5C1275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2.00</w:t>
            </w:r>
          </w:p>
        </w:tc>
        <w:tc>
          <w:tcPr>
            <w:tcW w:w="2271"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144DDD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093"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4274BB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589" w:type="dxa"/>
            <w:tcBorders>
              <w:top w:val="nil"/>
              <w:left w:val="nil"/>
              <w:bottom w:val="single" w:color="000000" w:sz="8" w:space="0"/>
              <w:right w:val="single" w:color="000000" w:sz="8" w:space="0"/>
            </w:tcBorders>
            <w:shd w:val="clear" w:color="auto" w:fill="FFFFFF"/>
            <w:tcMar>
              <w:left w:w="108" w:type="dxa"/>
              <w:right w:w="108" w:type="dxa"/>
            </w:tcMar>
            <w:vAlign w:val="center"/>
          </w:tcPr>
          <w:p w14:paraId="2B45CE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210" w:type="dxa"/>
            <w:tcBorders>
              <w:top w:val="nil"/>
              <w:left w:val="nil"/>
              <w:bottom w:val="nil"/>
              <w:right w:val="nil"/>
            </w:tcBorders>
            <w:shd w:val="clear" w:color="auto" w:fill="FFFFFF"/>
            <w:vAlign w:val="center"/>
          </w:tcPr>
          <w:p w14:paraId="4B81E9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eastAsia" w:ascii="微软雅黑" w:hAnsi="微软雅黑" w:eastAsia="微软雅黑" w:cs="微软雅黑"/>
                <w:i w:val="0"/>
                <w:iCs w:val="0"/>
                <w:caps w:val="0"/>
                <w:color w:val="494949"/>
                <w:spacing w:val="0"/>
                <w:sz w:val="22"/>
                <w:szCs w:val="22"/>
                <w:bdr w:val="none" w:color="auto" w:sz="0" w:space="0"/>
              </w:rPr>
              <w:t> </w:t>
            </w:r>
          </w:p>
        </w:tc>
      </w:tr>
    </w:tbl>
    <w:p w14:paraId="3031B47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righ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br w:type="textWrapping"/>
      </w:r>
      <w:r>
        <w:rPr>
          <w:rFonts w:hint="default" w:ascii="仿宋_GB2312" w:hAnsi="微软雅黑" w:eastAsia="仿宋_GB2312" w:cs="仿宋_GB2312"/>
          <w:i w:val="0"/>
          <w:iCs w:val="0"/>
          <w:caps w:val="0"/>
          <w:color w:val="494949"/>
          <w:spacing w:val="0"/>
          <w:sz w:val="21"/>
          <w:szCs w:val="21"/>
          <w:bdr w:val="none" w:color="auto" w:sz="0" w:space="0"/>
          <w:shd w:val="clear" w:fill="FFFFFF"/>
        </w:rPr>
        <w:t>续02表</w:t>
      </w: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332"/>
        <w:gridCol w:w="886"/>
        <w:gridCol w:w="1367"/>
        <w:gridCol w:w="1367"/>
        <w:gridCol w:w="1261"/>
        <w:gridCol w:w="1261"/>
        <w:gridCol w:w="1048"/>
      </w:tblGrid>
      <w:tr w14:paraId="62A23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81" w:type="pct"/>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14:paraId="15F691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20699</w:t>
            </w:r>
          </w:p>
        </w:tc>
        <w:tc>
          <w:tcPr>
            <w:tcW w:w="519"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1D9AB9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其他科学技术支出</w:t>
            </w:r>
          </w:p>
        </w:tc>
        <w:tc>
          <w:tcPr>
            <w:tcW w:w="802"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15F142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10.00</w:t>
            </w:r>
          </w:p>
        </w:tc>
        <w:tc>
          <w:tcPr>
            <w:tcW w:w="802"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9B59F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10.00</w:t>
            </w:r>
          </w:p>
        </w:tc>
        <w:tc>
          <w:tcPr>
            <w:tcW w:w="739"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66368B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3DBF2A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3B61A7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7517B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9846E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2069999</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02571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其他科学技术支出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DBE77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10.00</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938FB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0A920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13FF4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AF069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0A8DE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F296E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83B94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社会保障和就业支出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48148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1208.98</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268C9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1208.98</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38DB5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24FB6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26461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2AC24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22C35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20805</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1E0A9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行政事业单位养老支出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0860F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3A0CE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59691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F928D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9CC49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2212D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C59D8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2080505</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D01C2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机关事业单位基本养老保险缴费支出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BCDA6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17862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36A15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4B0BA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BC83A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05FED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708DD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20807</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BA6CA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就业补助</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C1AB9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8.50</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BABCC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8.50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CD272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40542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AB10E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0F3FD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AC3E3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2080799</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9F870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其他就业补助支出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5B7FB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8.50</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E6301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8.50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4AC48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5CBEC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C5341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720BA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85306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20899</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06D45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其他社会保障和就业支出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A586E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0.48</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3054F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0.48</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86E55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AD4FB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B3DB5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7E777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36D00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2089999</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DDC66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其他社会保障和就业支出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12FF7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0.48</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9DC46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0.48</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03105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AEF98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05163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676FF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02108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1E394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卫生健康支出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983DD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55.33</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DCBD7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55.33</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BA20A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A87F4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62D57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1DB90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29A21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21011</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9012C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行政事业单位医疗</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2C989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54.53</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5D40D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54.53</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9811A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BBEE0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CFED5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8349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4AD0A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2101102</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BF115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事业单位医疗</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7D3AB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54.53</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459DB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54.53</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1AB82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BA7D1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B3A02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65B4D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A624B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21099</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1437C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其他卫生健康支出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7F16D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0.80</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00D44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0.80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79A02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0101C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7A428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595A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600BE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2109999</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B03A5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其他卫生健康支出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42004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0.80</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6B729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0.80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1DA9A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F99BD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66EB0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4E4A0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114C9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221</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0CEB6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住房保障支出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5129A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637.02</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25796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430.50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347FD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206.52</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203C0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206.52</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F1D61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65585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B6541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22102</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AEE93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住房改革支出</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ADF05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637.02</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8C30E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430.50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CF586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206.52</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2CA4F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206.52</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D6FF4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288BF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D6CCD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2210201</w:t>
            </w:r>
          </w:p>
        </w:tc>
        <w:tc>
          <w:tcPr>
            <w:tcW w:w="51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C3F91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住房公积金</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65DBA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637.02</w:t>
            </w:r>
          </w:p>
        </w:tc>
        <w:tc>
          <w:tcPr>
            <w:tcW w:w="80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FACD9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430.50</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8BD26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206.52</w:t>
            </w:r>
          </w:p>
        </w:tc>
        <w:tc>
          <w:tcPr>
            <w:tcW w:w="7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1B91A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206.52</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0331E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bl>
    <w:p w14:paraId="20A8852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注：本表反映部门本年度取得的各项收入情况。</w:t>
      </w:r>
    </w:p>
    <w:p w14:paraId="40C6C0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eastAsia" w:ascii="宋体" w:hAnsi="宋体" w:eastAsia="宋体" w:cs="宋体"/>
          <w:b/>
          <w:bCs/>
          <w:i w:val="0"/>
          <w:iCs w:val="0"/>
          <w:caps w:val="0"/>
          <w:color w:val="494949"/>
          <w:spacing w:val="0"/>
          <w:sz w:val="36"/>
          <w:szCs w:val="36"/>
        </w:rPr>
      </w:pPr>
      <w:bookmarkStart w:id="15" w:name="_Toc12998"/>
      <w:bookmarkEnd w:id="15"/>
      <w:r>
        <w:rPr>
          <w:rStyle w:val="7"/>
          <w:rFonts w:hint="eastAsia" w:ascii="黑体" w:hAnsi="宋体" w:eastAsia="黑体" w:cs="黑体"/>
          <w:b/>
          <w:bCs/>
          <w:i w:val="0"/>
          <w:iCs w:val="0"/>
          <w:caps w:val="0"/>
          <w:color w:val="494949"/>
          <w:spacing w:val="0"/>
          <w:sz w:val="32"/>
          <w:szCs w:val="32"/>
          <w:bdr w:val="none" w:color="auto" w:sz="0" w:space="0"/>
          <w:shd w:val="clear" w:fill="FFFFFF"/>
        </w:rPr>
        <w:t>支出决算表</w:t>
      </w:r>
    </w:p>
    <w:p w14:paraId="36FD99C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840" w:firstLine="12180"/>
        <w:jc w:val="both"/>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公开</w:t>
      </w:r>
      <w:r>
        <w:rPr>
          <w:rFonts w:hint="default" w:ascii="Times New Roman" w:hAnsi="Times New Roman" w:eastAsia="微软雅黑" w:cs="Times New Roman"/>
          <w:i w:val="0"/>
          <w:iCs w:val="0"/>
          <w:caps w:val="0"/>
          <w:color w:val="494949"/>
          <w:spacing w:val="0"/>
          <w:sz w:val="21"/>
          <w:szCs w:val="21"/>
          <w:bdr w:val="none" w:color="auto" w:sz="0" w:space="0"/>
          <w:shd w:val="clear" w:fill="FFFFFF"/>
        </w:rPr>
        <w:t>0</w:t>
      </w:r>
      <w:r>
        <w:rPr>
          <w:rFonts w:hint="default" w:ascii="仿宋_GB2312" w:hAnsi="微软雅黑" w:eastAsia="仿宋_GB2312" w:cs="仿宋_GB2312"/>
          <w:i w:val="0"/>
          <w:iCs w:val="0"/>
          <w:caps w:val="0"/>
          <w:color w:val="494949"/>
          <w:spacing w:val="0"/>
          <w:sz w:val="21"/>
          <w:szCs w:val="21"/>
          <w:bdr w:val="none" w:color="auto" w:sz="0" w:space="0"/>
          <w:shd w:val="clear" w:fill="FFFFFF"/>
        </w:rPr>
        <w:t>3表  </w:t>
      </w:r>
    </w:p>
    <w:p w14:paraId="306658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编制单位：湖南现代物流职业技术学院                       金额单位：万元</w:t>
      </w: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896"/>
        <w:gridCol w:w="2097"/>
        <w:gridCol w:w="1662"/>
        <w:gridCol w:w="1432"/>
        <w:gridCol w:w="1435"/>
      </w:tblGrid>
      <w:tr w14:paraId="27658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342" w:type="pct"/>
            <w:gridSpan w:val="2"/>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14:paraId="6E1E89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项目</w:t>
            </w:r>
          </w:p>
        </w:tc>
        <w:tc>
          <w:tcPr>
            <w:tcW w:w="975" w:type="pct"/>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1926E2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本年支出合计</w:t>
            </w:r>
          </w:p>
        </w:tc>
        <w:tc>
          <w:tcPr>
            <w:tcW w:w="840" w:type="pct"/>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52C0B7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基本支出</w:t>
            </w:r>
          </w:p>
        </w:tc>
        <w:tc>
          <w:tcPr>
            <w:tcW w:w="841" w:type="pct"/>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345E70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项目支出</w:t>
            </w:r>
          </w:p>
        </w:tc>
      </w:tr>
      <w:tr w14:paraId="3A093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145E6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支出功能分类科目编码</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EA4A1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科目名称</w:t>
            </w:r>
          </w:p>
        </w:tc>
        <w:tc>
          <w:tcPr>
            <w:tcW w:w="975"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AFE20D8">
            <w:pPr>
              <w:rPr>
                <w:rFonts w:hint="eastAsia" w:ascii="微软雅黑" w:hAnsi="微软雅黑" w:eastAsia="微软雅黑" w:cs="微软雅黑"/>
                <w:i w:val="0"/>
                <w:iCs w:val="0"/>
                <w:caps w:val="0"/>
                <w:color w:val="494949"/>
                <w:spacing w:val="0"/>
                <w:sz w:val="22"/>
                <w:szCs w:val="22"/>
              </w:rPr>
            </w:pPr>
          </w:p>
        </w:tc>
        <w:tc>
          <w:tcPr>
            <w:tcW w:w="840"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5F7A6359">
            <w:pPr>
              <w:rPr>
                <w:rFonts w:hint="eastAsia" w:ascii="微软雅黑" w:hAnsi="微软雅黑" w:eastAsia="微软雅黑" w:cs="微软雅黑"/>
                <w:i w:val="0"/>
                <w:iCs w:val="0"/>
                <w:caps w:val="0"/>
                <w:color w:val="494949"/>
                <w:spacing w:val="0"/>
                <w:sz w:val="22"/>
                <w:szCs w:val="22"/>
              </w:rPr>
            </w:pPr>
          </w:p>
        </w:tc>
        <w:tc>
          <w:tcPr>
            <w:tcW w:w="841"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188D3EDB">
            <w:pPr>
              <w:rPr>
                <w:rFonts w:hint="eastAsia" w:ascii="微软雅黑" w:hAnsi="微软雅黑" w:eastAsia="微软雅黑" w:cs="微软雅黑"/>
                <w:i w:val="0"/>
                <w:iCs w:val="0"/>
                <w:caps w:val="0"/>
                <w:color w:val="494949"/>
                <w:spacing w:val="0"/>
                <w:sz w:val="22"/>
                <w:szCs w:val="22"/>
              </w:rPr>
            </w:pPr>
          </w:p>
        </w:tc>
      </w:tr>
      <w:tr w14:paraId="26312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342" w:type="pct"/>
            <w:gridSpan w:val="2"/>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0A132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栏次</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E4406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65CDE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FE5FE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3</w:t>
            </w:r>
          </w:p>
        </w:tc>
      </w:tr>
      <w:tr w14:paraId="49DE2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342" w:type="pct"/>
            <w:gridSpan w:val="2"/>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52E61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合计</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20A1A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15251.18</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9BF85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9743.73</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F8694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5507.44</w:t>
            </w:r>
          </w:p>
        </w:tc>
      </w:tr>
      <w:tr w14:paraId="04F4C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3A6A3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810A2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一般公共服务支出</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59433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32C56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841"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7B7CE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203C6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ED044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20113</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B4797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商贸事务</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84E43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FA604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77D55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6453F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1955E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2011350</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3F859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事业运行</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9B1DF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80000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A74F0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47209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08BFA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17F84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教育支出</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A40AA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13150.70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FD311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7655.91</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9A5A0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5494.79</w:t>
            </w:r>
          </w:p>
        </w:tc>
      </w:tr>
      <w:tr w14:paraId="7EC5E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07031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20503</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3CD67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职业教育</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698B0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13150.70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05D35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7655.91</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5AB27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5494.79</w:t>
            </w:r>
          </w:p>
        </w:tc>
      </w:tr>
      <w:tr w14:paraId="2CCB2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17725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2050302</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F6D9C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中等职业教育</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28FC6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63.60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C82AE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E3776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63.60</w:t>
            </w:r>
          </w:p>
        </w:tc>
      </w:tr>
      <w:tr w14:paraId="26127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36A71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2050305</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2BE09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高等职业教育</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F476F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13087.10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814F5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7655.91</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BEA2D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5431.19</w:t>
            </w:r>
          </w:p>
        </w:tc>
      </w:tr>
      <w:tr w14:paraId="611B4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CD9BE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57718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科学技术支出</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7F5AD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77650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8A624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r>
      <w:tr w14:paraId="7B215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DC184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20606</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30BD9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社会科学</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34CC0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9DCC3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7BCFC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r>
      <w:tr w14:paraId="75D3A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53A55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2060699</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E9DC9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其他社会科学支出</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42067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84163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3E2DE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r>
      <w:tr w14:paraId="354C5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C72CB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47C4E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社会保障和就业支出</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BEF0F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1208.65</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DFC61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5794A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8.65</w:t>
            </w:r>
          </w:p>
        </w:tc>
      </w:tr>
      <w:tr w14:paraId="52523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17362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20805</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D530F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行政事业单位养老支出</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BDC77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5634C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CCFE3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6F8C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12"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C508B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2080505</w:t>
            </w:r>
          </w:p>
        </w:tc>
        <w:tc>
          <w:tcPr>
            <w:tcW w:w="123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17BBE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机关事业单位基本养老保险缴费支出</w:t>
            </w:r>
          </w:p>
        </w:tc>
        <w:tc>
          <w:tcPr>
            <w:tcW w:w="9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CB31E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84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592EA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84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6810B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bl>
    <w:p w14:paraId="6EBF33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righ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br w:type="textWrapping"/>
      </w:r>
      <w:r>
        <w:rPr>
          <w:rFonts w:hint="default" w:ascii="仿宋_GB2312" w:hAnsi="微软雅黑" w:eastAsia="仿宋_GB2312" w:cs="仿宋_GB2312"/>
          <w:i w:val="0"/>
          <w:iCs w:val="0"/>
          <w:caps w:val="0"/>
          <w:color w:val="494949"/>
          <w:spacing w:val="0"/>
          <w:sz w:val="21"/>
          <w:szCs w:val="21"/>
          <w:bdr w:val="none" w:color="auto" w:sz="0" w:space="0"/>
          <w:shd w:val="clear" w:fill="FFFFFF"/>
        </w:rPr>
        <w:t>续03表</w:t>
      </w:r>
    </w:p>
    <w:tbl>
      <w:tblPr>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575"/>
        <w:gridCol w:w="2732"/>
        <w:gridCol w:w="1488"/>
        <w:gridCol w:w="1488"/>
        <w:gridCol w:w="1236"/>
      </w:tblGrid>
      <w:tr w14:paraId="3C3BB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24" w:type="pct"/>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14:paraId="399CE3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20807</w:t>
            </w:r>
          </w:p>
        </w:tc>
        <w:tc>
          <w:tcPr>
            <w:tcW w:w="1603"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E7C03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就业补助</w:t>
            </w:r>
          </w:p>
        </w:tc>
        <w:tc>
          <w:tcPr>
            <w:tcW w:w="873"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13B5B4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8.65</w:t>
            </w:r>
          </w:p>
        </w:tc>
        <w:tc>
          <w:tcPr>
            <w:tcW w:w="873"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2482E1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25"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111645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8.65</w:t>
            </w:r>
          </w:p>
        </w:tc>
      </w:tr>
      <w:tr w14:paraId="69E9D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2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D1D2E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2080799</w:t>
            </w:r>
          </w:p>
        </w:tc>
        <w:tc>
          <w:tcPr>
            <w:tcW w:w="160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90EC6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其他就业补助支出</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86DA1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8.65</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574DA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2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CD9DE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8.65</w:t>
            </w:r>
          </w:p>
        </w:tc>
      </w:tr>
      <w:tr w14:paraId="27DC0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2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2FE07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w:t>
            </w:r>
          </w:p>
        </w:tc>
        <w:tc>
          <w:tcPr>
            <w:tcW w:w="160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655A7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卫生健康支出</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BFD7F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98526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72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37E9C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71D7C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2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B06FA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21011</w:t>
            </w:r>
          </w:p>
        </w:tc>
        <w:tc>
          <w:tcPr>
            <w:tcW w:w="160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E223D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行政事业单位医疗</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8413F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D55F5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72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25303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10163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2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E13E6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2101102</w:t>
            </w:r>
          </w:p>
        </w:tc>
        <w:tc>
          <w:tcPr>
            <w:tcW w:w="160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DA44D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事业单位医疗</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F37EA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FA508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72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F143C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6F76F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2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89E30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221</w:t>
            </w:r>
          </w:p>
        </w:tc>
        <w:tc>
          <w:tcPr>
            <w:tcW w:w="160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6C6A5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住房保障支出</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D11F4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637.02</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AA511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637.02</w:t>
            </w:r>
          </w:p>
        </w:tc>
        <w:tc>
          <w:tcPr>
            <w:tcW w:w="72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8CC1A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12DB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92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56F8B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22102</w:t>
            </w:r>
          </w:p>
        </w:tc>
        <w:tc>
          <w:tcPr>
            <w:tcW w:w="160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7D7B0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住房改革支出</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39AD1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637.02</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6ACE0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637.02</w:t>
            </w:r>
          </w:p>
        </w:tc>
        <w:tc>
          <w:tcPr>
            <w:tcW w:w="72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9A2DF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7395F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92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A328B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2210201</w:t>
            </w:r>
          </w:p>
        </w:tc>
        <w:tc>
          <w:tcPr>
            <w:tcW w:w="160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B61FB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 住房公积金</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0D20B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637.02</w:t>
            </w:r>
          </w:p>
        </w:tc>
        <w:tc>
          <w:tcPr>
            <w:tcW w:w="87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2BFCB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637.02</w:t>
            </w:r>
          </w:p>
        </w:tc>
        <w:tc>
          <w:tcPr>
            <w:tcW w:w="72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3D779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bl>
    <w:p w14:paraId="79D17A2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注：本表反映部门本年度各项支出情况。</w:t>
      </w: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835"/>
        <w:gridCol w:w="919"/>
        <w:gridCol w:w="1546"/>
        <w:gridCol w:w="1754"/>
        <w:gridCol w:w="919"/>
        <w:gridCol w:w="1549"/>
      </w:tblGrid>
      <w:tr w14:paraId="5EF40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000" w:type="pct"/>
            <w:gridSpan w:val="6"/>
            <w:tcBorders>
              <w:top w:val="nil"/>
              <w:left w:val="nil"/>
              <w:bottom w:val="nil"/>
              <w:right w:val="nil"/>
            </w:tcBorders>
            <w:shd w:val="clear" w:color="auto" w:fill="FFFFFF"/>
            <w:tcMar>
              <w:left w:w="108" w:type="dxa"/>
              <w:right w:w="108" w:type="dxa"/>
            </w:tcMar>
            <w:vAlign w:val="center"/>
          </w:tcPr>
          <w:p w14:paraId="2C9A3D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bookmarkStart w:id="16" w:name="_Toc6395"/>
            <w:bookmarkEnd w:id="16"/>
            <w:r>
              <w:rPr>
                <w:rStyle w:val="7"/>
                <w:rFonts w:hint="eastAsia" w:ascii="黑体" w:hAnsi="宋体" w:eastAsia="黑体" w:cs="黑体"/>
                <w:b/>
                <w:bCs/>
                <w:i w:val="0"/>
                <w:iCs w:val="0"/>
                <w:caps w:val="0"/>
                <w:color w:val="494949"/>
                <w:spacing w:val="0"/>
                <w:sz w:val="32"/>
                <w:szCs w:val="32"/>
                <w:bdr w:val="none" w:color="auto" w:sz="0" w:space="0"/>
              </w:rPr>
              <w:t>财政拨款收入支出决算总表</w:t>
            </w:r>
          </w:p>
        </w:tc>
      </w:tr>
      <w:tr w14:paraId="36913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000" w:type="pct"/>
            <w:gridSpan w:val="6"/>
            <w:tcBorders>
              <w:top w:val="nil"/>
              <w:left w:val="nil"/>
              <w:bottom w:val="nil"/>
              <w:right w:val="nil"/>
            </w:tcBorders>
            <w:shd w:val="clear" w:color="auto" w:fill="FFFFFF"/>
            <w:tcMar>
              <w:left w:w="108" w:type="dxa"/>
              <w:right w:w="108" w:type="dxa"/>
            </w:tcMar>
            <w:vAlign w:val="center"/>
          </w:tcPr>
          <w:p w14:paraId="6FBBD4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840" w:firstLine="420"/>
              <w:jc w:val="both"/>
            </w:pPr>
            <w:r>
              <w:rPr>
                <w:rFonts w:hint="default" w:ascii="仿宋_GB2312" w:hAnsi="微软雅黑" w:eastAsia="仿宋_GB2312" w:cs="仿宋_GB2312"/>
                <w:i w:val="0"/>
                <w:iCs w:val="0"/>
                <w:caps w:val="0"/>
                <w:color w:val="494949"/>
                <w:spacing w:val="0"/>
                <w:sz w:val="21"/>
                <w:szCs w:val="21"/>
                <w:bdr w:val="none" w:color="auto" w:sz="0" w:space="0"/>
              </w:rPr>
              <w:t>公开</w:t>
            </w:r>
            <w:r>
              <w:rPr>
                <w:rFonts w:hint="default" w:ascii="Times New Roman" w:hAnsi="Times New Roman" w:eastAsia="微软雅黑" w:cs="Times New Roman"/>
                <w:i w:val="0"/>
                <w:iCs w:val="0"/>
                <w:caps w:val="0"/>
                <w:color w:val="494949"/>
                <w:spacing w:val="0"/>
                <w:sz w:val="21"/>
                <w:szCs w:val="21"/>
                <w:bdr w:val="none" w:color="auto" w:sz="0" w:space="0"/>
              </w:rPr>
              <w:t>0</w:t>
            </w:r>
            <w:r>
              <w:rPr>
                <w:rFonts w:hint="default" w:ascii="仿宋_GB2312" w:hAnsi="微软雅黑" w:eastAsia="仿宋_GB2312" w:cs="仿宋_GB2312"/>
                <w:i w:val="0"/>
                <w:iCs w:val="0"/>
                <w:caps w:val="0"/>
                <w:color w:val="494949"/>
                <w:spacing w:val="0"/>
                <w:sz w:val="21"/>
                <w:szCs w:val="21"/>
                <w:bdr w:val="none" w:color="auto" w:sz="0" w:space="0"/>
              </w:rPr>
              <w:t>4表  </w:t>
            </w:r>
          </w:p>
          <w:p w14:paraId="150805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编制单位：湖南现代物流职业技术学院                           金额单位：万元</w:t>
            </w:r>
          </w:p>
        </w:tc>
      </w:tr>
      <w:tr w14:paraId="0D2B4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523" w:type="pct"/>
            <w:gridSpan w:val="3"/>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14:paraId="013FE4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收     入</w:t>
            </w:r>
          </w:p>
        </w:tc>
        <w:tc>
          <w:tcPr>
            <w:tcW w:w="2476" w:type="pct"/>
            <w:gridSpan w:val="3"/>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580038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支     出</w:t>
            </w:r>
          </w:p>
        </w:tc>
      </w:tr>
      <w:tr w14:paraId="3BE1C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97BCF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项    目</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91A13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行次</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2B433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决算数</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D45BB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项目（按功能分类）</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0BE7D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行次</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1D7F3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决算数</w:t>
            </w:r>
          </w:p>
        </w:tc>
      </w:tr>
      <w:tr w14:paraId="0CAF1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D4718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栏    次</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5915756">
            <w:pPr>
              <w:rPr>
                <w:rFonts w:hint="eastAsia" w:ascii="微软雅黑" w:hAnsi="微软雅黑" w:eastAsia="微软雅黑" w:cs="微软雅黑"/>
                <w:i w:val="0"/>
                <w:iCs w:val="0"/>
                <w:caps w:val="0"/>
                <w:color w:val="494949"/>
                <w:spacing w:val="0"/>
                <w:sz w:val="22"/>
                <w:szCs w:val="22"/>
              </w:rPr>
            </w:pP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97768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8BA0E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栏    次</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5F4A6F1">
            <w:pPr>
              <w:rPr>
                <w:rFonts w:hint="eastAsia" w:ascii="微软雅黑" w:hAnsi="微软雅黑" w:eastAsia="微软雅黑" w:cs="微软雅黑"/>
                <w:i w:val="0"/>
                <w:iCs w:val="0"/>
                <w:caps w:val="0"/>
                <w:color w:val="494949"/>
                <w:spacing w:val="0"/>
                <w:sz w:val="22"/>
                <w:szCs w:val="22"/>
              </w:rPr>
            </w:pP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676F1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w:t>
            </w:r>
          </w:p>
        </w:tc>
      </w:tr>
      <w:tr w14:paraId="37C38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59CD5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一、一般公共预算财政拨款</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7220E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DECAA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9992.20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282A1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一、一般公共服务支出</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B66B5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15</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1FB2A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166BC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21AA3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二、政府性基金预算财政拨款</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DE9EB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93D29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D161C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二、外交支出</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AFAC1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16</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AF2B7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5F595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923FA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9F27A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3</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75F08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F7D1A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三、国防支出</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02CD8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17</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E0CEC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6770B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8D815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ED513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4</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EA44C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873FA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四、公共安全支出</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79382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18</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3A06C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50204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CF377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F8870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5</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477D1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76AC6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五、教育支出</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CC71D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19</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D7035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9242.06</w:t>
            </w:r>
          </w:p>
        </w:tc>
      </w:tr>
      <w:tr w14:paraId="3EF16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84BB0A5">
            <w:pPr>
              <w:rPr>
                <w:rFonts w:hint="eastAsia" w:ascii="微软雅黑" w:hAnsi="微软雅黑" w:eastAsia="微软雅黑" w:cs="微软雅黑"/>
                <w:i w:val="0"/>
                <w:iCs w:val="0"/>
                <w:caps w:val="0"/>
                <w:color w:val="494949"/>
                <w:spacing w:val="0"/>
                <w:sz w:val="22"/>
                <w:szCs w:val="22"/>
              </w:rPr>
            </w:pP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80ED7E4">
            <w:pPr>
              <w:rPr>
                <w:rFonts w:hint="eastAsia" w:ascii="微软雅黑" w:hAnsi="微软雅黑" w:eastAsia="微软雅黑" w:cs="微软雅黑"/>
                <w:i w:val="0"/>
                <w:iCs w:val="0"/>
                <w:caps w:val="0"/>
                <w:color w:val="494949"/>
                <w:spacing w:val="0"/>
                <w:sz w:val="22"/>
                <w:szCs w:val="22"/>
              </w:rPr>
            </w:pP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2AC3B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82F17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六、科学技术支出</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69EC7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20</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FDDAF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r>
      <w:tr w14:paraId="473EF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98D41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86C94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6</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60A29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C987E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七、社会保障和就业支出</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3DA32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21</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E2E0E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1208.65</w:t>
            </w:r>
          </w:p>
        </w:tc>
      </w:tr>
      <w:tr w14:paraId="44AF1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31B7B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64196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7</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F12F6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7FD0E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八、卫生健康支出</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9F477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22</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FD985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r>
      <w:tr w14:paraId="080C7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11D7A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BFF0D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8</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864C0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BBCD2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九、住房保障支出</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95EDA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23</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82A3D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430.50</w:t>
            </w:r>
          </w:p>
        </w:tc>
      </w:tr>
      <w:tr w14:paraId="7C62A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6657F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01C91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9</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0D328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B7822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6494F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24</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FBA51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016DB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8E320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本年收入合计</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F961F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10</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D309F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9992.20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8C4F8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本年支出合计</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FFA10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25</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C533D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11136.02</w:t>
            </w:r>
          </w:p>
        </w:tc>
      </w:tr>
      <w:tr w14:paraId="43B44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47979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年初财政拨款结转和结余</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451C1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11</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EE5FB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2939.02</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0ED23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年末财政拨款结转和结余</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F9E27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26</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9D9CA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1795.20</w:t>
            </w:r>
          </w:p>
        </w:tc>
      </w:tr>
      <w:tr w14:paraId="0D1A8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C8A76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一、一般公共预算财政拨款</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564DB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12</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20DDA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2939.02</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BAB6C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552B5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27</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7DFDE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69675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64B3B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二、政府性基金预算财政拨款</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C0A8E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13</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36A0A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B0638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FCF22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28</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11240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56A57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077"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05580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总计</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5C903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14</w:t>
            </w:r>
          </w:p>
        </w:tc>
        <w:tc>
          <w:tcPr>
            <w:tcW w:w="90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882D0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12931.22</w:t>
            </w:r>
          </w:p>
        </w:tc>
        <w:tc>
          <w:tcPr>
            <w:tcW w:w="102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CB135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总计</w:t>
            </w:r>
          </w:p>
        </w:tc>
        <w:tc>
          <w:tcPr>
            <w:tcW w:w="539"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3146E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29</w:t>
            </w:r>
          </w:p>
        </w:tc>
        <w:tc>
          <w:tcPr>
            <w:tcW w:w="90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063E9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12931.22</w:t>
            </w:r>
          </w:p>
        </w:tc>
      </w:tr>
    </w:tbl>
    <w:p w14:paraId="0889ABB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注：本表反映部门本年度一般公共预算财政拨款和政府性基金预算财政拨款的总收支和年末结转结余情况。</w:t>
      </w:r>
    </w:p>
    <w:p w14:paraId="0A489B3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eastAsia" w:ascii="宋体" w:hAnsi="宋体" w:eastAsia="宋体" w:cs="宋体"/>
          <w:b/>
          <w:bCs/>
          <w:i w:val="0"/>
          <w:iCs w:val="0"/>
          <w:caps w:val="0"/>
          <w:color w:val="494949"/>
          <w:spacing w:val="0"/>
          <w:sz w:val="36"/>
          <w:szCs w:val="36"/>
        </w:rPr>
      </w:pPr>
      <w:bookmarkStart w:id="17" w:name="_Toc28782"/>
      <w:bookmarkEnd w:id="17"/>
      <w:bookmarkStart w:id="18" w:name="_Toc585"/>
      <w:bookmarkEnd w:id="18"/>
      <w:r>
        <w:rPr>
          <w:rStyle w:val="7"/>
          <w:rFonts w:hint="eastAsia" w:ascii="黑体" w:hAnsi="宋体" w:eastAsia="黑体" w:cs="黑体"/>
          <w:b/>
          <w:bCs/>
          <w:i w:val="0"/>
          <w:iCs w:val="0"/>
          <w:caps w:val="0"/>
          <w:color w:val="494949"/>
          <w:spacing w:val="0"/>
          <w:sz w:val="32"/>
          <w:szCs w:val="32"/>
          <w:bdr w:val="none" w:color="auto" w:sz="0" w:space="0"/>
          <w:shd w:val="clear" w:fill="FFFFFF"/>
        </w:rPr>
        <w:t>一般公共预算财政拨款支出决算表</w:t>
      </w:r>
    </w:p>
    <w:p w14:paraId="2CF883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840" w:firstLine="12180"/>
        <w:jc w:val="both"/>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公开</w:t>
      </w:r>
      <w:r>
        <w:rPr>
          <w:rFonts w:hint="default" w:ascii="Times New Roman" w:hAnsi="Times New Roman" w:eastAsia="微软雅黑" w:cs="Times New Roman"/>
          <w:i w:val="0"/>
          <w:iCs w:val="0"/>
          <w:caps w:val="0"/>
          <w:color w:val="494949"/>
          <w:spacing w:val="0"/>
          <w:sz w:val="21"/>
          <w:szCs w:val="21"/>
          <w:bdr w:val="none" w:color="auto" w:sz="0" w:space="0"/>
          <w:shd w:val="clear" w:fill="FFFFFF"/>
        </w:rPr>
        <w:t>0</w:t>
      </w:r>
      <w:r>
        <w:rPr>
          <w:rFonts w:hint="default" w:ascii="仿宋_GB2312" w:hAnsi="微软雅黑" w:eastAsia="仿宋_GB2312" w:cs="仿宋_GB2312"/>
          <w:i w:val="0"/>
          <w:iCs w:val="0"/>
          <w:caps w:val="0"/>
          <w:color w:val="494949"/>
          <w:spacing w:val="0"/>
          <w:sz w:val="21"/>
          <w:szCs w:val="21"/>
          <w:bdr w:val="none" w:color="auto" w:sz="0" w:space="0"/>
          <w:shd w:val="clear" w:fill="FFFFFF"/>
        </w:rPr>
        <w:t>5表  </w:t>
      </w:r>
    </w:p>
    <w:p w14:paraId="7FD98AD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编制单位：湖南现代物流职业技术学院           金额单位：万元</w:t>
      </w: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625"/>
        <w:gridCol w:w="625"/>
        <w:gridCol w:w="625"/>
        <w:gridCol w:w="1643"/>
        <w:gridCol w:w="1073"/>
        <w:gridCol w:w="1001"/>
        <w:gridCol w:w="1001"/>
        <w:gridCol w:w="928"/>
        <w:gridCol w:w="1001"/>
      </w:tblGrid>
      <w:tr w14:paraId="5B0C3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064" w:type="pct"/>
            <w:gridSpan w:val="4"/>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14:paraId="57BAF1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宋体" w:hAnsi="宋体" w:eastAsia="宋体" w:cs="宋体"/>
                <w:i w:val="0"/>
                <w:iCs w:val="0"/>
                <w:caps w:val="0"/>
                <w:color w:val="494949"/>
                <w:spacing w:val="0"/>
                <w:sz w:val="20"/>
                <w:szCs w:val="20"/>
                <w:bdr w:val="none" w:color="auto" w:sz="0" w:space="0"/>
              </w:rPr>
              <w:t>项目</w:t>
            </w:r>
          </w:p>
        </w:tc>
        <w:tc>
          <w:tcPr>
            <w:tcW w:w="2935" w:type="pct"/>
            <w:gridSpan w:val="5"/>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32852C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本年支出</w:t>
            </w:r>
          </w:p>
        </w:tc>
      </w:tr>
      <w:tr w14:paraId="3AF9C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vMerge w:val="restar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3716A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支出功能分类科目编码</w:t>
            </w:r>
          </w:p>
        </w:tc>
        <w:tc>
          <w:tcPr>
            <w:tcW w:w="963" w:type="pct"/>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26C1E7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科目名称</w:t>
            </w:r>
          </w:p>
        </w:tc>
        <w:tc>
          <w:tcPr>
            <w:tcW w:w="629" w:type="pct"/>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43D3F7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合计</w:t>
            </w:r>
          </w:p>
        </w:tc>
        <w:tc>
          <w:tcPr>
            <w:tcW w:w="1719" w:type="pct"/>
            <w:gridSpan w:val="3"/>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0F8096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基本支出</w:t>
            </w:r>
          </w:p>
        </w:tc>
        <w:tc>
          <w:tcPr>
            <w:tcW w:w="587" w:type="pct"/>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6B3722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项目支出</w:t>
            </w:r>
          </w:p>
        </w:tc>
      </w:tr>
      <w:tr w14:paraId="53F5D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jc w:val="center"/>
        </w:trPr>
        <w:tc>
          <w:tcPr>
            <w:tcW w:w="1100" w:type="pct"/>
            <w:gridSpan w:val="3"/>
            <w:vMerge w:val="continue"/>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F93F9CE">
            <w:pPr>
              <w:rPr>
                <w:rFonts w:hint="eastAsia" w:ascii="微软雅黑" w:hAnsi="微软雅黑" w:eastAsia="微软雅黑" w:cs="微软雅黑"/>
                <w:i w:val="0"/>
                <w:iCs w:val="0"/>
                <w:caps w:val="0"/>
                <w:color w:val="494949"/>
                <w:spacing w:val="0"/>
                <w:sz w:val="22"/>
                <w:szCs w:val="22"/>
              </w:rPr>
            </w:pPr>
          </w:p>
        </w:tc>
        <w:tc>
          <w:tcPr>
            <w:tcW w:w="963"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3CB864C">
            <w:pPr>
              <w:rPr>
                <w:rFonts w:hint="eastAsia" w:ascii="微软雅黑" w:hAnsi="微软雅黑" w:eastAsia="微软雅黑" w:cs="微软雅黑"/>
                <w:i w:val="0"/>
                <w:iCs w:val="0"/>
                <w:caps w:val="0"/>
                <w:color w:val="494949"/>
                <w:spacing w:val="0"/>
                <w:sz w:val="22"/>
                <w:szCs w:val="22"/>
              </w:rPr>
            </w:pPr>
          </w:p>
        </w:tc>
        <w:tc>
          <w:tcPr>
            <w:tcW w:w="629"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BBAFF8B">
            <w:pPr>
              <w:rPr>
                <w:rFonts w:hint="eastAsia" w:ascii="微软雅黑" w:hAnsi="微软雅黑" w:eastAsia="微软雅黑" w:cs="微软雅黑"/>
                <w:i w:val="0"/>
                <w:iCs w:val="0"/>
                <w:caps w:val="0"/>
                <w:color w:val="494949"/>
                <w:spacing w:val="0"/>
                <w:sz w:val="22"/>
                <w:szCs w:val="22"/>
              </w:rPr>
            </w:pPr>
          </w:p>
        </w:tc>
        <w:tc>
          <w:tcPr>
            <w:tcW w:w="587" w:type="pct"/>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780397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小计</w:t>
            </w:r>
          </w:p>
        </w:tc>
        <w:tc>
          <w:tcPr>
            <w:tcW w:w="587" w:type="pct"/>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0586B4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人员经费</w:t>
            </w:r>
          </w:p>
        </w:tc>
        <w:tc>
          <w:tcPr>
            <w:tcW w:w="544" w:type="pct"/>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680C47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公用经费</w:t>
            </w:r>
          </w:p>
        </w:tc>
        <w:tc>
          <w:tcPr>
            <w:tcW w:w="587"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68D90A06">
            <w:pPr>
              <w:rPr>
                <w:rFonts w:hint="eastAsia" w:ascii="微软雅黑" w:hAnsi="微软雅黑" w:eastAsia="微软雅黑" w:cs="微软雅黑"/>
                <w:i w:val="0"/>
                <w:iCs w:val="0"/>
                <w:caps w:val="0"/>
                <w:color w:val="494949"/>
                <w:spacing w:val="0"/>
                <w:sz w:val="22"/>
                <w:szCs w:val="22"/>
              </w:rPr>
            </w:pPr>
          </w:p>
        </w:tc>
      </w:tr>
      <w:tr w14:paraId="1EBBD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jc w:val="center"/>
        </w:trPr>
        <w:tc>
          <w:tcPr>
            <w:tcW w:w="1100" w:type="pct"/>
            <w:gridSpan w:val="3"/>
            <w:vMerge w:val="continue"/>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6F03306">
            <w:pPr>
              <w:rPr>
                <w:rFonts w:hint="eastAsia" w:ascii="微软雅黑" w:hAnsi="微软雅黑" w:eastAsia="微软雅黑" w:cs="微软雅黑"/>
                <w:i w:val="0"/>
                <w:iCs w:val="0"/>
                <w:caps w:val="0"/>
                <w:color w:val="494949"/>
                <w:spacing w:val="0"/>
                <w:sz w:val="22"/>
                <w:szCs w:val="22"/>
              </w:rPr>
            </w:pPr>
          </w:p>
        </w:tc>
        <w:tc>
          <w:tcPr>
            <w:tcW w:w="963"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F094AE8">
            <w:pPr>
              <w:rPr>
                <w:rFonts w:hint="eastAsia" w:ascii="微软雅黑" w:hAnsi="微软雅黑" w:eastAsia="微软雅黑" w:cs="微软雅黑"/>
                <w:i w:val="0"/>
                <w:iCs w:val="0"/>
                <w:caps w:val="0"/>
                <w:color w:val="494949"/>
                <w:spacing w:val="0"/>
                <w:sz w:val="22"/>
                <w:szCs w:val="22"/>
              </w:rPr>
            </w:pPr>
          </w:p>
        </w:tc>
        <w:tc>
          <w:tcPr>
            <w:tcW w:w="629"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268E59D">
            <w:pPr>
              <w:rPr>
                <w:rFonts w:hint="eastAsia" w:ascii="微软雅黑" w:hAnsi="微软雅黑" w:eastAsia="微软雅黑" w:cs="微软雅黑"/>
                <w:i w:val="0"/>
                <w:iCs w:val="0"/>
                <w:caps w:val="0"/>
                <w:color w:val="494949"/>
                <w:spacing w:val="0"/>
                <w:sz w:val="22"/>
                <w:szCs w:val="22"/>
              </w:rPr>
            </w:pPr>
          </w:p>
        </w:tc>
        <w:tc>
          <w:tcPr>
            <w:tcW w:w="587"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02ABA5A2">
            <w:pPr>
              <w:rPr>
                <w:rFonts w:hint="eastAsia" w:ascii="微软雅黑" w:hAnsi="微软雅黑" w:eastAsia="微软雅黑" w:cs="微软雅黑"/>
                <w:i w:val="0"/>
                <w:iCs w:val="0"/>
                <w:caps w:val="0"/>
                <w:color w:val="494949"/>
                <w:spacing w:val="0"/>
                <w:sz w:val="22"/>
                <w:szCs w:val="22"/>
              </w:rPr>
            </w:pPr>
          </w:p>
        </w:tc>
        <w:tc>
          <w:tcPr>
            <w:tcW w:w="587"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E1068DA">
            <w:pPr>
              <w:rPr>
                <w:rFonts w:hint="eastAsia" w:ascii="微软雅黑" w:hAnsi="微软雅黑" w:eastAsia="微软雅黑" w:cs="微软雅黑"/>
                <w:i w:val="0"/>
                <w:iCs w:val="0"/>
                <w:caps w:val="0"/>
                <w:color w:val="494949"/>
                <w:spacing w:val="0"/>
                <w:sz w:val="22"/>
                <w:szCs w:val="22"/>
              </w:rPr>
            </w:pPr>
          </w:p>
        </w:tc>
        <w:tc>
          <w:tcPr>
            <w:tcW w:w="544"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181B2C0D">
            <w:pPr>
              <w:rPr>
                <w:rFonts w:hint="eastAsia" w:ascii="微软雅黑" w:hAnsi="微软雅黑" w:eastAsia="微软雅黑" w:cs="微软雅黑"/>
                <w:i w:val="0"/>
                <w:iCs w:val="0"/>
                <w:caps w:val="0"/>
                <w:color w:val="494949"/>
                <w:spacing w:val="0"/>
                <w:sz w:val="22"/>
                <w:szCs w:val="22"/>
              </w:rPr>
            </w:pPr>
          </w:p>
        </w:tc>
        <w:tc>
          <w:tcPr>
            <w:tcW w:w="587"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9FBA8EE">
            <w:pPr>
              <w:rPr>
                <w:rFonts w:hint="eastAsia" w:ascii="微软雅黑" w:hAnsi="微软雅黑" w:eastAsia="微软雅黑" w:cs="微软雅黑"/>
                <w:i w:val="0"/>
                <w:iCs w:val="0"/>
                <w:caps w:val="0"/>
                <w:color w:val="494949"/>
                <w:spacing w:val="0"/>
                <w:sz w:val="22"/>
                <w:szCs w:val="22"/>
              </w:rPr>
            </w:pPr>
          </w:p>
        </w:tc>
      </w:tr>
      <w:tr w14:paraId="3EE43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366" w:type="pct"/>
            <w:vMerge w:val="restar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4B0A0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类</w:t>
            </w:r>
          </w:p>
        </w:tc>
        <w:tc>
          <w:tcPr>
            <w:tcW w:w="366" w:type="pct"/>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45513A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款</w:t>
            </w:r>
          </w:p>
        </w:tc>
        <w:tc>
          <w:tcPr>
            <w:tcW w:w="366" w:type="pct"/>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554E0A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项</w:t>
            </w:r>
          </w:p>
        </w:tc>
        <w:tc>
          <w:tcPr>
            <w:tcW w:w="96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DEC06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宋体" w:hAnsi="宋体" w:eastAsia="宋体" w:cs="宋体"/>
                <w:i w:val="0"/>
                <w:iCs w:val="0"/>
                <w:caps w:val="0"/>
                <w:color w:val="494949"/>
                <w:spacing w:val="0"/>
                <w:sz w:val="20"/>
                <w:szCs w:val="20"/>
                <w:bdr w:val="none" w:color="auto" w:sz="0" w:space="0"/>
              </w:rPr>
              <w:t>栏次</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0E033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7</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0845A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8</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A7C29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9</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94732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10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F0A4F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11</w:t>
            </w:r>
          </w:p>
        </w:tc>
      </w:tr>
      <w:tr w14:paraId="5746D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366" w:type="pct"/>
            <w:vMerge w:val="continue"/>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8971A1A">
            <w:pPr>
              <w:rPr>
                <w:rFonts w:hint="eastAsia" w:ascii="微软雅黑" w:hAnsi="微软雅黑" w:eastAsia="微软雅黑" w:cs="微软雅黑"/>
                <w:i w:val="0"/>
                <w:iCs w:val="0"/>
                <w:caps w:val="0"/>
                <w:color w:val="494949"/>
                <w:spacing w:val="0"/>
                <w:sz w:val="22"/>
                <w:szCs w:val="22"/>
              </w:rPr>
            </w:pPr>
          </w:p>
        </w:tc>
        <w:tc>
          <w:tcPr>
            <w:tcW w:w="366"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204F2AAB">
            <w:pPr>
              <w:rPr>
                <w:rFonts w:hint="eastAsia" w:ascii="微软雅黑" w:hAnsi="微软雅黑" w:eastAsia="微软雅黑" w:cs="微软雅黑"/>
                <w:i w:val="0"/>
                <w:iCs w:val="0"/>
                <w:caps w:val="0"/>
                <w:color w:val="494949"/>
                <w:spacing w:val="0"/>
                <w:sz w:val="22"/>
                <w:szCs w:val="22"/>
              </w:rPr>
            </w:pPr>
          </w:p>
        </w:tc>
        <w:tc>
          <w:tcPr>
            <w:tcW w:w="366"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E36C15F">
            <w:pPr>
              <w:rPr>
                <w:rFonts w:hint="eastAsia" w:ascii="微软雅黑" w:hAnsi="微软雅黑" w:eastAsia="微软雅黑" w:cs="微软雅黑"/>
                <w:i w:val="0"/>
                <w:iCs w:val="0"/>
                <w:caps w:val="0"/>
                <w:color w:val="494949"/>
                <w:spacing w:val="0"/>
                <w:sz w:val="22"/>
                <w:szCs w:val="22"/>
              </w:rPr>
            </w:pPr>
          </w:p>
        </w:tc>
        <w:tc>
          <w:tcPr>
            <w:tcW w:w="96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78445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0"/>
                <w:szCs w:val="20"/>
                <w:bdr w:val="none" w:color="auto" w:sz="0" w:space="0"/>
              </w:rPr>
              <w:t>合计</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60237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11136.02</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9B2E3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6006.68</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09CEB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5237.75</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68928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768.92</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C92E0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5129.34</w:t>
            </w:r>
          </w:p>
        </w:tc>
      </w:tr>
      <w:tr w14:paraId="18675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7A8E73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03C6B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一般公共服务支出</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C2C73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B8657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6006.68</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5B823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5237.75</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C7C16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768.92</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BF0B9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5AADC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48F7BD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20106</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05E84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财政事务</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F325C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BF74A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48576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8D5F2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E2208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6F8FF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0C7D79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2010699</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17819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其他财政事务支出</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0827B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DD893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85ABE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3AE07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C2E53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236E3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4BEA0F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20113</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B0894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商贸事务</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46B35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E97F0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4F31F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49BE6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4EB93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186F7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3D3F24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2011350</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73577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事业运行</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6F7ED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F5E48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E3F0B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BADE4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EDC2B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761A9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6D9E47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68F52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教育支出</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5CD68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9242.06</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DFDA7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D386D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196.80</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DC658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EB5DE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5116.68</w:t>
            </w:r>
          </w:p>
        </w:tc>
      </w:tr>
      <w:tr w14:paraId="6F650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1DECDF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20503</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F760D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职业教育</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B9E21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9242.06</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9CF04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4125.38</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E6D0C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3356.45</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FA19F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768.92</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152E7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5116.68</w:t>
            </w:r>
          </w:p>
        </w:tc>
      </w:tr>
      <w:tr w14:paraId="36849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1A0742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2050302</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7DCD7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中等职业教育</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9B3EA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63.60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FE315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4125.38</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37F3E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3356.45</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A2B4F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768.92</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6045B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63.60</w:t>
            </w:r>
          </w:p>
        </w:tc>
      </w:tr>
      <w:tr w14:paraId="63461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070EA0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2050305</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851F6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高等职业教育</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F3ADE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9178.46</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4D6BE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66B6B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1FC8C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7A839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5053.08</w:t>
            </w:r>
          </w:p>
        </w:tc>
      </w:tr>
      <w:tr w14:paraId="29B28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42C2CE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20508</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FBE8F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进修及培训</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B4089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14B12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4125.38</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C7DE9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3356.45</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70AE7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768.92</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53D4D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5C41B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756EE6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2050803</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00E5D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培训支出</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AD28E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0EA00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3BF52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A477E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83672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5210F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100"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3A4742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w:t>
            </w:r>
          </w:p>
        </w:tc>
        <w:tc>
          <w:tcPr>
            <w:tcW w:w="9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9F6D6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科学技术支出</w:t>
            </w:r>
          </w:p>
        </w:tc>
        <w:tc>
          <w:tcPr>
            <w:tcW w:w="62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A9782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1DD6A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2743B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44"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3DA7D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587"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3F612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r>
    </w:tbl>
    <w:p w14:paraId="5D426C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righ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br w:type="textWrapping"/>
      </w:r>
      <w:r>
        <w:rPr>
          <w:rFonts w:hint="default" w:ascii="仿宋_GB2312" w:hAnsi="微软雅黑" w:eastAsia="仿宋_GB2312" w:cs="仿宋_GB2312"/>
          <w:i w:val="0"/>
          <w:iCs w:val="0"/>
          <w:caps w:val="0"/>
          <w:color w:val="494949"/>
          <w:spacing w:val="0"/>
          <w:sz w:val="21"/>
          <w:szCs w:val="21"/>
          <w:bdr w:val="none" w:color="auto" w:sz="0" w:space="0"/>
          <w:shd w:val="clear" w:fill="FFFFFF"/>
        </w:rPr>
        <w:t>续05表</w:t>
      </w: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002"/>
        <w:gridCol w:w="2835"/>
        <w:gridCol w:w="1027"/>
        <w:gridCol w:w="1027"/>
        <w:gridCol w:w="1027"/>
        <w:gridCol w:w="802"/>
        <w:gridCol w:w="802"/>
      </w:tblGrid>
      <w:tr w14:paraId="0F279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87" w:type="pct"/>
            <w:tcBorders>
              <w:top w:val="single" w:color="000000" w:sz="8" w:space="0"/>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35D214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20606</w:t>
            </w:r>
          </w:p>
        </w:tc>
        <w:tc>
          <w:tcPr>
            <w:tcW w:w="1663" w:type="pct"/>
            <w:tcBorders>
              <w:top w:val="single" w:color="000000" w:sz="8" w:space="0"/>
              <w:left w:val="nil"/>
              <w:bottom w:val="single" w:color="000000" w:sz="8" w:space="0"/>
              <w:right w:val="single" w:color="000000" w:sz="8" w:space="0"/>
            </w:tcBorders>
            <w:shd w:val="clear" w:color="auto" w:fill="FFFFFF"/>
            <w:noWrap/>
            <w:tcMar>
              <w:left w:w="108" w:type="dxa"/>
              <w:right w:w="108" w:type="dxa"/>
            </w:tcMar>
            <w:vAlign w:val="center"/>
          </w:tcPr>
          <w:p w14:paraId="1B5224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社会科学</w:t>
            </w:r>
          </w:p>
        </w:tc>
        <w:tc>
          <w:tcPr>
            <w:tcW w:w="602" w:type="pct"/>
            <w:tcBorders>
              <w:top w:val="single" w:color="000000" w:sz="8" w:space="0"/>
              <w:left w:val="nil"/>
              <w:bottom w:val="single" w:color="000000" w:sz="8" w:space="0"/>
              <w:right w:val="single" w:color="000000" w:sz="8" w:space="0"/>
            </w:tcBorders>
            <w:shd w:val="clear" w:color="auto" w:fill="FFFFFF"/>
            <w:noWrap/>
            <w:tcMar>
              <w:left w:w="108" w:type="dxa"/>
              <w:right w:w="108" w:type="dxa"/>
            </w:tcMar>
            <w:vAlign w:val="center"/>
          </w:tcPr>
          <w:p w14:paraId="202500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c>
          <w:tcPr>
            <w:tcW w:w="602" w:type="pct"/>
            <w:tcBorders>
              <w:top w:val="single" w:color="000000" w:sz="8" w:space="0"/>
              <w:left w:val="nil"/>
              <w:bottom w:val="single" w:color="000000" w:sz="8" w:space="0"/>
              <w:right w:val="single" w:color="000000" w:sz="8" w:space="0"/>
            </w:tcBorders>
            <w:shd w:val="clear" w:color="auto" w:fill="FFFFFF"/>
            <w:noWrap/>
            <w:tcMar>
              <w:left w:w="108" w:type="dxa"/>
              <w:right w:w="108" w:type="dxa"/>
            </w:tcMar>
            <w:vAlign w:val="center"/>
          </w:tcPr>
          <w:p w14:paraId="0E54AC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single" w:color="000000" w:sz="8" w:space="0"/>
              <w:left w:val="nil"/>
              <w:bottom w:val="single" w:color="000000" w:sz="8" w:space="0"/>
              <w:right w:val="single" w:color="000000" w:sz="8" w:space="0"/>
            </w:tcBorders>
            <w:shd w:val="clear" w:color="auto" w:fill="FFFFFF"/>
            <w:noWrap/>
            <w:tcMar>
              <w:left w:w="108" w:type="dxa"/>
              <w:right w:w="108" w:type="dxa"/>
            </w:tcMar>
            <w:vAlign w:val="center"/>
          </w:tcPr>
          <w:p w14:paraId="356D7C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single" w:color="000000" w:sz="8" w:space="0"/>
              <w:left w:val="nil"/>
              <w:bottom w:val="single" w:color="000000" w:sz="8" w:space="0"/>
              <w:right w:val="single" w:color="000000" w:sz="8" w:space="0"/>
            </w:tcBorders>
            <w:shd w:val="clear" w:color="auto" w:fill="FFFFFF"/>
            <w:noWrap/>
            <w:tcMar>
              <w:left w:w="108" w:type="dxa"/>
              <w:right w:w="108" w:type="dxa"/>
            </w:tcMar>
            <w:vAlign w:val="center"/>
          </w:tcPr>
          <w:p w14:paraId="5940FA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single" w:color="000000" w:sz="8" w:space="0"/>
              <w:left w:val="nil"/>
              <w:bottom w:val="single" w:color="000000" w:sz="8" w:space="0"/>
              <w:right w:val="single" w:color="000000" w:sz="8" w:space="0"/>
            </w:tcBorders>
            <w:shd w:val="clear" w:color="auto" w:fill="FFFFFF"/>
            <w:noWrap/>
            <w:tcMar>
              <w:left w:w="108" w:type="dxa"/>
              <w:right w:w="108" w:type="dxa"/>
            </w:tcMar>
            <w:vAlign w:val="center"/>
          </w:tcPr>
          <w:p w14:paraId="1167EA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r>
      <w:tr w14:paraId="07FC9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66D54F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2060603</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4473B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社科基金支出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2B2FC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381FD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88BD7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BCF6D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E03B2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7EB9C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4FC1AE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2060699</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44DB9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其他社会科学支出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A6419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7BBCC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04765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66D14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3F077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4.00</w:t>
            </w:r>
          </w:p>
        </w:tc>
      </w:tr>
      <w:tr w14:paraId="21F99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3299DF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20699</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A1987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其他科学技术支出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FD432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F0F23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BA90D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35F5E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7B852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540E6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796B13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2069999</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D032A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其他科学技术支出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F823B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0EC53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06406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FDBF8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F1262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FEA1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5FF5B1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A5AAF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社会保障和就业支出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18599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1208.65</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5E185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0FB2F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ADCE9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5C740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8.65</w:t>
            </w:r>
          </w:p>
        </w:tc>
      </w:tr>
      <w:tr w14:paraId="65887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6F8345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20805</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B1FE3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行政事业单位养老支出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2A986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D2980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E08DA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45CE5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65CF3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023D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100B3A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2080502</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7445C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事业单位离退休</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C75D5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525BA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E9090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B4220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247F3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4D83A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385C61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2080505</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59C73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机关事业单位基本养老保险缴费支出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185C9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B4BCD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45F14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D0304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07D4B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0ED9A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3856DD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20807</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C0CC3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就业补助</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C1032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8.65</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53ECC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107A7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7694D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12F5F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8.65</w:t>
            </w:r>
          </w:p>
        </w:tc>
      </w:tr>
      <w:tr w14:paraId="7F399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2F5225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2080701</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81989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就业创业服务补贴</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54A9C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B92D5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F59E6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5F32C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249E1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11FFE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14A0A9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2080799</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78F92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其他就业补助支出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01B2B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8.65</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D1859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33E45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C5526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725ED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8.65</w:t>
            </w:r>
          </w:p>
        </w:tc>
      </w:tr>
      <w:tr w14:paraId="28A98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022620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20899</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28961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其他社会保障和就业支出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DBDE1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C6240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8CEF2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60919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7E6A6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6C63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59666E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2089999</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E0399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其他社会保障和就业支出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CD208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034BC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209E2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C593F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BE9AD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5B8E9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4EACF5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C2E4A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卫生健康支出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254E4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5865D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ECDB0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8D114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08C11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61AE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2ACFC0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21011</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3537E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行政事业单位医疗</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AAF35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D768F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FFC07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2E006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C5532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1A8E5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6F9985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2101102</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549C75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事业单位医疗</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3A7BE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69F25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AFD1E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E0194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C2B84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19D61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0FEDB2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21099</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08BD2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其他卫生健康支出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64BA1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82B98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E8CC4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9DE1E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41018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1E01C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7F69E2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2109999</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9B130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其他卫生健康支出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FBA75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64F84C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EAC4C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5CE7D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20C8E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4A3A9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78EBF0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221</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BB2F3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住房保障支出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74269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430.50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B8034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D3FFB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0B2AD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102BA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0BE1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7524C5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22102</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7B2FF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住房改革支出</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92171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430.50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A3758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430.50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77F63B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430.50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175CD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31BF0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E344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587" w:type="pct"/>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2B23A6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pPr>
            <w:r>
              <w:rPr>
                <w:rFonts w:hint="default" w:ascii="仿宋_GB2312" w:hAnsi="微软雅黑" w:eastAsia="仿宋_GB2312" w:cs="仿宋_GB2312"/>
                <w:i w:val="0"/>
                <w:iCs w:val="0"/>
                <w:caps w:val="0"/>
                <w:color w:val="494949"/>
                <w:spacing w:val="0"/>
                <w:sz w:val="21"/>
                <w:szCs w:val="21"/>
                <w:bdr w:val="none" w:color="auto" w:sz="0" w:space="0"/>
              </w:rPr>
              <w:t>2210201</w:t>
            </w:r>
          </w:p>
        </w:tc>
        <w:tc>
          <w:tcPr>
            <w:tcW w:w="166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A5A1D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仿宋_GB2312" w:hAnsi="微软雅黑" w:eastAsia="仿宋_GB2312" w:cs="仿宋_GB2312"/>
                <w:i w:val="0"/>
                <w:iCs w:val="0"/>
                <w:caps w:val="0"/>
                <w:color w:val="494949"/>
                <w:spacing w:val="0"/>
                <w:sz w:val="21"/>
                <w:szCs w:val="21"/>
                <w:bdr w:val="none" w:color="auto" w:sz="0" w:space="0"/>
              </w:rPr>
              <w:t> 住房公积金</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37889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430.50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A2E07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430.50</w:t>
            </w:r>
          </w:p>
        </w:tc>
        <w:tc>
          <w:tcPr>
            <w:tcW w:w="602"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2E09D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430.50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C08A2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470"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47BE6D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bl>
    <w:p w14:paraId="01ED6E6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注：本表反映部门本年度一般公共预算财政拨款支出情况。</w:t>
      </w:r>
    </w:p>
    <w:p w14:paraId="7496A0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eastAsia" w:ascii="宋体" w:hAnsi="宋体" w:eastAsia="宋体" w:cs="宋体"/>
          <w:b/>
          <w:bCs/>
          <w:i w:val="0"/>
          <w:iCs w:val="0"/>
          <w:caps w:val="0"/>
          <w:color w:val="494949"/>
          <w:spacing w:val="0"/>
          <w:sz w:val="36"/>
          <w:szCs w:val="36"/>
        </w:rPr>
      </w:pPr>
      <w:bookmarkStart w:id="19" w:name="_Toc21577"/>
      <w:bookmarkEnd w:id="19"/>
      <w:r>
        <w:rPr>
          <w:rStyle w:val="7"/>
          <w:rFonts w:hint="eastAsia" w:ascii="黑体" w:hAnsi="宋体" w:eastAsia="黑体" w:cs="黑体"/>
          <w:b/>
          <w:bCs/>
          <w:i w:val="0"/>
          <w:iCs w:val="0"/>
          <w:caps w:val="0"/>
          <w:color w:val="494949"/>
          <w:spacing w:val="0"/>
          <w:sz w:val="32"/>
          <w:szCs w:val="32"/>
          <w:bdr w:val="none" w:color="auto" w:sz="0" w:space="0"/>
          <w:shd w:val="clear" w:fill="FFFFFF"/>
        </w:rPr>
        <w:t>一般公共预算财政拨款基本支出决算明细表</w:t>
      </w:r>
    </w:p>
    <w:p w14:paraId="246C33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840" w:firstLine="12180"/>
        <w:jc w:val="both"/>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公开</w:t>
      </w:r>
      <w:r>
        <w:rPr>
          <w:rFonts w:hint="default" w:ascii="Times New Roman" w:hAnsi="Times New Roman" w:eastAsia="微软雅黑" w:cs="Times New Roman"/>
          <w:i w:val="0"/>
          <w:iCs w:val="0"/>
          <w:caps w:val="0"/>
          <w:color w:val="494949"/>
          <w:spacing w:val="0"/>
          <w:sz w:val="21"/>
          <w:szCs w:val="21"/>
          <w:bdr w:val="none" w:color="auto" w:sz="0" w:space="0"/>
          <w:shd w:val="clear" w:fill="FFFFFF"/>
        </w:rPr>
        <w:t>0</w:t>
      </w:r>
      <w:r>
        <w:rPr>
          <w:rFonts w:hint="default" w:ascii="仿宋_GB2312" w:hAnsi="微软雅黑" w:eastAsia="仿宋_GB2312" w:cs="仿宋_GB2312"/>
          <w:i w:val="0"/>
          <w:iCs w:val="0"/>
          <w:caps w:val="0"/>
          <w:color w:val="494949"/>
          <w:spacing w:val="0"/>
          <w:sz w:val="21"/>
          <w:szCs w:val="21"/>
          <w:bdr w:val="none" w:color="auto" w:sz="0" w:space="0"/>
          <w:shd w:val="clear" w:fill="FFFFFF"/>
        </w:rPr>
        <w:t>6表  </w:t>
      </w:r>
    </w:p>
    <w:p w14:paraId="1B830DD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center"/>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编制单位：湖南现代物流职业技术学院                         金额单位：万元</w:t>
      </w: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446"/>
        <w:gridCol w:w="1576"/>
        <w:gridCol w:w="1406"/>
        <w:gridCol w:w="1446"/>
        <w:gridCol w:w="1352"/>
        <w:gridCol w:w="1296"/>
      </w:tblGrid>
      <w:tr w14:paraId="4E47E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14:paraId="723D1C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000000"/>
                <w:spacing w:val="0"/>
                <w:sz w:val="20"/>
                <w:szCs w:val="20"/>
                <w:bdr w:val="none" w:color="auto" w:sz="0" w:space="0"/>
              </w:rPr>
              <w:t>经济分类科目编码</w:t>
            </w:r>
          </w:p>
        </w:tc>
        <w:tc>
          <w:tcPr>
            <w:tcW w:w="924"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428473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000000"/>
                <w:spacing w:val="0"/>
                <w:sz w:val="20"/>
                <w:szCs w:val="20"/>
                <w:bdr w:val="none" w:color="auto" w:sz="0" w:space="0"/>
              </w:rPr>
              <w:t>科目名称</w:t>
            </w:r>
          </w:p>
        </w:tc>
        <w:tc>
          <w:tcPr>
            <w:tcW w:w="824"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671A97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000000"/>
                <w:spacing w:val="0"/>
                <w:sz w:val="20"/>
                <w:szCs w:val="20"/>
                <w:bdr w:val="none" w:color="auto" w:sz="0" w:space="0"/>
              </w:rPr>
              <w:t>决算数</w:t>
            </w:r>
          </w:p>
        </w:tc>
        <w:tc>
          <w:tcPr>
            <w:tcW w:w="848"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5AE9A3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000000"/>
                <w:spacing w:val="0"/>
                <w:sz w:val="20"/>
                <w:szCs w:val="20"/>
                <w:bdr w:val="none" w:color="auto" w:sz="0" w:space="0"/>
              </w:rPr>
              <w:t>经济分类科目编码</w:t>
            </w:r>
          </w:p>
        </w:tc>
        <w:tc>
          <w:tcPr>
            <w:tcW w:w="793"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7A4AB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000000"/>
                <w:spacing w:val="0"/>
                <w:sz w:val="20"/>
                <w:szCs w:val="20"/>
                <w:bdr w:val="none" w:color="auto" w:sz="0" w:space="0"/>
              </w:rPr>
              <w:t>科目名称</w:t>
            </w:r>
          </w:p>
        </w:tc>
        <w:tc>
          <w:tcPr>
            <w:tcW w:w="760"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3B4EBA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000000"/>
                <w:spacing w:val="0"/>
                <w:sz w:val="20"/>
                <w:szCs w:val="20"/>
                <w:bdr w:val="none" w:color="auto" w:sz="0" w:space="0"/>
              </w:rPr>
              <w:t>决算数</w:t>
            </w:r>
          </w:p>
        </w:tc>
      </w:tr>
      <w:tr w14:paraId="5E275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6176D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FFF45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ascii="仿宋" w:hAnsi="仿宋" w:eastAsia="仿宋" w:cs="仿宋"/>
                <w:i w:val="0"/>
                <w:iCs w:val="0"/>
                <w:caps w:val="0"/>
                <w:color w:val="000000"/>
                <w:spacing w:val="0"/>
                <w:sz w:val="21"/>
                <w:szCs w:val="21"/>
                <w:bdr w:val="none" w:color="auto" w:sz="0" w:space="0"/>
              </w:rPr>
              <w:t>工资福利支出</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5F24E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5049.23</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B1FF9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133E1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商品和服务支出</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50E82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768.92</w:t>
            </w:r>
          </w:p>
        </w:tc>
      </w:tr>
      <w:tr w14:paraId="2887D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5AC95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30101</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DDBE5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基本工资</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808B3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1041.04</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D696A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30201</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3EDE7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办公费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51E49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17.73</w:t>
            </w:r>
          </w:p>
        </w:tc>
      </w:tr>
      <w:tr w14:paraId="61E5A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4FAAB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30102</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82933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津贴补贴</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7BAFA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411.62</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83603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30202</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9623E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印刷费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5B5B7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22.71</w:t>
            </w:r>
          </w:p>
        </w:tc>
      </w:tr>
      <w:tr w14:paraId="39800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3451C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30103</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BF535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奖金</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F5A45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20411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30203</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35873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咨询费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15CA3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62FBC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A8892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30106</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A5FF8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伙食补助费</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CDE84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01668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30204</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3C58A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手续费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870D6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26A62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0090A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30107</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8BAB3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绩效工资</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A40CF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2144.92</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39270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30205</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38CDD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水费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7D34B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63.18</w:t>
            </w:r>
          </w:p>
        </w:tc>
      </w:tr>
      <w:tr w14:paraId="2FC1B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4A825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30108</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27FC3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机关事业单位基本养老保险费</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2D8BE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316.99</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64CAD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30206</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C02C9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电费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0C317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160.00</w:t>
            </w:r>
          </w:p>
        </w:tc>
      </w:tr>
      <w:tr w14:paraId="662B3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16E75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30109</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07970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职业年金缴费</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4F796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CB982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30207</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D4F53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邮电费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8B192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2.25</w:t>
            </w:r>
          </w:p>
        </w:tc>
      </w:tr>
      <w:tr w14:paraId="5E526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C25CE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30110</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5A2BE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职工基本医疗保险缴费</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4C863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250.99</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A54A5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30208</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BB995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取暖费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0C96C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04AFB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99E04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30111</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46C99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公务员医疗补助缴费</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BD3B4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B8BA9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30209</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9D353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物业管理费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C97D1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120.94</w:t>
            </w:r>
          </w:p>
        </w:tc>
      </w:tr>
      <w:tr w14:paraId="6CA18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D2D32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30112</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3723A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其他社会保障缴费</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847F6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44.86</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4F371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30211</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86FD0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差旅费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80873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15.68</w:t>
            </w:r>
          </w:p>
        </w:tc>
      </w:tr>
      <w:tr w14:paraId="1F32C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FFF91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30113</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F7237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住房公积金</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BD79F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552.75</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EF92A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30212</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21507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因公出国（境）费用</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482A2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2EEAA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7A5AA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30114</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4BB92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医疗费</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18C42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54.00</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7A42A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30213</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79505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维修（护）费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9310C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64.38</w:t>
            </w:r>
          </w:p>
        </w:tc>
      </w:tr>
      <w:tr w14:paraId="32D2F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210C4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30199</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5CEA7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其他工资福利支出</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7360C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232.06</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19B3D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30214</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5A457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租赁费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3D76D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4D94C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8BC2C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80348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对个人和家庭的补助</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A7B9E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188.52</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68F69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30215</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5E491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会议费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CC557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24780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0A21E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30301</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A6C2B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离休费</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0CA63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7.77</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48516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30216</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44046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培训费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716E8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6BC5E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BEAC0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30302</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40736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退休费</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68394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CE800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30217</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88190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公务接待费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B552B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0.74</w:t>
            </w:r>
          </w:p>
        </w:tc>
      </w:tr>
      <w:tr w14:paraId="62B00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72349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30303</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25678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退职（役）费</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34A57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2EDE1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30218</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1DBFF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专用材料费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58980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3A18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BCE53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30304</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C8D5C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抚恤金</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A59FF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F8DD0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30224</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E079F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被装购置费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28A19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25C8F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919D8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30305</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9F470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生活补助</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E56B5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12.65</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96148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30225</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A2DE2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专用燃料费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D0220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466A3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848"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77843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30306</w:t>
            </w:r>
          </w:p>
        </w:tc>
        <w:tc>
          <w:tcPr>
            <w:tcW w:w="9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AC1C8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救济费</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E0C2C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84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2BC4E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30226</w:t>
            </w:r>
          </w:p>
        </w:tc>
        <w:tc>
          <w:tcPr>
            <w:tcW w:w="793"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6A1C7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劳务费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9C759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12.41</w:t>
            </w:r>
          </w:p>
        </w:tc>
      </w:tr>
    </w:tbl>
    <w:p w14:paraId="760F5F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right"/>
        <w:rPr>
          <w:rFonts w:hint="eastAsia" w:ascii="微软雅黑" w:hAnsi="微软雅黑" w:eastAsia="微软雅黑" w:cs="微软雅黑"/>
          <w:i w:val="0"/>
          <w:iCs w:val="0"/>
          <w:caps w:val="0"/>
          <w:color w:val="494949"/>
          <w:spacing w:val="0"/>
          <w:sz w:val="22"/>
          <w:szCs w:val="22"/>
        </w:rPr>
      </w:pPr>
      <w:r>
        <w:rPr>
          <w:rFonts w:hint="default" w:ascii="Times New Roman" w:hAnsi="Times New Roman" w:eastAsia="微软雅黑" w:cs="Times New Roman"/>
          <w:i w:val="0"/>
          <w:iCs w:val="0"/>
          <w:caps w:val="0"/>
          <w:color w:val="494949"/>
          <w:spacing w:val="0"/>
          <w:sz w:val="21"/>
          <w:szCs w:val="21"/>
          <w:bdr w:val="none" w:color="auto" w:sz="0" w:space="0"/>
          <w:shd w:val="clear" w:fill="FFFFFF"/>
        </w:rPr>
        <w:br w:type="textWrapping"/>
      </w:r>
      <w:r>
        <w:rPr>
          <w:rFonts w:hint="default" w:ascii="仿宋_GB2312" w:hAnsi="微软雅黑" w:eastAsia="仿宋_GB2312" w:cs="仿宋_GB2312"/>
          <w:i w:val="0"/>
          <w:iCs w:val="0"/>
          <w:caps w:val="0"/>
          <w:color w:val="494949"/>
          <w:spacing w:val="0"/>
          <w:sz w:val="21"/>
          <w:szCs w:val="21"/>
          <w:bdr w:val="none" w:color="auto" w:sz="0" w:space="0"/>
          <w:shd w:val="clear" w:fill="FFFFFF"/>
        </w:rPr>
        <w:t>续06表</w:t>
      </w: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161"/>
        <w:gridCol w:w="1914"/>
        <w:gridCol w:w="1406"/>
        <w:gridCol w:w="1161"/>
        <w:gridCol w:w="1583"/>
        <w:gridCol w:w="1297"/>
      </w:tblGrid>
      <w:tr w14:paraId="30FB9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681" w:type="pct"/>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14:paraId="03F7E6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30307</w:t>
            </w:r>
          </w:p>
        </w:tc>
        <w:tc>
          <w:tcPr>
            <w:tcW w:w="1122"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134D63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医疗费补助</w:t>
            </w:r>
          </w:p>
        </w:tc>
        <w:tc>
          <w:tcPr>
            <w:tcW w:w="824"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6545A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81"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327106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30227</w:t>
            </w:r>
          </w:p>
        </w:tc>
        <w:tc>
          <w:tcPr>
            <w:tcW w:w="928"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4C2B56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委托业务费</w:t>
            </w:r>
          </w:p>
        </w:tc>
        <w:tc>
          <w:tcPr>
            <w:tcW w:w="760"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6735AE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451DE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6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FA35C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30308</w:t>
            </w:r>
          </w:p>
        </w:tc>
        <w:tc>
          <w:tcPr>
            <w:tcW w:w="112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41034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助学金</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FD8F4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146.54</w:t>
            </w:r>
          </w:p>
        </w:tc>
        <w:tc>
          <w:tcPr>
            <w:tcW w:w="6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890C9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30228</w:t>
            </w:r>
          </w:p>
        </w:tc>
        <w:tc>
          <w:tcPr>
            <w:tcW w:w="9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B583A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工会经费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77DE8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100.00</w:t>
            </w:r>
          </w:p>
        </w:tc>
      </w:tr>
      <w:tr w14:paraId="6CBC1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6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3A838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30309</w:t>
            </w:r>
          </w:p>
        </w:tc>
        <w:tc>
          <w:tcPr>
            <w:tcW w:w="112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ABA17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奖励金</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ABDE9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91151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30229</w:t>
            </w:r>
          </w:p>
        </w:tc>
        <w:tc>
          <w:tcPr>
            <w:tcW w:w="9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16869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 福利费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966A9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E16E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6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5CB6B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30310</w:t>
            </w:r>
          </w:p>
        </w:tc>
        <w:tc>
          <w:tcPr>
            <w:tcW w:w="112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281A3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个人农业生产补贴</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70493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145C3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30231</w:t>
            </w:r>
          </w:p>
        </w:tc>
        <w:tc>
          <w:tcPr>
            <w:tcW w:w="9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8CCBE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 公务用车运行维护费</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24D04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4.95</w:t>
            </w:r>
          </w:p>
        </w:tc>
      </w:tr>
      <w:tr w14:paraId="1A5C6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6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13601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30399</w:t>
            </w:r>
          </w:p>
        </w:tc>
        <w:tc>
          <w:tcPr>
            <w:tcW w:w="112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0C223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对其他个人和家庭的补助支出</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4996F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D51CE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30239</w:t>
            </w:r>
          </w:p>
        </w:tc>
        <w:tc>
          <w:tcPr>
            <w:tcW w:w="9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3F150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 其他交通费用</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2D82D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28.61</w:t>
            </w:r>
          </w:p>
        </w:tc>
      </w:tr>
      <w:tr w14:paraId="54C89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6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B4B88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112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E6308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853D3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3B425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30240</w:t>
            </w:r>
          </w:p>
        </w:tc>
        <w:tc>
          <w:tcPr>
            <w:tcW w:w="9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F9007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 税金及附加费用</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A3700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2.76</w:t>
            </w:r>
          </w:p>
        </w:tc>
      </w:tr>
      <w:tr w14:paraId="59ABA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681"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2C13E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112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927C7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2D6E2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68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5BE1F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30299</w:t>
            </w:r>
          </w:p>
        </w:tc>
        <w:tc>
          <w:tcPr>
            <w:tcW w:w="9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6F502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 其他商品和服务支出</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46E26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152.58</w:t>
            </w:r>
          </w:p>
        </w:tc>
      </w:tr>
      <w:tr w14:paraId="1FCF7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804" w:type="pct"/>
            <w:gridSpan w:val="2"/>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82AA4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人员经费合计</w:t>
            </w:r>
          </w:p>
        </w:tc>
        <w:tc>
          <w:tcPr>
            <w:tcW w:w="82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43618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5237.75</w:t>
            </w:r>
          </w:p>
        </w:tc>
        <w:tc>
          <w:tcPr>
            <w:tcW w:w="1609" w:type="pct"/>
            <w:gridSpan w:val="2"/>
            <w:tcBorders>
              <w:top w:val="nil"/>
              <w:left w:val="nil"/>
              <w:bottom w:val="single" w:color="000000" w:sz="8" w:space="0"/>
              <w:right w:val="single" w:color="000000" w:sz="8" w:space="0"/>
            </w:tcBorders>
            <w:shd w:val="clear" w:color="auto" w:fill="FFFFFF"/>
            <w:tcMar>
              <w:left w:w="108" w:type="dxa"/>
              <w:right w:w="108" w:type="dxa"/>
            </w:tcMar>
            <w:vAlign w:val="center"/>
          </w:tcPr>
          <w:p w14:paraId="4E7E0C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公用经费合计</w:t>
            </w:r>
          </w:p>
        </w:tc>
        <w:tc>
          <w:tcPr>
            <w:tcW w:w="76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7BE90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768.92</w:t>
            </w:r>
          </w:p>
        </w:tc>
      </w:tr>
    </w:tbl>
    <w:p w14:paraId="06F0D7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注：本表反映部门年度一般公共预算财政拨款基本支出明细情况。</w:t>
      </w:r>
    </w:p>
    <w:p w14:paraId="0859A4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bookmarkStart w:id="20" w:name="_Toc31101"/>
      <w:bookmarkEnd w:id="20"/>
    </w:p>
    <w:p w14:paraId="35A72DF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3667BD3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p>
    <w:p w14:paraId="1924222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eastAsia" w:ascii="宋体" w:hAnsi="宋体" w:eastAsia="宋体" w:cs="宋体"/>
          <w:b/>
          <w:bCs/>
          <w:i w:val="0"/>
          <w:iCs w:val="0"/>
          <w:caps w:val="0"/>
          <w:color w:val="494949"/>
          <w:spacing w:val="0"/>
          <w:sz w:val="36"/>
          <w:szCs w:val="36"/>
        </w:rPr>
      </w:pPr>
      <w:r>
        <w:rPr>
          <w:rStyle w:val="7"/>
          <w:rFonts w:hint="eastAsia" w:ascii="黑体" w:hAnsi="宋体" w:eastAsia="黑体" w:cs="黑体"/>
          <w:b/>
          <w:bCs/>
          <w:i w:val="0"/>
          <w:iCs w:val="0"/>
          <w:caps w:val="0"/>
          <w:color w:val="494949"/>
          <w:spacing w:val="0"/>
          <w:sz w:val="32"/>
          <w:szCs w:val="32"/>
          <w:bdr w:val="none" w:color="auto" w:sz="0" w:space="0"/>
          <w:shd w:val="clear" w:fill="FFFFFF"/>
        </w:rPr>
        <w:t>政府性基金预算财政拨款收入支出决算表</w:t>
      </w:r>
    </w:p>
    <w:p w14:paraId="004197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840" w:firstLine="420"/>
        <w:jc w:val="right"/>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公开</w:t>
      </w:r>
      <w:r>
        <w:rPr>
          <w:rFonts w:hint="default" w:ascii="Times New Roman" w:hAnsi="Times New Roman" w:eastAsia="微软雅黑" w:cs="Times New Roman"/>
          <w:i w:val="0"/>
          <w:iCs w:val="0"/>
          <w:caps w:val="0"/>
          <w:color w:val="494949"/>
          <w:spacing w:val="0"/>
          <w:sz w:val="21"/>
          <w:szCs w:val="21"/>
          <w:bdr w:val="none" w:color="auto" w:sz="0" w:space="0"/>
          <w:shd w:val="clear" w:fill="FFFFFF"/>
        </w:rPr>
        <w:t>0</w:t>
      </w:r>
      <w:r>
        <w:rPr>
          <w:rFonts w:hint="default" w:ascii="仿宋_GB2312" w:hAnsi="微软雅黑" w:eastAsia="仿宋_GB2312" w:cs="仿宋_GB2312"/>
          <w:i w:val="0"/>
          <w:iCs w:val="0"/>
          <w:caps w:val="0"/>
          <w:color w:val="494949"/>
          <w:spacing w:val="0"/>
          <w:sz w:val="21"/>
          <w:szCs w:val="21"/>
          <w:bdr w:val="none" w:color="auto" w:sz="0" w:space="0"/>
          <w:shd w:val="clear" w:fill="FFFFFF"/>
        </w:rPr>
        <w:t>7表</w:t>
      </w:r>
    </w:p>
    <w:p w14:paraId="294FA8C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编制单位：湖南现代物流职业技术学院                    金额单位：万元</w:t>
      </w: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19"/>
        <w:gridCol w:w="1008"/>
        <w:gridCol w:w="1166"/>
        <w:gridCol w:w="1006"/>
        <w:gridCol w:w="900"/>
        <w:gridCol w:w="1047"/>
        <w:gridCol w:w="1009"/>
        <w:gridCol w:w="1167"/>
      </w:tblGrid>
      <w:tr w14:paraId="42CBA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306" w:type="pct"/>
            <w:gridSpan w:val="2"/>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14:paraId="07AF7F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Style w:val="7"/>
                <w:rFonts w:hint="default" w:ascii="Times New Roman" w:hAnsi="Times New Roman" w:eastAsia="微软雅黑" w:cs="Times New Roman"/>
                <w:b/>
                <w:bCs/>
                <w:i w:val="0"/>
                <w:iCs w:val="0"/>
                <w:caps w:val="0"/>
                <w:color w:val="494949"/>
                <w:spacing w:val="0"/>
                <w:sz w:val="21"/>
                <w:szCs w:val="21"/>
                <w:bdr w:val="none" w:color="auto" w:sz="0" w:space="0"/>
              </w:rPr>
              <w:t>项 </w:t>
            </w:r>
            <w:r>
              <w:rPr>
                <w:rStyle w:val="7"/>
                <w:rFonts w:hint="default" w:ascii="Times New Roman" w:hAnsi="Times New Roman" w:eastAsia="微软雅黑" w:cs="Times New Roman"/>
                <w:b/>
                <w:bCs/>
                <w:i w:val="0"/>
                <w:iCs w:val="0"/>
                <w:caps w:val="0"/>
                <w:color w:val="000000"/>
                <w:spacing w:val="0"/>
                <w:sz w:val="21"/>
                <w:szCs w:val="21"/>
                <w:bdr w:val="none" w:color="auto" w:sz="0" w:space="0"/>
              </w:rPr>
              <w:t>  </w:t>
            </w:r>
            <w:r>
              <w:rPr>
                <w:rStyle w:val="7"/>
                <w:rFonts w:hint="default" w:ascii="Times New Roman" w:hAnsi="Times New Roman" w:eastAsia="微软雅黑" w:cs="Times New Roman"/>
                <w:b/>
                <w:bCs/>
                <w:i w:val="0"/>
                <w:iCs w:val="0"/>
                <w:caps w:val="0"/>
                <w:color w:val="494949"/>
                <w:spacing w:val="0"/>
                <w:sz w:val="21"/>
                <w:szCs w:val="21"/>
                <w:bdr w:val="none" w:color="auto" w:sz="0" w:space="0"/>
              </w:rPr>
              <w:t>目</w:t>
            </w:r>
          </w:p>
        </w:tc>
        <w:tc>
          <w:tcPr>
            <w:tcW w:w="684" w:type="pct"/>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5D1F86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Style w:val="7"/>
                <w:rFonts w:hint="default" w:ascii="Times New Roman" w:hAnsi="Times New Roman" w:eastAsia="微软雅黑" w:cs="Times New Roman"/>
                <w:b/>
                <w:bCs/>
                <w:i w:val="0"/>
                <w:iCs w:val="0"/>
                <w:caps w:val="0"/>
                <w:color w:val="494949"/>
                <w:spacing w:val="0"/>
                <w:sz w:val="21"/>
                <w:szCs w:val="21"/>
                <w:bdr w:val="none" w:color="auto" w:sz="0" w:space="0"/>
              </w:rPr>
              <w:t>年初结转和结余</w:t>
            </w:r>
          </w:p>
        </w:tc>
        <w:tc>
          <w:tcPr>
            <w:tcW w:w="590" w:type="pct"/>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07961A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Style w:val="7"/>
                <w:rFonts w:hint="default" w:ascii="Times New Roman" w:hAnsi="Times New Roman" w:eastAsia="微软雅黑" w:cs="Times New Roman"/>
                <w:b/>
                <w:bCs/>
                <w:i w:val="0"/>
                <w:iCs w:val="0"/>
                <w:caps w:val="0"/>
                <w:color w:val="494949"/>
                <w:spacing w:val="0"/>
                <w:sz w:val="21"/>
                <w:szCs w:val="21"/>
                <w:bdr w:val="none" w:color="auto" w:sz="0" w:space="0"/>
              </w:rPr>
              <w:t>本年收入</w:t>
            </w:r>
          </w:p>
        </w:tc>
        <w:tc>
          <w:tcPr>
            <w:tcW w:w="1734" w:type="pct"/>
            <w:gridSpan w:val="3"/>
            <w:tcBorders>
              <w:top w:val="single" w:color="000000" w:sz="8" w:space="0"/>
              <w:left w:val="nil"/>
              <w:bottom w:val="nil"/>
              <w:right w:val="single" w:color="000000" w:sz="8" w:space="0"/>
            </w:tcBorders>
            <w:shd w:val="clear" w:color="auto" w:fill="FFFFFF"/>
            <w:tcMar>
              <w:left w:w="108" w:type="dxa"/>
              <w:right w:w="108" w:type="dxa"/>
            </w:tcMar>
            <w:vAlign w:val="center"/>
          </w:tcPr>
          <w:p w14:paraId="67D8D9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Style w:val="7"/>
                <w:rFonts w:hint="default" w:ascii="Times New Roman" w:hAnsi="Times New Roman" w:eastAsia="微软雅黑" w:cs="Times New Roman"/>
                <w:b/>
                <w:bCs/>
                <w:i w:val="0"/>
                <w:iCs w:val="0"/>
                <w:caps w:val="0"/>
                <w:color w:val="494949"/>
                <w:spacing w:val="0"/>
                <w:sz w:val="21"/>
                <w:szCs w:val="21"/>
                <w:bdr w:val="none" w:color="auto" w:sz="0" w:space="0"/>
              </w:rPr>
              <w:t>本年支出</w:t>
            </w:r>
          </w:p>
        </w:tc>
        <w:tc>
          <w:tcPr>
            <w:tcW w:w="684" w:type="pct"/>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60F835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Style w:val="7"/>
                <w:rFonts w:hint="default" w:ascii="Times New Roman" w:hAnsi="Times New Roman" w:eastAsia="微软雅黑" w:cs="Times New Roman"/>
                <w:b/>
                <w:bCs/>
                <w:i w:val="0"/>
                <w:iCs w:val="0"/>
                <w:caps w:val="0"/>
                <w:color w:val="494949"/>
                <w:spacing w:val="0"/>
                <w:sz w:val="21"/>
                <w:szCs w:val="21"/>
                <w:bdr w:val="none" w:color="auto" w:sz="0" w:space="0"/>
              </w:rPr>
              <w:t>年末结转和结余</w:t>
            </w:r>
          </w:p>
        </w:tc>
      </w:tr>
      <w:tr w14:paraId="7858F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715" w:type="pct"/>
            <w:vMerge w:val="restar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00D22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Style w:val="7"/>
                <w:rFonts w:hint="default" w:ascii="Times New Roman" w:hAnsi="Times New Roman" w:eastAsia="微软雅黑" w:cs="Times New Roman"/>
                <w:b/>
                <w:bCs/>
                <w:i w:val="0"/>
                <w:iCs w:val="0"/>
                <w:caps w:val="0"/>
                <w:color w:val="494949"/>
                <w:spacing w:val="0"/>
                <w:sz w:val="21"/>
                <w:szCs w:val="21"/>
                <w:bdr w:val="none" w:color="auto" w:sz="0" w:space="0"/>
              </w:rPr>
              <w:t>功能分类科目编码</w:t>
            </w:r>
          </w:p>
        </w:tc>
        <w:tc>
          <w:tcPr>
            <w:tcW w:w="591" w:type="pct"/>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663075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Style w:val="7"/>
                <w:rFonts w:hint="default" w:ascii="Times New Roman" w:hAnsi="Times New Roman" w:eastAsia="微软雅黑" w:cs="Times New Roman"/>
                <w:b/>
                <w:bCs/>
                <w:i w:val="0"/>
                <w:iCs w:val="0"/>
                <w:caps w:val="0"/>
                <w:color w:val="494949"/>
                <w:spacing w:val="0"/>
                <w:sz w:val="21"/>
                <w:szCs w:val="21"/>
                <w:bdr w:val="none" w:color="auto" w:sz="0" w:space="0"/>
              </w:rPr>
              <w:t>科目名称</w:t>
            </w:r>
          </w:p>
        </w:tc>
        <w:tc>
          <w:tcPr>
            <w:tcW w:w="684"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0B077F1C">
            <w:pPr>
              <w:rPr>
                <w:rFonts w:hint="eastAsia" w:ascii="微软雅黑" w:hAnsi="微软雅黑" w:eastAsia="微软雅黑" w:cs="微软雅黑"/>
                <w:i w:val="0"/>
                <w:iCs w:val="0"/>
                <w:caps w:val="0"/>
                <w:color w:val="494949"/>
                <w:spacing w:val="0"/>
                <w:sz w:val="22"/>
                <w:szCs w:val="22"/>
              </w:rPr>
            </w:pPr>
          </w:p>
        </w:tc>
        <w:tc>
          <w:tcPr>
            <w:tcW w:w="590"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1878D176">
            <w:pPr>
              <w:rPr>
                <w:rFonts w:hint="eastAsia" w:ascii="微软雅黑" w:hAnsi="微软雅黑" w:eastAsia="微软雅黑" w:cs="微软雅黑"/>
                <w:i w:val="0"/>
                <w:iCs w:val="0"/>
                <w:caps w:val="0"/>
                <w:color w:val="494949"/>
                <w:spacing w:val="0"/>
                <w:sz w:val="22"/>
                <w:szCs w:val="22"/>
              </w:rPr>
            </w:pPr>
          </w:p>
        </w:tc>
        <w:tc>
          <w:tcPr>
            <w:tcW w:w="528" w:type="pct"/>
            <w:vMerge w:val="restart"/>
            <w:tcBorders>
              <w:top w:val="nil"/>
              <w:left w:val="nil"/>
              <w:bottom w:val="single" w:color="000000" w:sz="8" w:space="0"/>
              <w:right w:val="single" w:color="000000" w:sz="8" w:space="0"/>
            </w:tcBorders>
            <w:shd w:val="clear" w:color="auto" w:fill="FFFFFF"/>
            <w:tcMar>
              <w:left w:w="108" w:type="dxa"/>
              <w:right w:w="108" w:type="dxa"/>
            </w:tcMar>
            <w:vAlign w:val="center"/>
          </w:tcPr>
          <w:p w14:paraId="4BB613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Style w:val="7"/>
                <w:rFonts w:hint="default" w:ascii="Times New Roman" w:hAnsi="Times New Roman" w:eastAsia="微软雅黑" w:cs="Times New Roman"/>
                <w:b/>
                <w:bCs/>
                <w:i w:val="0"/>
                <w:iCs w:val="0"/>
                <w:caps w:val="0"/>
                <w:color w:val="494949"/>
                <w:spacing w:val="0"/>
                <w:sz w:val="21"/>
                <w:szCs w:val="21"/>
                <w:bdr w:val="none" w:color="auto" w:sz="0" w:space="0"/>
              </w:rPr>
              <w:t>小计</w:t>
            </w:r>
          </w:p>
        </w:tc>
        <w:tc>
          <w:tcPr>
            <w:tcW w:w="614" w:type="pct"/>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CF582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Style w:val="7"/>
                <w:rFonts w:hint="default" w:ascii="Times New Roman" w:hAnsi="Times New Roman" w:eastAsia="微软雅黑" w:cs="Times New Roman"/>
                <w:b/>
                <w:bCs/>
                <w:i w:val="0"/>
                <w:iCs w:val="0"/>
                <w:caps w:val="0"/>
                <w:color w:val="494949"/>
                <w:spacing w:val="0"/>
                <w:sz w:val="21"/>
                <w:szCs w:val="21"/>
                <w:bdr w:val="none" w:color="auto" w:sz="0" w:space="0"/>
              </w:rPr>
              <w:t>基本支出  </w:t>
            </w:r>
          </w:p>
        </w:tc>
        <w:tc>
          <w:tcPr>
            <w:tcW w:w="591" w:type="pct"/>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274AA6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Style w:val="7"/>
                <w:rFonts w:hint="default" w:ascii="Times New Roman" w:hAnsi="Times New Roman" w:eastAsia="微软雅黑" w:cs="Times New Roman"/>
                <w:b/>
                <w:bCs/>
                <w:i w:val="0"/>
                <w:iCs w:val="0"/>
                <w:caps w:val="0"/>
                <w:color w:val="494949"/>
                <w:spacing w:val="0"/>
                <w:sz w:val="21"/>
                <w:szCs w:val="21"/>
                <w:bdr w:val="none" w:color="auto" w:sz="0" w:space="0"/>
              </w:rPr>
              <w:t>项目支出</w:t>
            </w:r>
          </w:p>
        </w:tc>
        <w:tc>
          <w:tcPr>
            <w:tcW w:w="684"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2EEF9174">
            <w:pPr>
              <w:rPr>
                <w:rFonts w:hint="eastAsia" w:ascii="微软雅黑" w:hAnsi="微软雅黑" w:eastAsia="微软雅黑" w:cs="微软雅黑"/>
                <w:i w:val="0"/>
                <w:iCs w:val="0"/>
                <w:caps w:val="0"/>
                <w:color w:val="494949"/>
                <w:spacing w:val="0"/>
                <w:sz w:val="22"/>
                <w:szCs w:val="22"/>
              </w:rPr>
            </w:pPr>
          </w:p>
        </w:tc>
      </w:tr>
      <w:tr w14:paraId="5D24F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jc w:val="center"/>
        </w:trPr>
        <w:tc>
          <w:tcPr>
            <w:tcW w:w="715" w:type="pct"/>
            <w:vMerge w:val="continue"/>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DDBE2E7">
            <w:pPr>
              <w:rPr>
                <w:rFonts w:hint="eastAsia" w:ascii="微软雅黑" w:hAnsi="微软雅黑" w:eastAsia="微软雅黑" w:cs="微软雅黑"/>
                <w:i w:val="0"/>
                <w:iCs w:val="0"/>
                <w:caps w:val="0"/>
                <w:color w:val="494949"/>
                <w:spacing w:val="0"/>
                <w:sz w:val="22"/>
                <w:szCs w:val="22"/>
              </w:rPr>
            </w:pPr>
          </w:p>
        </w:tc>
        <w:tc>
          <w:tcPr>
            <w:tcW w:w="591"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452CBE80">
            <w:pPr>
              <w:rPr>
                <w:rFonts w:hint="eastAsia" w:ascii="微软雅黑" w:hAnsi="微软雅黑" w:eastAsia="微软雅黑" w:cs="微软雅黑"/>
                <w:i w:val="0"/>
                <w:iCs w:val="0"/>
                <w:caps w:val="0"/>
                <w:color w:val="494949"/>
                <w:spacing w:val="0"/>
                <w:sz w:val="22"/>
                <w:szCs w:val="22"/>
              </w:rPr>
            </w:pPr>
          </w:p>
        </w:tc>
        <w:tc>
          <w:tcPr>
            <w:tcW w:w="684"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519C5B28">
            <w:pPr>
              <w:rPr>
                <w:rFonts w:hint="eastAsia" w:ascii="微软雅黑" w:hAnsi="微软雅黑" w:eastAsia="微软雅黑" w:cs="微软雅黑"/>
                <w:i w:val="0"/>
                <w:iCs w:val="0"/>
                <w:caps w:val="0"/>
                <w:color w:val="494949"/>
                <w:spacing w:val="0"/>
                <w:sz w:val="22"/>
                <w:szCs w:val="22"/>
              </w:rPr>
            </w:pPr>
          </w:p>
        </w:tc>
        <w:tc>
          <w:tcPr>
            <w:tcW w:w="590"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6EF014B5">
            <w:pPr>
              <w:rPr>
                <w:rFonts w:hint="eastAsia" w:ascii="微软雅黑" w:hAnsi="微软雅黑" w:eastAsia="微软雅黑" w:cs="微软雅黑"/>
                <w:i w:val="0"/>
                <w:iCs w:val="0"/>
                <w:caps w:val="0"/>
                <w:color w:val="494949"/>
                <w:spacing w:val="0"/>
                <w:sz w:val="22"/>
                <w:szCs w:val="22"/>
              </w:rPr>
            </w:pPr>
          </w:p>
        </w:tc>
        <w:tc>
          <w:tcPr>
            <w:tcW w:w="528"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7C410DBA">
            <w:pPr>
              <w:rPr>
                <w:rFonts w:hint="eastAsia" w:ascii="微软雅黑" w:hAnsi="微软雅黑" w:eastAsia="微软雅黑" w:cs="微软雅黑"/>
                <w:i w:val="0"/>
                <w:iCs w:val="0"/>
                <w:caps w:val="0"/>
                <w:color w:val="494949"/>
                <w:spacing w:val="0"/>
                <w:sz w:val="22"/>
                <w:szCs w:val="22"/>
              </w:rPr>
            </w:pPr>
          </w:p>
        </w:tc>
        <w:tc>
          <w:tcPr>
            <w:tcW w:w="614"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2258E7EC">
            <w:pPr>
              <w:rPr>
                <w:rFonts w:hint="eastAsia" w:ascii="微软雅黑" w:hAnsi="微软雅黑" w:eastAsia="微软雅黑" w:cs="微软雅黑"/>
                <w:i w:val="0"/>
                <w:iCs w:val="0"/>
                <w:caps w:val="0"/>
                <w:color w:val="494949"/>
                <w:spacing w:val="0"/>
                <w:sz w:val="22"/>
                <w:szCs w:val="22"/>
              </w:rPr>
            </w:pPr>
          </w:p>
        </w:tc>
        <w:tc>
          <w:tcPr>
            <w:tcW w:w="591"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28CA7364">
            <w:pPr>
              <w:rPr>
                <w:rFonts w:hint="eastAsia" w:ascii="微软雅黑" w:hAnsi="微软雅黑" w:eastAsia="微软雅黑" w:cs="微软雅黑"/>
                <w:i w:val="0"/>
                <w:iCs w:val="0"/>
                <w:caps w:val="0"/>
                <w:color w:val="494949"/>
                <w:spacing w:val="0"/>
                <w:sz w:val="22"/>
                <w:szCs w:val="22"/>
              </w:rPr>
            </w:pPr>
          </w:p>
        </w:tc>
        <w:tc>
          <w:tcPr>
            <w:tcW w:w="684"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302041A7">
            <w:pPr>
              <w:rPr>
                <w:rFonts w:hint="eastAsia" w:ascii="微软雅黑" w:hAnsi="微软雅黑" w:eastAsia="微软雅黑" w:cs="微软雅黑"/>
                <w:i w:val="0"/>
                <w:iCs w:val="0"/>
                <w:caps w:val="0"/>
                <w:color w:val="494949"/>
                <w:spacing w:val="0"/>
                <w:sz w:val="22"/>
                <w:szCs w:val="22"/>
              </w:rPr>
            </w:pPr>
          </w:p>
        </w:tc>
      </w:tr>
      <w:tr w14:paraId="74CA8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715" w:type="pct"/>
            <w:vMerge w:val="continue"/>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C56BE34">
            <w:pPr>
              <w:rPr>
                <w:rFonts w:hint="eastAsia" w:ascii="微软雅黑" w:hAnsi="微软雅黑" w:eastAsia="微软雅黑" w:cs="微软雅黑"/>
                <w:i w:val="0"/>
                <w:iCs w:val="0"/>
                <w:caps w:val="0"/>
                <w:color w:val="494949"/>
                <w:spacing w:val="0"/>
                <w:sz w:val="22"/>
                <w:szCs w:val="22"/>
              </w:rPr>
            </w:pPr>
          </w:p>
        </w:tc>
        <w:tc>
          <w:tcPr>
            <w:tcW w:w="591"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3C717537">
            <w:pPr>
              <w:rPr>
                <w:rFonts w:hint="eastAsia" w:ascii="微软雅黑" w:hAnsi="微软雅黑" w:eastAsia="微软雅黑" w:cs="微软雅黑"/>
                <w:i w:val="0"/>
                <w:iCs w:val="0"/>
                <w:caps w:val="0"/>
                <w:color w:val="494949"/>
                <w:spacing w:val="0"/>
                <w:sz w:val="22"/>
                <w:szCs w:val="22"/>
              </w:rPr>
            </w:pPr>
          </w:p>
        </w:tc>
        <w:tc>
          <w:tcPr>
            <w:tcW w:w="684"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45CE92A8">
            <w:pPr>
              <w:rPr>
                <w:rFonts w:hint="eastAsia" w:ascii="微软雅黑" w:hAnsi="微软雅黑" w:eastAsia="微软雅黑" w:cs="微软雅黑"/>
                <w:i w:val="0"/>
                <w:iCs w:val="0"/>
                <w:caps w:val="0"/>
                <w:color w:val="494949"/>
                <w:spacing w:val="0"/>
                <w:sz w:val="22"/>
                <w:szCs w:val="22"/>
              </w:rPr>
            </w:pPr>
          </w:p>
        </w:tc>
        <w:tc>
          <w:tcPr>
            <w:tcW w:w="590"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09922FEB">
            <w:pPr>
              <w:rPr>
                <w:rFonts w:hint="eastAsia" w:ascii="微软雅黑" w:hAnsi="微软雅黑" w:eastAsia="微软雅黑" w:cs="微软雅黑"/>
                <w:i w:val="0"/>
                <w:iCs w:val="0"/>
                <w:caps w:val="0"/>
                <w:color w:val="494949"/>
                <w:spacing w:val="0"/>
                <w:sz w:val="22"/>
                <w:szCs w:val="22"/>
              </w:rPr>
            </w:pPr>
          </w:p>
        </w:tc>
        <w:tc>
          <w:tcPr>
            <w:tcW w:w="528" w:type="pct"/>
            <w:vMerge w:val="continue"/>
            <w:tcBorders>
              <w:top w:val="nil"/>
              <w:left w:val="nil"/>
              <w:bottom w:val="single" w:color="000000" w:sz="8" w:space="0"/>
              <w:right w:val="single" w:color="000000" w:sz="8" w:space="0"/>
            </w:tcBorders>
            <w:shd w:val="clear" w:color="auto" w:fill="FFFFFF"/>
            <w:tcMar>
              <w:left w:w="108" w:type="dxa"/>
              <w:right w:w="108" w:type="dxa"/>
            </w:tcMar>
            <w:vAlign w:val="center"/>
          </w:tcPr>
          <w:p w14:paraId="5D9D82E3">
            <w:pPr>
              <w:rPr>
                <w:rFonts w:hint="eastAsia" w:ascii="微软雅黑" w:hAnsi="微软雅黑" w:eastAsia="微软雅黑" w:cs="微软雅黑"/>
                <w:i w:val="0"/>
                <w:iCs w:val="0"/>
                <w:caps w:val="0"/>
                <w:color w:val="494949"/>
                <w:spacing w:val="0"/>
                <w:sz w:val="22"/>
                <w:szCs w:val="22"/>
              </w:rPr>
            </w:pPr>
          </w:p>
        </w:tc>
        <w:tc>
          <w:tcPr>
            <w:tcW w:w="614"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19735E10">
            <w:pPr>
              <w:rPr>
                <w:rFonts w:hint="eastAsia" w:ascii="微软雅黑" w:hAnsi="微软雅黑" w:eastAsia="微软雅黑" w:cs="微软雅黑"/>
                <w:i w:val="0"/>
                <w:iCs w:val="0"/>
                <w:caps w:val="0"/>
                <w:color w:val="494949"/>
                <w:spacing w:val="0"/>
                <w:sz w:val="22"/>
                <w:szCs w:val="22"/>
              </w:rPr>
            </w:pPr>
          </w:p>
        </w:tc>
        <w:tc>
          <w:tcPr>
            <w:tcW w:w="591"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65ADA359">
            <w:pPr>
              <w:rPr>
                <w:rFonts w:hint="eastAsia" w:ascii="微软雅黑" w:hAnsi="微软雅黑" w:eastAsia="微软雅黑" w:cs="微软雅黑"/>
                <w:i w:val="0"/>
                <w:iCs w:val="0"/>
                <w:caps w:val="0"/>
                <w:color w:val="494949"/>
                <w:spacing w:val="0"/>
                <w:sz w:val="22"/>
                <w:szCs w:val="22"/>
              </w:rPr>
            </w:pPr>
          </w:p>
        </w:tc>
        <w:tc>
          <w:tcPr>
            <w:tcW w:w="684"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87BDF50">
            <w:pPr>
              <w:rPr>
                <w:rFonts w:hint="eastAsia" w:ascii="微软雅黑" w:hAnsi="微软雅黑" w:eastAsia="微软雅黑" w:cs="微软雅黑"/>
                <w:i w:val="0"/>
                <w:iCs w:val="0"/>
                <w:caps w:val="0"/>
                <w:color w:val="494949"/>
                <w:spacing w:val="0"/>
                <w:sz w:val="22"/>
                <w:szCs w:val="22"/>
              </w:rPr>
            </w:pPr>
          </w:p>
        </w:tc>
      </w:tr>
      <w:tr w14:paraId="07346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306" w:type="pct"/>
            <w:gridSpan w:val="2"/>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0609E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栏次</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9BD8A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1</w:t>
            </w:r>
          </w:p>
        </w:tc>
        <w:tc>
          <w:tcPr>
            <w:tcW w:w="59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DCB92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2</w:t>
            </w:r>
          </w:p>
        </w:tc>
        <w:tc>
          <w:tcPr>
            <w:tcW w:w="5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551D4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3</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A03DB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4</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827C9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5</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5820A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6</w:t>
            </w:r>
          </w:p>
        </w:tc>
      </w:tr>
      <w:tr w14:paraId="12FAC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1306" w:type="pct"/>
            <w:gridSpan w:val="2"/>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07395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Times New Roman" w:hAnsi="Times New Roman" w:eastAsia="微软雅黑" w:cs="Times New Roman"/>
                <w:i w:val="0"/>
                <w:iCs w:val="0"/>
                <w:caps w:val="0"/>
                <w:color w:val="494949"/>
                <w:spacing w:val="0"/>
                <w:sz w:val="21"/>
                <w:szCs w:val="21"/>
                <w:bdr w:val="none" w:color="auto" w:sz="0" w:space="0"/>
              </w:rPr>
              <w:t>合计</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E8C69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59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A3D3B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5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2A65A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52E5C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CCB3A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B7B2A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r>
      <w:tr w14:paraId="751E9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15"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8A6D4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4E9AC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86E59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A0A45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4A895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BE99C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2357D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451595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r>
      <w:tr w14:paraId="05671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15"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3CD9A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5B3AC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B53AF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BD8CA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4D3A0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4345A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02BC6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2A573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r>
      <w:tr w14:paraId="0C969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715"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F118E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307B3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B6734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CAC3F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94329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3423A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9D7B2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28B46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r>
      <w:tr w14:paraId="7A889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15"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7A936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03DEA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8E20A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5CDDA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63835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21A71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40929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6E1AA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r>
      <w:tr w14:paraId="0BC65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15"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33DB5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45F9E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08938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15727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8CCFD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9BEA3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5BADD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6B7DF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r>
      <w:tr w14:paraId="61BDC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715"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451C0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2A410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9C8D5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0"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97CF7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28"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67F99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1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CD90C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591"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4D9A0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c>
          <w:tcPr>
            <w:tcW w:w="684"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00833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eastAsia" w:ascii="微软雅黑" w:hAnsi="微软雅黑" w:eastAsia="微软雅黑" w:cs="微软雅黑"/>
                <w:i w:val="0"/>
                <w:iCs w:val="0"/>
                <w:caps w:val="0"/>
                <w:color w:val="494949"/>
                <w:spacing w:val="0"/>
                <w:sz w:val="22"/>
                <w:szCs w:val="22"/>
                <w:bdr w:val="none" w:color="auto" w:sz="0" w:space="0"/>
              </w:rPr>
              <w:t>　</w:t>
            </w:r>
          </w:p>
        </w:tc>
      </w:tr>
    </w:tbl>
    <w:p w14:paraId="0ED16F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94949"/>
          <w:spacing w:val="0"/>
          <w:sz w:val="22"/>
          <w:szCs w:val="22"/>
        </w:rPr>
      </w:pPr>
      <w:r>
        <w:rPr>
          <w:rFonts w:hint="default" w:ascii="仿宋_GB2312" w:hAnsi="Times New Roman" w:eastAsia="仿宋_GB2312" w:cs="仿宋_GB2312"/>
          <w:i w:val="0"/>
          <w:iCs w:val="0"/>
          <w:caps w:val="0"/>
          <w:color w:val="494949"/>
          <w:spacing w:val="0"/>
          <w:sz w:val="21"/>
          <w:szCs w:val="21"/>
          <w:bdr w:val="none" w:color="auto" w:sz="0" w:space="0"/>
          <w:shd w:val="clear" w:fill="FFFFFF"/>
        </w:rPr>
        <w:t>注：本表反映部门本年度政府性基金预算财政拨款收入、支出及结转和结余情况</w:t>
      </w:r>
    </w:p>
    <w:p w14:paraId="169CB5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default" w:ascii="仿宋_GB2312" w:hAnsi="Times New Roman" w:eastAsia="仿宋_GB2312" w:cs="仿宋_GB2312"/>
          <w:i w:val="0"/>
          <w:iCs w:val="0"/>
          <w:caps w:val="0"/>
          <w:color w:val="494949"/>
          <w:spacing w:val="0"/>
          <w:sz w:val="21"/>
          <w:szCs w:val="21"/>
          <w:bdr w:val="none" w:color="auto" w:sz="0" w:space="0"/>
          <w:shd w:val="clear" w:fill="FFFFFF"/>
        </w:rPr>
      </w:pPr>
      <w:r>
        <w:rPr>
          <w:rFonts w:hint="default" w:ascii="Times New Roman" w:hAnsi="Times New Roman" w:eastAsia="微软雅黑" w:cs="Times New Roman"/>
          <w:i w:val="0"/>
          <w:iCs w:val="0"/>
          <w:caps w:val="0"/>
          <w:color w:val="494949"/>
          <w:spacing w:val="0"/>
          <w:sz w:val="21"/>
          <w:szCs w:val="21"/>
          <w:bdr w:val="none" w:color="auto" w:sz="0" w:space="0"/>
          <w:shd w:val="clear" w:fill="FFFFFF"/>
        </w:rPr>
        <w:t>(</w:t>
      </w:r>
      <w:r>
        <w:rPr>
          <w:rFonts w:hint="default" w:ascii="仿宋_GB2312" w:hAnsi="微软雅黑" w:eastAsia="仿宋_GB2312" w:cs="仿宋_GB2312"/>
          <w:i w:val="0"/>
          <w:iCs w:val="0"/>
          <w:caps w:val="0"/>
          <w:color w:val="494949"/>
          <w:spacing w:val="0"/>
          <w:sz w:val="21"/>
          <w:szCs w:val="21"/>
          <w:bdr w:val="none" w:color="auto" w:sz="0" w:space="0"/>
          <w:shd w:val="clear" w:fill="FFFFFF"/>
        </w:rPr>
        <w:t>说明：本单位没有政府性基金收入，也没有使用政府性基金安排的支出，故本表无数据</w:t>
      </w:r>
      <w:r>
        <w:rPr>
          <w:rFonts w:hint="default" w:ascii="Times New Roman" w:hAnsi="Times New Roman" w:eastAsia="微软雅黑" w:cs="Times New Roman"/>
          <w:i w:val="0"/>
          <w:iCs w:val="0"/>
          <w:caps w:val="0"/>
          <w:color w:val="494949"/>
          <w:spacing w:val="0"/>
          <w:sz w:val="21"/>
          <w:szCs w:val="21"/>
          <w:bdr w:val="none" w:color="auto" w:sz="0" w:space="0"/>
          <w:shd w:val="clear" w:fill="FFFFFF"/>
        </w:rPr>
        <w:t>)</w:t>
      </w:r>
      <w:r>
        <w:rPr>
          <w:rFonts w:hint="default" w:ascii="仿宋_GB2312" w:hAnsi="Times New Roman" w:eastAsia="仿宋_GB2312" w:cs="仿宋_GB2312"/>
          <w:i w:val="0"/>
          <w:iCs w:val="0"/>
          <w:caps w:val="0"/>
          <w:color w:val="494949"/>
          <w:spacing w:val="0"/>
          <w:sz w:val="21"/>
          <w:szCs w:val="21"/>
          <w:bdr w:val="none" w:color="auto" w:sz="0" w:space="0"/>
          <w:shd w:val="clear" w:fill="FFFFFF"/>
        </w:rPr>
        <w:t>。</w:t>
      </w:r>
    </w:p>
    <w:p w14:paraId="0A4DBC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default" w:ascii="仿宋_GB2312" w:hAnsi="Times New Roman" w:eastAsia="仿宋_GB2312" w:cs="仿宋_GB2312"/>
          <w:i w:val="0"/>
          <w:iCs w:val="0"/>
          <w:caps w:val="0"/>
          <w:color w:val="494949"/>
          <w:spacing w:val="0"/>
          <w:sz w:val="21"/>
          <w:szCs w:val="21"/>
          <w:bdr w:val="none" w:color="auto" w:sz="0" w:space="0"/>
          <w:shd w:val="clear" w:fill="FFFFFF"/>
        </w:rPr>
      </w:pPr>
    </w:p>
    <w:p w14:paraId="3707067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仿宋_GB2312" w:hAnsi="Times New Roman" w:eastAsia="仿宋_GB2312" w:cs="仿宋_GB2312"/>
          <w:i w:val="0"/>
          <w:iCs w:val="0"/>
          <w:caps w:val="0"/>
          <w:color w:val="494949"/>
          <w:spacing w:val="0"/>
          <w:sz w:val="21"/>
          <w:szCs w:val="21"/>
          <w:bdr w:val="none" w:color="auto" w:sz="0" w:space="0"/>
          <w:shd w:val="clear" w:fill="FFFFFF"/>
        </w:rPr>
      </w:pPr>
    </w:p>
    <w:tbl>
      <w:tblP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761"/>
        <w:gridCol w:w="220"/>
        <w:gridCol w:w="220"/>
        <w:gridCol w:w="1330"/>
        <w:gridCol w:w="1430"/>
        <w:gridCol w:w="1095"/>
        <w:gridCol w:w="1466"/>
      </w:tblGrid>
      <w:tr w14:paraId="1AAA7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564" w:type="pct"/>
            <w:tcBorders>
              <w:top w:val="nil"/>
              <w:left w:val="nil"/>
              <w:bottom w:val="nil"/>
              <w:right w:val="nil"/>
            </w:tcBorders>
            <w:shd w:val="clear" w:color="auto" w:fill="FFFFFF"/>
            <w:noWrap/>
            <w:tcMar>
              <w:left w:w="108" w:type="dxa"/>
              <w:right w:w="108" w:type="dxa"/>
            </w:tcMar>
            <w:vAlign w:val="center"/>
          </w:tcPr>
          <w:p w14:paraId="762A1741">
            <w:pPr>
              <w:rPr>
                <w:rFonts w:hint="eastAsia" w:ascii="微软雅黑" w:hAnsi="微软雅黑" w:eastAsia="微软雅黑" w:cs="微软雅黑"/>
                <w:i w:val="0"/>
                <w:iCs w:val="0"/>
                <w:caps w:val="0"/>
                <w:color w:val="494949"/>
                <w:spacing w:val="0"/>
                <w:sz w:val="22"/>
                <w:szCs w:val="22"/>
              </w:rPr>
            </w:pPr>
          </w:p>
        </w:tc>
        <w:tc>
          <w:tcPr>
            <w:tcW w:w="129" w:type="pct"/>
            <w:tcBorders>
              <w:top w:val="nil"/>
              <w:left w:val="nil"/>
              <w:bottom w:val="nil"/>
              <w:right w:val="nil"/>
            </w:tcBorders>
            <w:shd w:val="clear" w:color="auto" w:fill="FFFFFF"/>
            <w:noWrap/>
            <w:tcMar>
              <w:left w:w="108" w:type="dxa"/>
              <w:right w:w="108" w:type="dxa"/>
            </w:tcMar>
            <w:vAlign w:val="center"/>
          </w:tcPr>
          <w:p w14:paraId="6A2A57D2">
            <w:pPr>
              <w:rPr>
                <w:rFonts w:hint="eastAsia" w:ascii="微软雅黑" w:hAnsi="微软雅黑" w:eastAsia="微软雅黑" w:cs="微软雅黑"/>
                <w:i w:val="0"/>
                <w:iCs w:val="0"/>
                <w:caps w:val="0"/>
                <w:color w:val="494949"/>
                <w:spacing w:val="0"/>
                <w:sz w:val="22"/>
                <w:szCs w:val="22"/>
              </w:rPr>
            </w:pPr>
          </w:p>
        </w:tc>
        <w:tc>
          <w:tcPr>
            <w:tcW w:w="129" w:type="pct"/>
            <w:tcBorders>
              <w:top w:val="nil"/>
              <w:left w:val="nil"/>
              <w:bottom w:val="nil"/>
              <w:right w:val="nil"/>
            </w:tcBorders>
            <w:shd w:val="clear" w:color="auto" w:fill="FFFFFF"/>
            <w:noWrap/>
            <w:tcMar>
              <w:left w:w="108" w:type="dxa"/>
              <w:right w:w="108" w:type="dxa"/>
            </w:tcMar>
            <w:vAlign w:val="center"/>
          </w:tcPr>
          <w:p w14:paraId="04D3A63E">
            <w:pPr>
              <w:rPr>
                <w:rFonts w:hint="eastAsia" w:ascii="微软雅黑" w:hAnsi="微软雅黑" w:eastAsia="微软雅黑" w:cs="微软雅黑"/>
                <w:i w:val="0"/>
                <w:iCs w:val="0"/>
                <w:caps w:val="0"/>
                <w:color w:val="494949"/>
                <w:spacing w:val="0"/>
                <w:sz w:val="22"/>
                <w:szCs w:val="22"/>
              </w:rPr>
            </w:pPr>
          </w:p>
        </w:tc>
        <w:tc>
          <w:tcPr>
            <w:tcW w:w="2343" w:type="pct"/>
            <w:gridSpan w:val="3"/>
            <w:tcBorders>
              <w:top w:val="nil"/>
              <w:left w:val="nil"/>
              <w:bottom w:val="nil"/>
              <w:right w:val="nil"/>
            </w:tcBorders>
            <w:shd w:val="clear" w:color="auto" w:fill="FFFFFF"/>
            <w:noWrap/>
            <w:tcMar>
              <w:left w:w="108" w:type="dxa"/>
              <w:right w:w="108" w:type="dxa"/>
            </w:tcMar>
            <w:vAlign w:val="center"/>
          </w:tcPr>
          <w:p w14:paraId="1C87A5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right="0"/>
              <w:jc w:val="center"/>
            </w:pPr>
            <w:bookmarkStart w:id="21" w:name="_Toc6941"/>
            <w:bookmarkEnd w:id="21"/>
            <w:r>
              <w:rPr>
                <w:rStyle w:val="7"/>
                <w:rFonts w:hint="eastAsia" w:ascii="黑体" w:hAnsi="宋体" w:eastAsia="黑体" w:cs="黑体"/>
                <w:b/>
                <w:bCs/>
                <w:i w:val="0"/>
                <w:iCs w:val="0"/>
                <w:caps w:val="0"/>
                <w:color w:val="494949"/>
                <w:spacing w:val="0"/>
                <w:sz w:val="32"/>
                <w:szCs w:val="32"/>
                <w:bdr w:val="none" w:color="auto" w:sz="0" w:space="0"/>
              </w:rPr>
              <w:t>国有资本经营预算财政拨款支出决算表</w:t>
            </w:r>
          </w:p>
        </w:tc>
        <w:tc>
          <w:tcPr>
            <w:tcW w:w="833" w:type="pct"/>
            <w:tcBorders>
              <w:top w:val="nil"/>
              <w:left w:val="nil"/>
              <w:bottom w:val="nil"/>
              <w:right w:val="single" w:color="808080" w:sz="8" w:space="0"/>
            </w:tcBorders>
            <w:shd w:val="clear" w:color="auto" w:fill="FFFFFF"/>
            <w:noWrap/>
            <w:tcMar>
              <w:left w:w="108" w:type="dxa"/>
              <w:right w:w="108" w:type="dxa"/>
            </w:tcMar>
            <w:vAlign w:val="center"/>
          </w:tcPr>
          <w:p w14:paraId="04C6C7B4">
            <w:pPr>
              <w:rPr>
                <w:rFonts w:hint="eastAsia" w:ascii="微软雅黑" w:hAnsi="微软雅黑" w:eastAsia="微软雅黑" w:cs="微软雅黑"/>
                <w:i w:val="0"/>
                <w:iCs w:val="0"/>
                <w:caps w:val="0"/>
                <w:color w:val="494949"/>
                <w:spacing w:val="0"/>
                <w:sz w:val="22"/>
                <w:szCs w:val="22"/>
              </w:rPr>
            </w:pPr>
          </w:p>
        </w:tc>
      </w:tr>
      <w:tr w14:paraId="66C90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564" w:type="pct"/>
            <w:tcBorders>
              <w:top w:val="nil"/>
              <w:left w:val="nil"/>
              <w:bottom w:val="nil"/>
              <w:right w:val="nil"/>
            </w:tcBorders>
            <w:shd w:val="clear" w:color="auto" w:fill="FFFFFF"/>
            <w:noWrap/>
            <w:tcMar>
              <w:left w:w="108" w:type="dxa"/>
              <w:right w:w="108" w:type="dxa"/>
            </w:tcMar>
            <w:vAlign w:val="center"/>
          </w:tcPr>
          <w:p w14:paraId="753BF946">
            <w:pPr>
              <w:rPr>
                <w:rFonts w:hint="eastAsia" w:ascii="微软雅黑" w:hAnsi="微软雅黑" w:eastAsia="微软雅黑" w:cs="微软雅黑"/>
                <w:i w:val="0"/>
                <w:iCs w:val="0"/>
                <w:caps w:val="0"/>
                <w:color w:val="494949"/>
                <w:spacing w:val="0"/>
                <w:sz w:val="22"/>
                <w:szCs w:val="22"/>
              </w:rPr>
            </w:pPr>
          </w:p>
        </w:tc>
        <w:tc>
          <w:tcPr>
            <w:tcW w:w="129" w:type="pct"/>
            <w:tcBorders>
              <w:top w:val="nil"/>
              <w:left w:val="nil"/>
              <w:bottom w:val="nil"/>
              <w:right w:val="nil"/>
            </w:tcBorders>
            <w:shd w:val="clear" w:color="auto" w:fill="FFFFFF"/>
            <w:noWrap/>
            <w:tcMar>
              <w:left w:w="108" w:type="dxa"/>
              <w:right w:w="108" w:type="dxa"/>
            </w:tcMar>
            <w:vAlign w:val="center"/>
          </w:tcPr>
          <w:p w14:paraId="6EAEDAD2">
            <w:pPr>
              <w:rPr>
                <w:rFonts w:hint="eastAsia" w:ascii="微软雅黑" w:hAnsi="微软雅黑" w:eastAsia="微软雅黑" w:cs="微软雅黑"/>
                <w:i w:val="0"/>
                <w:iCs w:val="0"/>
                <w:caps w:val="0"/>
                <w:color w:val="494949"/>
                <w:spacing w:val="0"/>
                <w:sz w:val="22"/>
                <w:szCs w:val="22"/>
              </w:rPr>
            </w:pPr>
          </w:p>
        </w:tc>
        <w:tc>
          <w:tcPr>
            <w:tcW w:w="129" w:type="pct"/>
            <w:tcBorders>
              <w:top w:val="nil"/>
              <w:left w:val="nil"/>
              <w:bottom w:val="nil"/>
              <w:right w:val="nil"/>
            </w:tcBorders>
            <w:shd w:val="clear" w:color="auto" w:fill="FFFFFF"/>
            <w:noWrap/>
            <w:tcMar>
              <w:left w:w="108" w:type="dxa"/>
              <w:right w:w="108" w:type="dxa"/>
            </w:tcMar>
            <w:vAlign w:val="center"/>
          </w:tcPr>
          <w:p w14:paraId="7AA3F0E7">
            <w:pPr>
              <w:rPr>
                <w:rFonts w:hint="eastAsia" w:ascii="微软雅黑" w:hAnsi="微软雅黑" w:eastAsia="微软雅黑" w:cs="微软雅黑"/>
                <w:i w:val="0"/>
                <w:iCs w:val="0"/>
                <w:caps w:val="0"/>
                <w:color w:val="494949"/>
                <w:spacing w:val="0"/>
                <w:sz w:val="22"/>
                <w:szCs w:val="22"/>
              </w:rPr>
            </w:pPr>
          </w:p>
        </w:tc>
        <w:tc>
          <w:tcPr>
            <w:tcW w:w="809" w:type="pct"/>
            <w:tcBorders>
              <w:top w:val="nil"/>
              <w:left w:val="nil"/>
              <w:bottom w:val="nil"/>
              <w:right w:val="nil"/>
            </w:tcBorders>
            <w:shd w:val="clear" w:color="auto" w:fill="FFFFFF"/>
            <w:noWrap/>
            <w:tcMar>
              <w:left w:w="108" w:type="dxa"/>
              <w:right w:w="108" w:type="dxa"/>
            </w:tcMar>
            <w:vAlign w:val="center"/>
          </w:tcPr>
          <w:p w14:paraId="67A15597">
            <w:pPr>
              <w:rPr>
                <w:rFonts w:hint="eastAsia" w:ascii="微软雅黑" w:hAnsi="微软雅黑" w:eastAsia="微软雅黑" w:cs="微软雅黑"/>
                <w:i w:val="0"/>
                <w:iCs w:val="0"/>
                <w:caps w:val="0"/>
                <w:color w:val="494949"/>
                <w:spacing w:val="0"/>
                <w:sz w:val="22"/>
                <w:szCs w:val="22"/>
              </w:rPr>
            </w:pPr>
          </w:p>
        </w:tc>
        <w:tc>
          <w:tcPr>
            <w:tcW w:w="875" w:type="pct"/>
            <w:tcBorders>
              <w:top w:val="nil"/>
              <w:left w:val="nil"/>
              <w:bottom w:val="nil"/>
              <w:right w:val="nil"/>
            </w:tcBorders>
            <w:shd w:val="clear" w:color="auto" w:fill="FFFFFF"/>
            <w:noWrap/>
            <w:tcMar>
              <w:left w:w="108" w:type="dxa"/>
              <w:right w:w="108" w:type="dxa"/>
            </w:tcMar>
            <w:vAlign w:val="center"/>
          </w:tcPr>
          <w:p w14:paraId="3E4E372D">
            <w:pPr>
              <w:rPr>
                <w:rFonts w:hint="eastAsia" w:ascii="微软雅黑" w:hAnsi="微软雅黑" w:eastAsia="微软雅黑" w:cs="微软雅黑"/>
                <w:i w:val="0"/>
                <w:iCs w:val="0"/>
                <w:caps w:val="0"/>
                <w:color w:val="494949"/>
                <w:spacing w:val="0"/>
                <w:sz w:val="22"/>
                <w:szCs w:val="22"/>
              </w:rPr>
            </w:pPr>
          </w:p>
        </w:tc>
        <w:tc>
          <w:tcPr>
            <w:tcW w:w="658" w:type="pct"/>
            <w:tcBorders>
              <w:top w:val="nil"/>
              <w:left w:val="nil"/>
              <w:bottom w:val="nil"/>
              <w:right w:val="nil"/>
            </w:tcBorders>
            <w:shd w:val="clear" w:color="auto" w:fill="FFFFFF"/>
            <w:noWrap/>
            <w:tcMar>
              <w:left w:w="108" w:type="dxa"/>
              <w:right w:w="108" w:type="dxa"/>
            </w:tcMar>
            <w:vAlign w:val="center"/>
          </w:tcPr>
          <w:p w14:paraId="47F0F209">
            <w:pPr>
              <w:rPr>
                <w:rFonts w:hint="eastAsia" w:ascii="微软雅黑" w:hAnsi="微软雅黑" w:eastAsia="微软雅黑" w:cs="微软雅黑"/>
                <w:i w:val="0"/>
                <w:iCs w:val="0"/>
                <w:caps w:val="0"/>
                <w:color w:val="494949"/>
                <w:spacing w:val="0"/>
                <w:sz w:val="22"/>
                <w:szCs w:val="22"/>
              </w:rPr>
            </w:pPr>
          </w:p>
        </w:tc>
        <w:tc>
          <w:tcPr>
            <w:tcW w:w="833" w:type="pct"/>
            <w:tcBorders>
              <w:top w:val="nil"/>
              <w:left w:val="nil"/>
              <w:bottom w:val="nil"/>
              <w:right w:val="single" w:color="808080" w:sz="8" w:space="0"/>
            </w:tcBorders>
            <w:shd w:val="clear" w:color="auto" w:fill="FFFFFF"/>
            <w:noWrap/>
            <w:tcMar>
              <w:left w:w="108" w:type="dxa"/>
              <w:right w:w="108" w:type="dxa"/>
            </w:tcMar>
            <w:vAlign w:val="center"/>
          </w:tcPr>
          <w:p w14:paraId="5E22C0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right"/>
              <w:textAlignment w:val="center"/>
            </w:pPr>
            <w:r>
              <w:rPr>
                <w:rFonts w:hint="eastAsia" w:ascii="宋体" w:hAnsi="宋体" w:eastAsia="宋体" w:cs="宋体"/>
                <w:i w:val="0"/>
                <w:iCs w:val="0"/>
                <w:caps w:val="0"/>
                <w:color w:val="494949"/>
                <w:spacing w:val="0"/>
                <w:sz w:val="22"/>
                <w:szCs w:val="22"/>
                <w:bdr w:val="none" w:color="auto" w:sz="0" w:space="0"/>
              </w:rPr>
              <w:t>公开08表</w:t>
            </w:r>
          </w:p>
        </w:tc>
      </w:tr>
      <w:tr w14:paraId="772E1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564" w:type="pct"/>
            <w:tcBorders>
              <w:top w:val="nil"/>
              <w:left w:val="nil"/>
              <w:bottom w:val="single" w:color="000000" w:sz="8" w:space="0"/>
              <w:right w:val="nil"/>
            </w:tcBorders>
            <w:shd w:val="clear" w:color="auto" w:fill="FFFFFF"/>
            <w:noWrap/>
            <w:tcMar>
              <w:left w:w="108" w:type="dxa"/>
              <w:right w:w="108" w:type="dxa"/>
            </w:tcMar>
            <w:vAlign w:val="center"/>
          </w:tcPr>
          <w:p w14:paraId="06FF0D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textAlignment w:val="center"/>
            </w:pPr>
            <w:r>
              <w:rPr>
                <w:rFonts w:hint="default" w:ascii="仿宋_GB2312" w:hAnsi="微软雅黑" w:eastAsia="仿宋_GB2312" w:cs="仿宋_GB2312"/>
                <w:i w:val="0"/>
                <w:iCs w:val="0"/>
                <w:caps w:val="0"/>
                <w:color w:val="494949"/>
                <w:spacing w:val="0"/>
                <w:sz w:val="21"/>
                <w:szCs w:val="21"/>
                <w:bdr w:val="none" w:color="auto" w:sz="0" w:space="0"/>
              </w:rPr>
              <w:t>编制单位：湖南现代物流职业技术学院</w:t>
            </w:r>
          </w:p>
        </w:tc>
        <w:tc>
          <w:tcPr>
            <w:tcW w:w="129" w:type="pct"/>
            <w:tcBorders>
              <w:top w:val="nil"/>
              <w:left w:val="nil"/>
              <w:bottom w:val="single" w:color="000000" w:sz="8" w:space="0"/>
              <w:right w:val="nil"/>
            </w:tcBorders>
            <w:shd w:val="clear" w:color="auto" w:fill="FFFFFF"/>
            <w:noWrap/>
            <w:tcMar>
              <w:left w:w="108" w:type="dxa"/>
              <w:right w:w="108" w:type="dxa"/>
            </w:tcMar>
            <w:vAlign w:val="center"/>
          </w:tcPr>
          <w:p w14:paraId="6EF31D49">
            <w:pPr>
              <w:rPr>
                <w:rFonts w:hint="eastAsia" w:ascii="微软雅黑" w:hAnsi="微软雅黑" w:eastAsia="微软雅黑" w:cs="微软雅黑"/>
                <w:i w:val="0"/>
                <w:iCs w:val="0"/>
                <w:caps w:val="0"/>
                <w:color w:val="494949"/>
                <w:spacing w:val="0"/>
                <w:sz w:val="22"/>
                <w:szCs w:val="22"/>
              </w:rPr>
            </w:pPr>
          </w:p>
        </w:tc>
        <w:tc>
          <w:tcPr>
            <w:tcW w:w="129" w:type="pct"/>
            <w:tcBorders>
              <w:top w:val="nil"/>
              <w:left w:val="nil"/>
              <w:bottom w:val="single" w:color="000000" w:sz="8" w:space="0"/>
              <w:right w:val="nil"/>
            </w:tcBorders>
            <w:shd w:val="clear" w:color="auto" w:fill="FFFFFF"/>
            <w:noWrap/>
            <w:tcMar>
              <w:left w:w="108" w:type="dxa"/>
              <w:right w:w="108" w:type="dxa"/>
            </w:tcMar>
            <w:vAlign w:val="center"/>
          </w:tcPr>
          <w:p w14:paraId="3E49737A">
            <w:pPr>
              <w:rPr>
                <w:rFonts w:hint="eastAsia" w:ascii="微软雅黑" w:hAnsi="微软雅黑" w:eastAsia="微软雅黑" w:cs="微软雅黑"/>
                <w:i w:val="0"/>
                <w:iCs w:val="0"/>
                <w:caps w:val="0"/>
                <w:color w:val="494949"/>
                <w:spacing w:val="0"/>
                <w:sz w:val="22"/>
                <w:szCs w:val="22"/>
              </w:rPr>
            </w:pPr>
          </w:p>
        </w:tc>
        <w:tc>
          <w:tcPr>
            <w:tcW w:w="809" w:type="pct"/>
            <w:tcBorders>
              <w:top w:val="nil"/>
              <w:left w:val="nil"/>
              <w:bottom w:val="single" w:color="000000" w:sz="8" w:space="0"/>
              <w:right w:val="nil"/>
            </w:tcBorders>
            <w:shd w:val="clear" w:color="auto" w:fill="FFFFFF"/>
            <w:noWrap/>
            <w:tcMar>
              <w:left w:w="108" w:type="dxa"/>
              <w:right w:w="108" w:type="dxa"/>
            </w:tcMar>
            <w:vAlign w:val="bottom"/>
          </w:tcPr>
          <w:p w14:paraId="2E16492E">
            <w:pPr>
              <w:rPr>
                <w:rFonts w:hint="eastAsia" w:ascii="微软雅黑" w:hAnsi="微软雅黑" w:eastAsia="微软雅黑" w:cs="微软雅黑"/>
                <w:i w:val="0"/>
                <w:iCs w:val="0"/>
                <w:caps w:val="0"/>
                <w:color w:val="494949"/>
                <w:spacing w:val="0"/>
                <w:sz w:val="22"/>
                <w:szCs w:val="22"/>
              </w:rPr>
            </w:pPr>
          </w:p>
        </w:tc>
        <w:tc>
          <w:tcPr>
            <w:tcW w:w="875" w:type="pct"/>
            <w:tcBorders>
              <w:top w:val="nil"/>
              <w:left w:val="nil"/>
              <w:bottom w:val="single" w:color="000000" w:sz="8" w:space="0"/>
              <w:right w:val="nil"/>
            </w:tcBorders>
            <w:shd w:val="clear" w:color="auto" w:fill="FFFFFF"/>
            <w:noWrap/>
            <w:tcMar>
              <w:left w:w="108" w:type="dxa"/>
              <w:right w:w="108" w:type="dxa"/>
            </w:tcMar>
            <w:vAlign w:val="center"/>
          </w:tcPr>
          <w:p w14:paraId="223021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2"/>
                <w:szCs w:val="22"/>
                <w:bdr w:val="none" w:color="auto" w:sz="0" w:space="0"/>
              </w:rPr>
              <w:t>2022年度</w:t>
            </w:r>
          </w:p>
        </w:tc>
        <w:tc>
          <w:tcPr>
            <w:tcW w:w="658" w:type="pct"/>
            <w:tcBorders>
              <w:top w:val="nil"/>
              <w:left w:val="nil"/>
              <w:bottom w:val="single" w:color="000000" w:sz="8" w:space="0"/>
              <w:right w:val="nil"/>
            </w:tcBorders>
            <w:shd w:val="clear" w:color="auto" w:fill="FFFFFF"/>
            <w:noWrap/>
            <w:tcMar>
              <w:left w:w="108" w:type="dxa"/>
              <w:right w:w="108" w:type="dxa"/>
            </w:tcMar>
            <w:vAlign w:val="center"/>
          </w:tcPr>
          <w:p w14:paraId="266FF1C7">
            <w:pPr>
              <w:rPr>
                <w:rFonts w:hint="eastAsia" w:ascii="微软雅黑" w:hAnsi="微软雅黑" w:eastAsia="微软雅黑" w:cs="微软雅黑"/>
                <w:i w:val="0"/>
                <w:iCs w:val="0"/>
                <w:caps w:val="0"/>
                <w:color w:val="494949"/>
                <w:spacing w:val="0"/>
                <w:sz w:val="22"/>
                <w:szCs w:val="22"/>
              </w:rPr>
            </w:pPr>
          </w:p>
        </w:tc>
        <w:tc>
          <w:tcPr>
            <w:tcW w:w="833" w:type="pct"/>
            <w:tcBorders>
              <w:top w:val="nil"/>
              <w:left w:val="nil"/>
              <w:bottom w:val="single" w:color="000000" w:sz="8" w:space="0"/>
              <w:right w:val="single" w:color="808080" w:sz="8" w:space="0"/>
            </w:tcBorders>
            <w:shd w:val="clear" w:color="auto" w:fill="FFFFFF"/>
            <w:noWrap/>
            <w:tcMar>
              <w:left w:w="108" w:type="dxa"/>
              <w:right w:w="108" w:type="dxa"/>
            </w:tcMar>
            <w:vAlign w:val="center"/>
          </w:tcPr>
          <w:p w14:paraId="2A0E71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right"/>
              <w:textAlignment w:val="center"/>
            </w:pPr>
            <w:r>
              <w:rPr>
                <w:rFonts w:hint="eastAsia" w:ascii="宋体" w:hAnsi="宋体" w:eastAsia="宋体" w:cs="宋体"/>
                <w:i w:val="0"/>
                <w:iCs w:val="0"/>
                <w:caps w:val="0"/>
                <w:color w:val="494949"/>
                <w:spacing w:val="0"/>
                <w:sz w:val="22"/>
                <w:szCs w:val="22"/>
                <w:bdr w:val="none" w:color="auto" w:sz="0" w:space="0"/>
              </w:rPr>
              <w:t>金额单位：万元</w:t>
            </w:r>
          </w:p>
        </w:tc>
      </w:tr>
      <w:tr w14:paraId="45AE9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632" w:type="pct"/>
            <w:gridSpan w:val="4"/>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66470F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textAlignment w:val="center"/>
            </w:pPr>
            <w:r>
              <w:rPr>
                <w:rFonts w:hint="eastAsia" w:ascii="宋体" w:hAnsi="宋体" w:eastAsia="宋体" w:cs="宋体"/>
                <w:i w:val="0"/>
                <w:iCs w:val="0"/>
                <w:caps w:val="0"/>
                <w:color w:val="494949"/>
                <w:spacing w:val="0"/>
                <w:sz w:val="20"/>
                <w:szCs w:val="20"/>
                <w:bdr w:val="none" w:color="auto" w:sz="0" w:space="0"/>
              </w:rPr>
              <w:t>项目</w:t>
            </w:r>
          </w:p>
        </w:tc>
        <w:tc>
          <w:tcPr>
            <w:tcW w:w="2367" w:type="pct"/>
            <w:gridSpan w:val="3"/>
            <w:tcBorders>
              <w:top w:val="nil"/>
              <w:left w:val="nil"/>
              <w:bottom w:val="single" w:color="000000" w:sz="8" w:space="0"/>
              <w:right w:val="single" w:color="000000" w:sz="8" w:space="0"/>
            </w:tcBorders>
            <w:shd w:val="clear" w:color="auto" w:fill="FFFFFF"/>
            <w:tcMar>
              <w:left w:w="108" w:type="dxa"/>
              <w:right w:w="108" w:type="dxa"/>
            </w:tcMar>
            <w:vAlign w:val="center"/>
          </w:tcPr>
          <w:p w14:paraId="5E7B0C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0"/>
                <w:szCs w:val="20"/>
                <w:bdr w:val="none" w:color="auto" w:sz="0" w:space="0"/>
              </w:rPr>
              <w:t>本年支出</w:t>
            </w:r>
          </w:p>
        </w:tc>
      </w:tr>
      <w:tr w14:paraId="33D36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jc w:val="center"/>
        </w:trPr>
        <w:tc>
          <w:tcPr>
            <w:tcW w:w="1822" w:type="pct"/>
            <w:gridSpan w:val="3"/>
            <w:vMerge w:val="restar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B96E0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0"/>
                <w:szCs w:val="20"/>
                <w:bdr w:val="none" w:color="auto" w:sz="0" w:space="0"/>
              </w:rPr>
              <w:t>功能分类科目编码</w:t>
            </w:r>
          </w:p>
        </w:tc>
        <w:tc>
          <w:tcPr>
            <w:tcW w:w="809" w:type="pct"/>
            <w:vMerge w:val="restar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132F8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0"/>
                <w:szCs w:val="20"/>
                <w:bdr w:val="none" w:color="auto" w:sz="0" w:space="0"/>
              </w:rPr>
              <w:t>科目名称</w:t>
            </w:r>
          </w:p>
        </w:tc>
        <w:tc>
          <w:tcPr>
            <w:tcW w:w="875" w:type="pct"/>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2CD3E6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0"/>
                <w:szCs w:val="20"/>
                <w:bdr w:val="none" w:color="auto" w:sz="0" w:space="0"/>
              </w:rPr>
              <w:t>合计</w:t>
            </w:r>
          </w:p>
        </w:tc>
        <w:tc>
          <w:tcPr>
            <w:tcW w:w="658" w:type="pct"/>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4E0CDB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0"/>
                <w:szCs w:val="20"/>
                <w:bdr w:val="none" w:color="auto" w:sz="0" w:space="0"/>
              </w:rPr>
              <w:t>基本支出</w:t>
            </w:r>
          </w:p>
        </w:tc>
        <w:tc>
          <w:tcPr>
            <w:tcW w:w="833" w:type="pct"/>
            <w:vMerge w:val="restar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67FF43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0"/>
                <w:szCs w:val="20"/>
                <w:bdr w:val="none" w:color="auto" w:sz="0" w:space="0"/>
              </w:rPr>
              <w:t>项目支出</w:t>
            </w:r>
          </w:p>
        </w:tc>
      </w:tr>
      <w:tr w14:paraId="58BE1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jc w:val="center"/>
        </w:trPr>
        <w:tc>
          <w:tcPr>
            <w:tcW w:w="1822" w:type="pct"/>
            <w:gridSpan w:val="3"/>
            <w:vMerge w:val="continue"/>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7B0BF06">
            <w:pPr>
              <w:rPr>
                <w:rFonts w:hint="eastAsia" w:ascii="微软雅黑" w:hAnsi="微软雅黑" w:eastAsia="微软雅黑" w:cs="微软雅黑"/>
                <w:i w:val="0"/>
                <w:iCs w:val="0"/>
                <w:caps w:val="0"/>
                <w:color w:val="494949"/>
                <w:spacing w:val="0"/>
                <w:sz w:val="22"/>
                <w:szCs w:val="22"/>
              </w:rPr>
            </w:pPr>
          </w:p>
        </w:tc>
        <w:tc>
          <w:tcPr>
            <w:tcW w:w="809" w:type="pct"/>
            <w:vMerge w:val="continue"/>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004BDB0">
            <w:pPr>
              <w:rPr>
                <w:rFonts w:hint="eastAsia" w:ascii="微软雅黑" w:hAnsi="微软雅黑" w:eastAsia="微软雅黑" w:cs="微软雅黑"/>
                <w:i w:val="0"/>
                <w:iCs w:val="0"/>
                <w:caps w:val="0"/>
                <w:color w:val="494949"/>
                <w:spacing w:val="0"/>
                <w:sz w:val="22"/>
                <w:szCs w:val="22"/>
              </w:rPr>
            </w:pPr>
          </w:p>
        </w:tc>
        <w:tc>
          <w:tcPr>
            <w:tcW w:w="875"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04BAC94">
            <w:pPr>
              <w:rPr>
                <w:rFonts w:hint="eastAsia" w:ascii="微软雅黑" w:hAnsi="微软雅黑" w:eastAsia="微软雅黑" w:cs="微软雅黑"/>
                <w:i w:val="0"/>
                <w:iCs w:val="0"/>
                <w:caps w:val="0"/>
                <w:color w:val="494949"/>
                <w:spacing w:val="0"/>
                <w:sz w:val="22"/>
                <w:szCs w:val="22"/>
              </w:rPr>
            </w:pPr>
          </w:p>
        </w:tc>
        <w:tc>
          <w:tcPr>
            <w:tcW w:w="658"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79FD5E24">
            <w:pPr>
              <w:rPr>
                <w:rFonts w:hint="eastAsia" w:ascii="微软雅黑" w:hAnsi="微软雅黑" w:eastAsia="微软雅黑" w:cs="微软雅黑"/>
                <w:i w:val="0"/>
                <w:iCs w:val="0"/>
                <w:caps w:val="0"/>
                <w:color w:val="494949"/>
                <w:spacing w:val="0"/>
                <w:sz w:val="22"/>
                <w:szCs w:val="22"/>
              </w:rPr>
            </w:pPr>
          </w:p>
        </w:tc>
        <w:tc>
          <w:tcPr>
            <w:tcW w:w="833"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07E645BC">
            <w:pPr>
              <w:rPr>
                <w:rFonts w:hint="eastAsia" w:ascii="微软雅黑" w:hAnsi="微软雅黑" w:eastAsia="微软雅黑" w:cs="微软雅黑"/>
                <w:i w:val="0"/>
                <w:iCs w:val="0"/>
                <w:caps w:val="0"/>
                <w:color w:val="494949"/>
                <w:spacing w:val="0"/>
                <w:sz w:val="22"/>
                <w:szCs w:val="22"/>
              </w:rPr>
            </w:pPr>
          </w:p>
        </w:tc>
      </w:tr>
      <w:tr w14:paraId="16FA9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12" w:hRule="atLeast"/>
          <w:jc w:val="center"/>
        </w:trPr>
        <w:tc>
          <w:tcPr>
            <w:tcW w:w="1822" w:type="pct"/>
            <w:gridSpan w:val="3"/>
            <w:vMerge w:val="continue"/>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F6A1E4A">
            <w:pPr>
              <w:rPr>
                <w:rFonts w:hint="eastAsia" w:ascii="微软雅黑" w:hAnsi="微软雅黑" w:eastAsia="微软雅黑" w:cs="微软雅黑"/>
                <w:i w:val="0"/>
                <w:iCs w:val="0"/>
                <w:caps w:val="0"/>
                <w:color w:val="494949"/>
                <w:spacing w:val="0"/>
                <w:sz w:val="22"/>
                <w:szCs w:val="22"/>
              </w:rPr>
            </w:pPr>
          </w:p>
        </w:tc>
        <w:tc>
          <w:tcPr>
            <w:tcW w:w="809" w:type="pct"/>
            <w:vMerge w:val="continue"/>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7EE406C">
            <w:pPr>
              <w:rPr>
                <w:rFonts w:hint="eastAsia" w:ascii="微软雅黑" w:hAnsi="微软雅黑" w:eastAsia="微软雅黑" w:cs="微软雅黑"/>
                <w:i w:val="0"/>
                <w:iCs w:val="0"/>
                <w:caps w:val="0"/>
                <w:color w:val="494949"/>
                <w:spacing w:val="0"/>
                <w:sz w:val="22"/>
                <w:szCs w:val="22"/>
              </w:rPr>
            </w:pPr>
          </w:p>
        </w:tc>
        <w:tc>
          <w:tcPr>
            <w:tcW w:w="875"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5B5197D4">
            <w:pPr>
              <w:rPr>
                <w:rFonts w:hint="eastAsia" w:ascii="微软雅黑" w:hAnsi="微软雅黑" w:eastAsia="微软雅黑" w:cs="微软雅黑"/>
                <w:i w:val="0"/>
                <w:iCs w:val="0"/>
                <w:caps w:val="0"/>
                <w:color w:val="494949"/>
                <w:spacing w:val="0"/>
                <w:sz w:val="22"/>
                <w:szCs w:val="22"/>
              </w:rPr>
            </w:pPr>
          </w:p>
        </w:tc>
        <w:tc>
          <w:tcPr>
            <w:tcW w:w="658"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6C1BC3D6">
            <w:pPr>
              <w:rPr>
                <w:rFonts w:hint="eastAsia" w:ascii="微软雅黑" w:hAnsi="微软雅黑" w:eastAsia="微软雅黑" w:cs="微软雅黑"/>
                <w:i w:val="0"/>
                <w:iCs w:val="0"/>
                <w:caps w:val="0"/>
                <w:color w:val="494949"/>
                <w:spacing w:val="0"/>
                <w:sz w:val="22"/>
                <w:szCs w:val="22"/>
              </w:rPr>
            </w:pPr>
          </w:p>
        </w:tc>
        <w:tc>
          <w:tcPr>
            <w:tcW w:w="833" w:type="pct"/>
            <w:vMerge w:val="continue"/>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62BCC788">
            <w:pPr>
              <w:rPr>
                <w:rFonts w:hint="eastAsia" w:ascii="微软雅黑" w:hAnsi="微软雅黑" w:eastAsia="微软雅黑" w:cs="微软雅黑"/>
                <w:i w:val="0"/>
                <w:iCs w:val="0"/>
                <w:caps w:val="0"/>
                <w:color w:val="494949"/>
                <w:spacing w:val="0"/>
                <w:sz w:val="22"/>
                <w:szCs w:val="22"/>
              </w:rPr>
            </w:pPr>
          </w:p>
        </w:tc>
      </w:tr>
      <w:tr w14:paraId="49FEE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632" w:type="pct"/>
            <w:gridSpan w:val="4"/>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1743ED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0"/>
                <w:szCs w:val="20"/>
                <w:bdr w:val="none" w:color="auto" w:sz="0" w:space="0"/>
              </w:rPr>
              <w:t>栏次</w:t>
            </w:r>
          </w:p>
        </w:tc>
        <w:tc>
          <w:tcPr>
            <w:tcW w:w="875"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B186D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0"/>
                <w:szCs w:val="20"/>
                <w:bdr w:val="none" w:color="auto" w:sz="0" w:space="0"/>
              </w:rPr>
              <w:t>1</w:t>
            </w:r>
          </w:p>
        </w:tc>
        <w:tc>
          <w:tcPr>
            <w:tcW w:w="658"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81DF6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0"/>
                <w:szCs w:val="20"/>
                <w:bdr w:val="none" w:color="auto" w:sz="0" w:space="0"/>
              </w:rPr>
              <w:t>2</w:t>
            </w:r>
          </w:p>
        </w:tc>
        <w:tc>
          <w:tcPr>
            <w:tcW w:w="83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9818B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0"/>
                <w:szCs w:val="20"/>
                <w:bdr w:val="none" w:color="auto" w:sz="0" w:space="0"/>
              </w:rPr>
              <w:t>3</w:t>
            </w:r>
          </w:p>
        </w:tc>
      </w:tr>
      <w:tr w14:paraId="39C25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632" w:type="pct"/>
            <w:gridSpan w:val="4"/>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0A3EC7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both"/>
              <w:textAlignment w:val="center"/>
            </w:pPr>
            <w:r>
              <w:rPr>
                <w:rFonts w:hint="eastAsia" w:ascii="宋体" w:hAnsi="宋体" w:eastAsia="宋体" w:cs="宋体"/>
                <w:i w:val="0"/>
                <w:iCs w:val="0"/>
                <w:caps w:val="0"/>
                <w:color w:val="494949"/>
                <w:spacing w:val="0"/>
                <w:sz w:val="20"/>
                <w:szCs w:val="20"/>
                <w:bdr w:val="none" w:color="auto" w:sz="0" w:space="0"/>
              </w:rPr>
              <w:t>合计</w:t>
            </w:r>
          </w:p>
        </w:tc>
        <w:tc>
          <w:tcPr>
            <w:tcW w:w="875"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DAF43EE">
            <w:pPr>
              <w:rPr>
                <w:rFonts w:hint="eastAsia" w:ascii="微软雅黑" w:hAnsi="微软雅黑" w:eastAsia="微软雅黑" w:cs="微软雅黑"/>
                <w:i w:val="0"/>
                <w:iCs w:val="0"/>
                <w:caps w:val="0"/>
                <w:color w:val="494949"/>
                <w:spacing w:val="0"/>
                <w:sz w:val="22"/>
                <w:szCs w:val="22"/>
              </w:rPr>
            </w:pPr>
          </w:p>
        </w:tc>
        <w:tc>
          <w:tcPr>
            <w:tcW w:w="658"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27F7F02">
            <w:pPr>
              <w:rPr>
                <w:rFonts w:hint="eastAsia" w:ascii="微软雅黑" w:hAnsi="微软雅黑" w:eastAsia="微软雅黑" w:cs="微软雅黑"/>
                <w:i w:val="0"/>
                <w:iCs w:val="0"/>
                <w:caps w:val="0"/>
                <w:color w:val="494949"/>
                <w:spacing w:val="0"/>
                <w:sz w:val="22"/>
                <w:szCs w:val="22"/>
              </w:rPr>
            </w:pPr>
          </w:p>
        </w:tc>
        <w:tc>
          <w:tcPr>
            <w:tcW w:w="833"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3EB1DBBF">
            <w:pPr>
              <w:rPr>
                <w:rFonts w:hint="eastAsia" w:ascii="微软雅黑" w:hAnsi="微软雅黑" w:eastAsia="微软雅黑" w:cs="微软雅黑"/>
                <w:i w:val="0"/>
                <w:iCs w:val="0"/>
                <w:caps w:val="0"/>
                <w:color w:val="494949"/>
                <w:spacing w:val="0"/>
                <w:sz w:val="22"/>
                <w:szCs w:val="22"/>
              </w:rPr>
            </w:pPr>
          </w:p>
        </w:tc>
      </w:tr>
      <w:tr w14:paraId="19E71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1822" w:type="pct"/>
            <w:gridSpan w:val="3"/>
            <w:tcBorders>
              <w:top w:val="nil"/>
              <w:left w:val="single" w:color="000000" w:sz="8" w:space="0"/>
              <w:bottom w:val="single" w:color="000000" w:sz="8" w:space="0"/>
              <w:right w:val="single" w:color="000000" w:sz="8" w:space="0"/>
            </w:tcBorders>
            <w:shd w:val="clear" w:color="auto" w:fill="FFFFFF"/>
            <w:noWrap/>
            <w:tcMar>
              <w:left w:w="108" w:type="dxa"/>
              <w:right w:w="108" w:type="dxa"/>
            </w:tcMar>
            <w:vAlign w:val="center"/>
          </w:tcPr>
          <w:p w14:paraId="5CA97F7E">
            <w:pPr>
              <w:rPr>
                <w:rFonts w:hint="eastAsia" w:ascii="微软雅黑" w:hAnsi="微软雅黑" w:eastAsia="微软雅黑" w:cs="微软雅黑"/>
                <w:i w:val="0"/>
                <w:iCs w:val="0"/>
                <w:caps w:val="0"/>
                <w:color w:val="494949"/>
                <w:spacing w:val="0"/>
                <w:sz w:val="22"/>
                <w:szCs w:val="22"/>
              </w:rPr>
            </w:pPr>
          </w:p>
        </w:tc>
        <w:tc>
          <w:tcPr>
            <w:tcW w:w="809"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0C46CAE1">
            <w:pPr>
              <w:rPr>
                <w:rFonts w:hint="eastAsia" w:ascii="微软雅黑" w:hAnsi="微软雅黑" w:eastAsia="微软雅黑" w:cs="微软雅黑"/>
                <w:i w:val="0"/>
                <w:iCs w:val="0"/>
                <w:caps w:val="0"/>
                <w:color w:val="494949"/>
                <w:spacing w:val="0"/>
                <w:sz w:val="22"/>
                <w:szCs w:val="22"/>
              </w:rPr>
            </w:pPr>
          </w:p>
        </w:tc>
        <w:tc>
          <w:tcPr>
            <w:tcW w:w="875"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28DF6730">
            <w:pPr>
              <w:rPr>
                <w:rFonts w:hint="eastAsia" w:ascii="微软雅黑" w:hAnsi="微软雅黑" w:eastAsia="微软雅黑" w:cs="微软雅黑"/>
                <w:i w:val="0"/>
                <w:iCs w:val="0"/>
                <w:caps w:val="0"/>
                <w:color w:val="494949"/>
                <w:spacing w:val="0"/>
                <w:sz w:val="22"/>
                <w:szCs w:val="22"/>
              </w:rPr>
            </w:pPr>
          </w:p>
        </w:tc>
        <w:tc>
          <w:tcPr>
            <w:tcW w:w="658" w:type="pct"/>
            <w:tcBorders>
              <w:top w:val="nil"/>
              <w:left w:val="nil"/>
              <w:bottom w:val="single" w:color="000000" w:sz="8" w:space="0"/>
              <w:right w:val="single" w:color="000000" w:sz="8" w:space="0"/>
            </w:tcBorders>
            <w:shd w:val="clear" w:color="auto" w:fill="FFFFFF"/>
            <w:noWrap/>
            <w:tcMar>
              <w:left w:w="108" w:type="dxa"/>
              <w:right w:w="108" w:type="dxa"/>
            </w:tcMar>
            <w:vAlign w:val="center"/>
          </w:tcPr>
          <w:p w14:paraId="1D0C8AB8">
            <w:pPr>
              <w:rPr>
                <w:rFonts w:hint="eastAsia" w:ascii="微软雅黑" w:hAnsi="微软雅黑" w:eastAsia="微软雅黑" w:cs="微软雅黑"/>
                <w:i w:val="0"/>
                <w:iCs w:val="0"/>
                <w:caps w:val="0"/>
                <w:color w:val="494949"/>
                <w:spacing w:val="0"/>
                <w:sz w:val="22"/>
                <w:szCs w:val="22"/>
              </w:rPr>
            </w:pPr>
          </w:p>
        </w:tc>
        <w:tc>
          <w:tcPr>
            <w:tcW w:w="833" w:type="pct"/>
            <w:tcBorders>
              <w:top w:val="single" w:color="000000" w:sz="8" w:space="0"/>
              <w:left w:val="nil"/>
              <w:bottom w:val="single" w:color="000000" w:sz="8" w:space="0"/>
              <w:right w:val="single" w:color="000000" w:sz="8" w:space="0"/>
            </w:tcBorders>
            <w:shd w:val="clear" w:color="auto" w:fill="FFFFFF"/>
            <w:noWrap/>
            <w:tcMar>
              <w:left w:w="108" w:type="dxa"/>
              <w:right w:w="108" w:type="dxa"/>
            </w:tcMar>
            <w:vAlign w:val="center"/>
          </w:tcPr>
          <w:p w14:paraId="14AA322C">
            <w:pPr>
              <w:rPr>
                <w:rFonts w:hint="eastAsia" w:ascii="微软雅黑" w:hAnsi="微软雅黑" w:eastAsia="微软雅黑" w:cs="微软雅黑"/>
                <w:i w:val="0"/>
                <w:iCs w:val="0"/>
                <w:caps w:val="0"/>
                <w:color w:val="494949"/>
                <w:spacing w:val="0"/>
                <w:sz w:val="22"/>
                <w:szCs w:val="22"/>
              </w:rPr>
            </w:pPr>
          </w:p>
        </w:tc>
      </w:tr>
      <w:tr w14:paraId="0A7DD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5000" w:type="pct"/>
            <w:gridSpan w:val="7"/>
            <w:tcBorders>
              <w:top w:val="nil"/>
              <w:left w:val="nil"/>
              <w:bottom w:val="nil"/>
              <w:right w:val="nil"/>
            </w:tcBorders>
            <w:shd w:val="clear" w:color="auto" w:fill="FFFFFF"/>
            <w:noWrap/>
            <w:tcMar>
              <w:left w:w="108" w:type="dxa"/>
              <w:right w:w="108" w:type="dxa"/>
            </w:tcMar>
            <w:vAlign w:val="center"/>
          </w:tcPr>
          <w:p w14:paraId="713787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textAlignment w:val="center"/>
            </w:pPr>
            <w:r>
              <w:rPr>
                <w:rFonts w:hint="default" w:ascii="仿宋_GB2312" w:hAnsi="微软雅黑" w:eastAsia="仿宋_GB2312" w:cs="仿宋_GB2312"/>
                <w:i w:val="0"/>
                <w:iCs w:val="0"/>
                <w:caps w:val="0"/>
                <w:color w:val="494949"/>
                <w:spacing w:val="0"/>
                <w:sz w:val="21"/>
                <w:szCs w:val="21"/>
                <w:bdr w:val="none" w:color="auto" w:sz="0" w:space="0"/>
              </w:rPr>
              <w:t>注：本表反映部门本年度国有资本经营预算财政拨款支出情况。</w:t>
            </w:r>
          </w:p>
          <w:p w14:paraId="3512EA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left"/>
            </w:pPr>
            <w:r>
              <w:rPr>
                <w:rFonts w:hint="default" w:ascii="Times New Roman" w:hAnsi="Times New Roman" w:eastAsia="微软雅黑" w:cs="Times New Roman"/>
                <w:i w:val="0"/>
                <w:iCs w:val="0"/>
                <w:caps w:val="0"/>
                <w:color w:val="494949"/>
                <w:spacing w:val="0"/>
                <w:sz w:val="21"/>
                <w:szCs w:val="21"/>
                <w:bdr w:val="none" w:color="auto" w:sz="0" w:space="0"/>
              </w:rPr>
              <w:t>(</w:t>
            </w:r>
            <w:r>
              <w:rPr>
                <w:rFonts w:hint="default" w:ascii="仿宋_GB2312" w:hAnsi="微软雅黑" w:eastAsia="仿宋_GB2312" w:cs="仿宋_GB2312"/>
                <w:i w:val="0"/>
                <w:iCs w:val="0"/>
                <w:caps w:val="0"/>
                <w:color w:val="494949"/>
                <w:spacing w:val="0"/>
                <w:sz w:val="21"/>
                <w:szCs w:val="21"/>
                <w:bdr w:val="none" w:color="auto" w:sz="0" w:space="0"/>
              </w:rPr>
              <w:t>说明：本单位没有国有资本经营预算财政拨款支出，故本表无数据</w:t>
            </w:r>
            <w:r>
              <w:rPr>
                <w:rFonts w:hint="default" w:ascii="Times New Roman" w:hAnsi="Times New Roman" w:eastAsia="微软雅黑" w:cs="Times New Roman"/>
                <w:i w:val="0"/>
                <w:iCs w:val="0"/>
                <w:caps w:val="0"/>
                <w:color w:val="494949"/>
                <w:spacing w:val="0"/>
                <w:sz w:val="21"/>
                <w:szCs w:val="21"/>
                <w:bdr w:val="none" w:color="auto" w:sz="0" w:space="0"/>
              </w:rPr>
              <w:t>)</w:t>
            </w:r>
            <w:r>
              <w:rPr>
                <w:rFonts w:hint="default" w:ascii="仿宋_GB2312" w:hAnsi="Times New Roman" w:eastAsia="仿宋_GB2312" w:cs="仿宋_GB2312"/>
                <w:i w:val="0"/>
                <w:iCs w:val="0"/>
                <w:caps w:val="0"/>
                <w:color w:val="494949"/>
                <w:spacing w:val="0"/>
                <w:sz w:val="21"/>
                <w:szCs w:val="21"/>
                <w:bdr w:val="none" w:color="auto" w:sz="0" w:space="0"/>
              </w:rPr>
              <w:t>。</w:t>
            </w:r>
          </w:p>
        </w:tc>
      </w:tr>
    </w:tbl>
    <w:p w14:paraId="25680E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Style w:val="7"/>
          <w:rFonts w:hint="eastAsia" w:ascii="黑体" w:hAnsi="宋体" w:eastAsia="黑体" w:cs="黑体"/>
          <w:b/>
          <w:bCs/>
          <w:i w:val="0"/>
          <w:iCs w:val="0"/>
          <w:caps w:val="0"/>
          <w:color w:val="494949"/>
          <w:spacing w:val="0"/>
          <w:sz w:val="32"/>
          <w:szCs w:val="32"/>
          <w:bdr w:val="none" w:color="auto" w:sz="0" w:space="0"/>
          <w:shd w:val="clear" w:fill="FFFFFF"/>
        </w:rPr>
      </w:pPr>
      <w:bookmarkStart w:id="22" w:name="_Toc20348"/>
      <w:bookmarkEnd w:id="22"/>
    </w:p>
    <w:p w14:paraId="29E224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ind w:left="0" w:right="0" w:firstLine="0"/>
        <w:jc w:val="center"/>
        <w:rPr>
          <w:rFonts w:hint="eastAsia" w:ascii="宋体" w:hAnsi="宋体" w:eastAsia="宋体" w:cs="宋体"/>
          <w:b/>
          <w:bCs/>
          <w:i w:val="0"/>
          <w:iCs w:val="0"/>
          <w:caps w:val="0"/>
          <w:color w:val="494949"/>
          <w:spacing w:val="0"/>
          <w:sz w:val="36"/>
          <w:szCs w:val="36"/>
        </w:rPr>
      </w:pPr>
      <w:r>
        <w:rPr>
          <w:rStyle w:val="7"/>
          <w:rFonts w:hint="eastAsia" w:ascii="黑体" w:hAnsi="宋体" w:eastAsia="黑体" w:cs="黑体"/>
          <w:b/>
          <w:bCs/>
          <w:i w:val="0"/>
          <w:iCs w:val="0"/>
          <w:caps w:val="0"/>
          <w:color w:val="494949"/>
          <w:spacing w:val="0"/>
          <w:sz w:val="32"/>
          <w:szCs w:val="32"/>
          <w:bdr w:val="none" w:color="auto" w:sz="0" w:space="0"/>
          <w:shd w:val="clear" w:fill="FFFFFF"/>
        </w:rPr>
        <w:t>财政拨款“三公”经费支出决算表</w:t>
      </w:r>
    </w:p>
    <w:p w14:paraId="1F4401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840" w:firstLine="420"/>
        <w:jc w:val="both"/>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公开</w:t>
      </w:r>
      <w:r>
        <w:rPr>
          <w:rFonts w:hint="default" w:ascii="Times New Roman" w:hAnsi="Times New Roman" w:eastAsia="微软雅黑" w:cs="Times New Roman"/>
          <w:i w:val="0"/>
          <w:iCs w:val="0"/>
          <w:caps w:val="0"/>
          <w:color w:val="494949"/>
          <w:spacing w:val="0"/>
          <w:sz w:val="21"/>
          <w:szCs w:val="21"/>
          <w:bdr w:val="none" w:color="auto" w:sz="0" w:space="0"/>
          <w:shd w:val="clear" w:fill="FFFFFF"/>
        </w:rPr>
        <w:t>0</w:t>
      </w:r>
      <w:r>
        <w:rPr>
          <w:rFonts w:hint="default" w:ascii="仿宋_GB2312" w:hAnsi="微软雅黑" w:eastAsia="仿宋_GB2312" w:cs="仿宋_GB2312"/>
          <w:i w:val="0"/>
          <w:iCs w:val="0"/>
          <w:caps w:val="0"/>
          <w:color w:val="494949"/>
          <w:spacing w:val="0"/>
          <w:sz w:val="21"/>
          <w:szCs w:val="21"/>
          <w:bdr w:val="none" w:color="auto" w:sz="0" w:space="0"/>
          <w:shd w:val="clear" w:fill="FFFFFF"/>
        </w:rPr>
        <w:t>9表</w:t>
      </w:r>
    </w:p>
    <w:p w14:paraId="5B407B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r>
        <w:rPr>
          <w:rFonts w:hint="default" w:ascii="仿宋_GB2312" w:hAnsi="微软雅黑" w:eastAsia="仿宋_GB2312" w:cs="仿宋_GB2312"/>
          <w:i w:val="0"/>
          <w:iCs w:val="0"/>
          <w:caps w:val="0"/>
          <w:color w:val="494949"/>
          <w:spacing w:val="0"/>
          <w:sz w:val="21"/>
          <w:szCs w:val="21"/>
          <w:bdr w:val="none" w:color="auto" w:sz="0" w:space="0"/>
          <w:shd w:val="clear" w:fill="FFFFFF"/>
        </w:rPr>
        <w:t>编制单位：湖南现代物流职业技术学院              金额单位：万元</w:t>
      </w:r>
    </w:p>
    <w:tbl>
      <w:tblPr>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745"/>
        <w:gridCol w:w="1120"/>
        <w:gridCol w:w="1333"/>
        <w:gridCol w:w="1321"/>
      </w:tblGrid>
      <w:tr w14:paraId="427EC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single" w:color="000000" w:sz="8" w:space="0"/>
              <w:left w:val="single" w:color="000000" w:sz="8" w:space="0"/>
              <w:bottom w:val="single" w:color="000000" w:sz="8" w:space="0"/>
              <w:right w:val="single" w:color="000000" w:sz="8" w:space="0"/>
            </w:tcBorders>
            <w:shd w:val="clear" w:color="auto" w:fill="FFFFFF"/>
            <w:tcMar>
              <w:left w:w="108" w:type="dxa"/>
              <w:right w:w="108" w:type="dxa"/>
            </w:tcMar>
            <w:vAlign w:val="center"/>
          </w:tcPr>
          <w:p w14:paraId="6C6747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000000"/>
                <w:spacing w:val="0"/>
                <w:sz w:val="18"/>
                <w:szCs w:val="18"/>
                <w:bdr w:val="none" w:color="auto" w:sz="0" w:space="0"/>
              </w:rPr>
              <w:t>项  目</w:t>
            </w:r>
          </w:p>
        </w:tc>
        <w:tc>
          <w:tcPr>
            <w:tcW w:w="657"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4A884C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000000"/>
                <w:spacing w:val="0"/>
                <w:sz w:val="18"/>
                <w:szCs w:val="18"/>
                <w:bdr w:val="none" w:color="auto" w:sz="0" w:space="0"/>
              </w:rPr>
              <w:t>行次</w:t>
            </w:r>
          </w:p>
        </w:tc>
        <w:tc>
          <w:tcPr>
            <w:tcW w:w="782"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2D0845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000000"/>
                <w:spacing w:val="0"/>
                <w:sz w:val="18"/>
                <w:szCs w:val="18"/>
                <w:bdr w:val="none" w:color="auto" w:sz="0" w:space="0"/>
              </w:rPr>
              <w:t>预算数</w:t>
            </w:r>
          </w:p>
        </w:tc>
        <w:tc>
          <w:tcPr>
            <w:tcW w:w="775" w:type="pct"/>
            <w:tcBorders>
              <w:top w:val="single" w:color="000000" w:sz="8" w:space="0"/>
              <w:left w:val="nil"/>
              <w:bottom w:val="single" w:color="000000" w:sz="8" w:space="0"/>
              <w:right w:val="single" w:color="000000" w:sz="8" w:space="0"/>
            </w:tcBorders>
            <w:shd w:val="clear" w:color="auto" w:fill="FFFFFF"/>
            <w:tcMar>
              <w:left w:w="108" w:type="dxa"/>
              <w:right w:w="108" w:type="dxa"/>
            </w:tcMar>
            <w:vAlign w:val="center"/>
          </w:tcPr>
          <w:p w14:paraId="4A6DA4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000000"/>
                <w:spacing w:val="0"/>
                <w:sz w:val="18"/>
                <w:szCs w:val="18"/>
                <w:bdr w:val="none" w:color="auto" w:sz="0" w:space="0"/>
              </w:rPr>
              <w:t>统计数</w:t>
            </w:r>
          </w:p>
        </w:tc>
      </w:tr>
      <w:tr w14:paraId="76C2D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6225D0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栏  次</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6C304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微软雅黑" w:hAnsi="微软雅黑" w:eastAsia="微软雅黑" w:cs="微软雅黑"/>
                <w:i w:val="0"/>
                <w:iCs w:val="0"/>
                <w:caps w:val="0"/>
                <w:color w:val="494949"/>
                <w:spacing w:val="0"/>
                <w:sz w:val="22"/>
                <w:szCs w:val="22"/>
                <w:bdr w:val="none" w:color="auto" w:sz="0" w:space="0"/>
              </w:rPr>
              <w:t>　</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7DC04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1</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57FCC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2</w:t>
            </w:r>
          </w:p>
        </w:tc>
      </w:tr>
      <w:tr w14:paraId="52EFC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08B764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一、“三公”经费支出</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808F6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E936F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FC60F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r>
      <w:tr w14:paraId="2F8CE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606FD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（一）支出合计</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42087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FFC2B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20.00</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99651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5.68</w:t>
            </w:r>
          </w:p>
        </w:tc>
      </w:tr>
      <w:tr w14:paraId="40C0E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B57A5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1．因公出国（境）费</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81442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3</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142EE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BD509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r>
      <w:tr w14:paraId="3BE55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7CB97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2．公务用车购置及运行维护费</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2EE0F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4</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B1A6A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5.00</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A0AC8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2"/>
                <w:szCs w:val="22"/>
                <w:bdr w:val="none" w:color="auto" w:sz="0" w:space="0"/>
              </w:rPr>
              <w:t>4.95</w:t>
            </w:r>
          </w:p>
        </w:tc>
      </w:tr>
      <w:tr w14:paraId="011BC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E969B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（1）公务用车购置费</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C06B6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5</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362D5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0.00</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7AC5D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494949"/>
                <w:spacing w:val="0"/>
                <w:sz w:val="22"/>
                <w:szCs w:val="22"/>
                <w:bdr w:val="none" w:color="auto" w:sz="0" w:space="0"/>
              </w:rPr>
              <w:t>0.00</w:t>
            </w:r>
          </w:p>
        </w:tc>
      </w:tr>
      <w:tr w14:paraId="24171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E82F9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（2）公务用车运行维护费</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F6DD6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6</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4C90B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5.00</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B20EA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4.95</w:t>
            </w:r>
          </w:p>
        </w:tc>
      </w:tr>
      <w:tr w14:paraId="34468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0C0EA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3．公务接待费</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CA391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7</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C3338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15.00</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CC218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0.73</w:t>
            </w:r>
          </w:p>
        </w:tc>
      </w:tr>
      <w:tr w14:paraId="07CFA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4381F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（1）国内接待费</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D3525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8</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20917B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6EB05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textAlignment w:val="center"/>
            </w:pPr>
            <w:r>
              <w:rPr>
                <w:rFonts w:hint="eastAsia" w:ascii="宋体" w:hAnsi="宋体" w:eastAsia="宋体" w:cs="宋体"/>
                <w:i w:val="0"/>
                <w:iCs w:val="0"/>
                <w:caps w:val="0"/>
                <w:color w:val="000000"/>
                <w:spacing w:val="0"/>
                <w:sz w:val="22"/>
                <w:szCs w:val="22"/>
                <w:bdr w:val="none" w:color="auto" w:sz="0" w:space="0"/>
              </w:rPr>
              <w:t>0.73</w:t>
            </w:r>
          </w:p>
        </w:tc>
      </w:tr>
      <w:tr w14:paraId="72A62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26593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其中：外事接待费</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D9E7F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9</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8A94C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8A9E7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2"/>
                <w:szCs w:val="22"/>
                <w:bdr w:val="none" w:color="auto" w:sz="0" w:space="0"/>
              </w:rPr>
              <w:t>0.00</w:t>
            </w:r>
          </w:p>
        </w:tc>
      </w:tr>
      <w:tr w14:paraId="75A09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F6ED0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（2）国（境）外接待费</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36A47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10</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2F7A3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6C30C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宋体" w:hAnsi="宋体" w:eastAsia="宋体" w:cs="宋体"/>
                <w:i w:val="0"/>
                <w:iCs w:val="0"/>
                <w:caps w:val="0"/>
                <w:color w:val="494949"/>
                <w:spacing w:val="0"/>
                <w:sz w:val="22"/>
                <w:szCs w:val="22"/>
                <w:bdr w:val="none" w:color="auto" w:sz="0" w:space="0"/>
              </w:rPr>
              <w:t>0.00</w:t>
            </w:r>
          </w:p>
        </w:tc>
      </w:tr>
      <w:tr w14:paraId="36F27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9D0A2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（二）相关统计数</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777D1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11</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DBCBF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C0ACC84">
            <w:pPr>
              <w:rPr>
                <w:rFonts w:hint="eastAsia" w:ascii="微软雅黑" w:hAnsi="微软雅黑" w:eastAsia="微软雅黑" w:cs="微软雅黑"/>
                <w:i w:val="0"/>
                <w:iCs w:val="0"/>
                <w:caps w:val="0"/>
                <w:color w:val="494949"/>
                <w:spacing w:val="0"/>
                <w:sz w:val="22"/>
                <w:szCs w:val="22"/>
              </w:rPr>
            </w:pPr>
          </w:p>
        </w:tc>
      </w:tr>
      <w:tr w14:paraId="128A3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BF079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1．因公出国（境）团组数（个）</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48136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12</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A18E7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886B384">
            <w:pPr>
              <w:rPr>
                <w:rFonts w:hint="eastAsia" w:ascii="微软雅黑" w:hAnsi="微软雅黑" w:eastAsia="微软雅黑" w:cs="微软雅黑"/>
                <w:i w:val="0"/>
                <w:iCs w:val="0"/>
                <w:caps w:val="0"/>
                <w:color w:val="494949"/>
                <w:spacing w:val="0"/>
                <w:sz w:val="22"/>
                <w:szCs w:val="22"/>
              </w:rPr>
            </w:pPr>
          </w:p>
        </w:tc>
      </w:tr>
      <w:tr w14:paraId="79CE6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60410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2．因公出国（境）人次数（人）</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35513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13</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FAA2E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4139E76">
            <w:pPr>
              <w:rPr>
                <w:rFonts w:hint="eastAsia" w:ascii="微软雅黑" w:hAnsi="微软雅黑" w:eastAsia="微软雅黑" w:cs="微软雅黑"/>
                <w:i w:val="0"/>
                <w:iCs w:val="0"/>
                <w:caps w:val="0"/>
                <w:color w:val="494949"/>
                <w:spacing w:val="0"/>
                <w:sz w:val="22"/>
                <w:szCs w:val="22"/>
              </w:rPr>
            </w:pPr>
          </w:p>
        </w:tc>
      </w:tr>
      <w:tr w14:paraId="0BD04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96195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3．公务用车购置数（辆）</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106FF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14</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35AA1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1A11FCD">
            <w:pPr>
              <w:rPr>
                <w:rFonts w:hint="eastAsia" w:ascii="微软雅黑" w:hAnsi="微软雅黑" w:eastAsia="微软雅黑" w:cs="微软雅黑"/>
                <w:i w:val="0"/>
                <w:iCs w:val="0"/>
                <w:caps w:val="0"/>
                <w:color w:val="494949"/>
                <w:spacing w:val="0"/>
                <w:sz w:val="22"/>
                <w:szCs w:val="22"/>
              </w:rPr>
            </w:pPr>
          </w:p>
        </w:tc>
      </w:tr>
      <w:tr w14:paraId="1699F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7C2B05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4．公务用车保有量（辆）</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97743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15</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1ECE9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7A094BAB">
            <w:pPr>
              <w:rPr>
                <w:rFonts w:hint="eastAsia" w:ascii="微软雅黑" w:hAnsi="微软雅黑" w:eastAsia="微软雅黑" w:cs="微软雅黑"/>
                <w:i w:val="0"/>
                <w:iCs w:val="0"/>
                <w:caps w:val="0"/>
                <w:color w:val="494949"/>
                <w:spacing w:val="0"/>
                <w:sz w:val="22"/>
                <w:szCs w:val="22"/>
              </w:rPr>
            </w:pPr>
          </w:p>
        </w:tc>
      </w:tr>
      <w:tr w14:paraId="23765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40C08A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5．国内公务接待批次（个）</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586F9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16</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B7E06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5A66357">
            <w:pPr>
              <w:rPr>
                <w:rFonts w:hint="eastAsia" w:ascii="微软雅黑" w:hAnsi="微软雅黑" w:eastAsia="微软雅黑" w:cs="微软雅黑"/>
                <w:i w:val="0"/>
                <w:iCs w:val="0"/>
                <w:caps w:val="0"/>
                <w:color w:val="494949"/>
                <w:spacing w:val="0"/>
                <w:sz w:val="22"/>
                <w:szCs w:val="22"/>
              </w:rPr>
            </w:pPr>
          </w:p>
        </w:tc>
      </w:tr>
      <w:tr w14:paraId="10800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903DE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其中：外事接待批次（个）</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A1235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17</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0CA6D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2376710">
            <w:pPr>
              <w:rPr>
                <w:rFonts w:hint="eastAsia" w:ascii="微软雅黑" w:hAnsi="微软雅黑" w:eastAsia="微软雅黑" w:cs="微软雅黑"/>
                <w:i w:val="0"/>
                <w:iCs w:val="0"/>
                <w:caps w:val="0"/>
                <w:color w:val="494949"/>
                <w:spacing w:val="0"/>
                <w:sz w:val="22"/>
                <w:szCs w:val="22"/>
              </w:rPr>
            </w:pPr>
          </w:p>
        </w:tc>
      </w:tr>
      <w:tr w14:paraId="286A2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3E80B0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6．国内公务接待人次（人）</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62FD28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18</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8B90B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A03369B">
            <w:pPr>
              <w:rPr>
                <w:rFonts w:hint="eastAsia" w:ascii="微软雅黑" w:hAnsi="微软雅黑" w:eastAsia="微软雅黑" w:cs="微软雅黑"/>
                <w:i w:val="0"/>
                <w:iCs w:val="0"/>
                <w:caps w:val="0"/>
                <w:color w:val="494949"/>
                <w:spacing w:val="0"/>
                <w:sz w:val="22"/>
                <w:szCs w:val="22"/>
              </w:rPr>
            </w:pPr>
          </w:p>
        </w:tc>
      </w:tr>
      <w:tr w14:paraId="21251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2C8781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其中：外事接待人次（人）</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0947A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19</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4249BB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1D313F39">
            <w:pPr>
              <w:rPr>
                <w:rFonts w:hint="eastAsia" w:ascii="微软雅黑" w:hAnsi="微软雅黑" w:eastAsia="微软雅黑" w:cs="微软雅黑"/>
                <w:i w:val="0"/>
                <w:iCs w:val="0"/>
                <w:caps w:val="0"/>
                <w:color w:val="494949"/>
                <w:spacing w:val="0"/>
                <w:sz w:val="22"/>
                <w:szCs w:val="22"/>
              </w:rPr>
            </w:pPr>
          </w:p>
        </w:tc>
      </w:tr>
      <w:tr w14:paraId="12E18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5BCAAA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7．国（境）外公务接待批次（个）</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800EC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20</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038A3F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0C31BFA">
            <w:pPr>
              <w:rPr>
                <w:rFonts w:hint="eastAsia" w:ascii="微软雅黑" w:hAnsi="微软雅黑" w:eastAsia="微软雅黑" w:cs="微软雅黑"/>
                <w:i w:val="0"/>
                <w:iCs w:val="0"/>
                <w:caps w:val="0"/>
                <w:color w:val="494949"/>
                <w:spacing w:val="0"/>
                <w:sz w:val="22"/>
                <w:szCs w:val="22"/>
              </w:rPr>
            </w:pPr>
          </w:p>
        </w:tc>
      </w:tr>
      <w:tr w14:paraId="55C7F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0" w:hRule="atLeast"/>
          <w:jc w:val="center"/>
        </w:trPr>
        <w:tc>
          <w:tcPr>
            <w:tcW w:w="2784" w:type="pct"/>
            <w:tcBorders>
              <w:top w:val="nil"/>
              <w:left w:val="single" w:color="000000" w:sz="8" w:space="0"/>
              <w:bottom w:val="single" w:color="000000" w:sz="8" w:space="0"/>
              <w:right w:val="single" w:color="000000" w:sz="8" w:space="0"/>
            </w:tcBorders>
            <w:shd w:val="clear" w:color="auto" w:fill="FFFFFF"/>
            <w:tcMar>
              <w:left w:w="108" w:type="dxa"/>
              <w:right w:w="108" w:type="dxa"/>
            </w:tcMar>
            <w:vAlign w:val="center"/>
          </w:tcPr>
          <w:p w14:paraId="184847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eastAsia" w:ascii="仿宋" w:hAnsi="仿宋" w:eastAsia="仿宋" w:cs="仿宋"/>
                <w:i w:val="0"/>
                <w:iCs w:val="0"/>
                <w:caps w:val="0"/>
                <w:color w:val="000000"/>
                <w:spacing w:val="0"/>
                <w:sz w:val="21"/>
                <w:szCs w:val="21"/>
                <w:bdr w:val="none" w:color="auto" w:sz="0" w:space="0"/>
              </w:rPr>
              <w:t>    8．国（境）外公务接待人次（人）</w:t>
            </w:r>
          </w:p>
        </w:tc>
        <w:tc>
          <w:tcPr>
            <w:tcW w:w="657"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5FD4E3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21</w:t>
            </w:r>
          </w:p>
        </w:tc>
        <w:tc>
          <w:tcPr>
            <w:tcW w:w="782"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2EF19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firstLine="420"/>
              <w:jc w:val="center"/>
            </w:pPr>
            <w:r>
              <w:rPr>
                <w:rFonts w:hint="default" w:ascii="仿宋_GB2312" w:hAnsi="微软雅黑" w:eastAsia="仿宋_GB2312" w:cs="仿宋_GB2312"/>
                <w:i w:val="0"/>
                <w:iCs w:val="0"/>
                <w:caps w:val="0"/>
                <w:color w:val="494949"/>
                <w:spacing w:val="0"/>
                <w:sz w:val="21"/>
                <w:szCs w:val="21"/>
                <w:bdr w:val="none" w:color="auto" w:sz="0" w:space="0"/>
              </w:rPr>
              <w:t>—</w:t>
            </w:r>
          </w:p>
        </w:tc>
        <w:tc>
          <w:tcPr>
            <w:tcW w:w="775" w:type="pct"/>
            <w:tcBorders>
              <w:top w:val="nil"/>
              <w:left w:val="nil"/>
              <w:bottom w:val="single" w:color="000000" w:sz="8" w:space="0"/>
              <w:right w:val="single" w:color="000000" w:sz="8" w:space="0"/>
            </w:tcBorders>
            <w:shd w:val="clear" w:color="auto" w:fill="FFFFFF"/>
            <w:tcMar>
              <w:left w:w="108" w:type="dxa"/>
              <w:right w:w="108" w:type="dxa"/>
            </w:tcMar>
            <w:vAlign w:val="center"/>
          </w:tcPr>
          <w:p w14:paraId="3DE98105">
            <w:pPr>
              <w:rPr>
                <w:rFonts w:hint="eastAsia" w:ascii="微软雅黑" w:hAnsi="微软雅黑" w:eastAsia="微软雅黑" w:cs="微软雅黑"/>
                <w:i w:val="0"/>
                <w:iCs w:val="0"/>
                <w:caps w:val="0"/>
                <w:color w:val="494949"/>
                <w:spacing w:val="0"/>
                <w:sz w:val="22"/>
                <w:szCs w:val="22"/>
              </w:rPr>
            </w:pPr>
          </w:p>
        </w:tc>
      </w:tr>
    </w:tbl>
    <w:p w14:paraId="7C89DB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left"/>
        <w:rPr>
          <w:rFonts w:hint="eastAsia" w:ascii="微软雅黑" w:hAnsi="微软雅黑" w:eastAsia="微软雅黑" w:cs="微软雅黑"/>
          <w:i w:val="0"/>
          <w:iCs w:val="0"/>
          <w:caps w:val="0"/>
          <w:color w:val="494949"/>
          <w:spacing w:val="0"/>
          <w:sz w:val="22"/>
          <w:szCs w:val="22"/>
        </w:rPr>
      </w:pPr>
      <w:r>
        <w:rPr>
          <w:rFonts w:hint="eastAsia" w:ascii="仿宋" w:hAnsi="仿宋" w:eastAsia="仿宋" w:cs="仿宋"/>
          <w:i w:val="0"/>
          <w:iCs w:val="0"/>
          <w:caps w:val="0"/>
          <w:color w:val="000000"/>
          <w:spacing w:val="0"/>
          <w:sz w:val="21"/>
          <w:szCs w:val="21"/>
          <w:bdr w:val="none" w:color="auto" w:sz="0" w:space="0"/>
          <w:shd w:val="clear" w:fill="FFFFFF"/>
        </w:rPr>
        <w:t>注：本表反映部门本年度“三公”经费支出预决算情况。</w:t>
      </w:r>
    </w:p>
    <w:p w14:paraId="750B24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499D9F7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4719E1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61E1374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0DEC656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4E7B2B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2B31F1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3DA332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73241DE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5022C0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420"/>
        <w:jc w:val="both"/>
        <w:rPr>
          <w:rFonts w:hint="eastAsia" w:ascii="微软雅黑" w:hAnsi="微软雅黑" w:eastAsia="微软雅黑" w:cs="微软雅黑"/>
          <w:i w:val="0"/>
          <w:iCs w:val="0"/>
          <w:caps w:val="0"/>
          <w:color w:val="494949"/>
          <w:spacing w:val="0"/>
          <w:sz w:val="22"/>
          <w:szCs w:val="22"/>
        </w:rPr>
      </w:pPr>
    </w:p>
    <w:p w14:paraId="7BF6F6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660" w:lineRule="atLeast"/>
        <w:ind w:left="0" w:right="0" w:firstLine="0"/>
        <w:jc w:val="center"/>
        <w:rPr>
          <w:rFonts w:hint="default" w:ascii="Calibri" w:hAnsi="Calibri" w:cs="Calibri"/>
          <w:b/>
          <w:bCs/>
          <w:i w:val="0"/>
          <w:iCs w:val="0"/>
          <w:caps w:val="0"/>
          <w:color w:val="494949"/>
          <w:spacing w:val="0"/>
          <w:sz w:val="44"/>
          <w:szCs w:val="44"/>
        </w:rPr>
      </w:pPr>
      <w:bookmarkStart w:id="23" w:name="_Toc16390"/>
      <w:bookmarkEnd w:id="23"/>
      <w:bookmarkStart w:id="24" w:name="_Toc1976"/>
      <w:bookmarkEnd w:id="24"/>
      <w:r>
        <w:rPr>
          <w:rStyle w:val="7"/>
          <w:rFonts w:hint="eastAsia" w:ascii="黑体" w:hAnsi="宋体" w:eastAsia="黑体" w:cs="黑体"/>
          <w:b/>
          <w:bCs/>
          <w:i w:val="0"/>
          <w:iCs w:val="0"/>
          <w:caps w:val="0"/>
          <w:color w:val="494949"/>
          <w:spacing w:val="0"/>
          <w:sz w:val="32"/>
          <w:szCs w:val="32"/>
          <w:bdr w:val="none" w:color="auto" w:sz="0" w:space="0"/>
          <w:shd w:val="clear" w:fill="FFFFFF"/>
        </w:rPr>
        <w:t>第三部分</w:t>
      </w:r>
    </w:p>
    <w:p w14:paraId="23D9C2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660" w:lineRule="atLeast"/>
        <w:ind w:left="0" w:right="0" w:firstLine="0"/>
        <w:jc w:val="center"/>
        <w:rPr>
          <w:rFonts w:hint="default" w:ascii="Calibri" w:hAnsi="Calibri" w:cs="Calibri"/>
          <w:b/>
          <w:bCs/>
          <w:i w:val="0"/>
          <w:iCs w:val="0"/>
          <w:caps w:val="0"/>
          <w:color w:val="494949"/>
          <w:spacing w:val="0"/>
          <w:sz w:val="44"/>
          <w:szCs w:val="44"/>
        </w:rPr>
      </w:pPr>
      <w:bookmarkStart w:id="25" w:name="_Toc23881"/>
      <w:bookmarkEnd w:id="25"/>
      <w:bookmarkStart w:id="26" w:name="_Toc14817"/>
      <w:bookmarkEnd w:id="26"/>
      <w:r>
        <w:rPr>
          <w:rStyle w:val="7"/>
          <w:rFonts w:hint="eastAsia" w:ascii="黑体" w:hAnsi="宋体" w:eastAsia="黑体" w:cs="黑体"/>
          <w:b/>
          <w:bCs/>
          <w:i w:val="0"/>
          <w:iCs w:val="0"/>
          <w:caps w:val="0"/>
          <w:color w:val="494949"/>
          <w:spacing w:val="0"/>
          <w:sz w:val="32"/>
          <w:szCs w:val="32"/>
          <w:bdr w:val="none" w:color="auto" w:sz="0" w:space="0"/>
          <w:shd w:val="clear" w:fill="FFFFFF"/>
        </w:rPr>
        <w:t>湖南现代物流职业技术学院2022年度部门决算情况说明</w:t>
      </w:r>
    </w:p>
    <w:p w14:paraId="7794651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27" w:name="_Toc16573"/>
      <w:bookmarkEnd w:id="27"/>
      <w:bookmarkStart w:id="28" w:name="_Toc12983"/>
      <w:bookmarkEnd w:id="28"/>
      <w:r>
        <w:rPr>
          <w:rStyle w:val="7"/>
          <w:rFonts w:hint="eastAsia" w:ascii="黑体" w:hAnsi="宋体" w:eastAsia="黑体" w:cs="黑体"/>
          <w:b/>
          <w:bCs/>
          <w:i w:val="0"/>
          <w:iCs w:val="0"/>
          <w:caps w:val="0"/>
          <w:color w:val="494949"/>
          <w:spacing w:val="0"/>
          <w:sz w:val="28"/>
          <w:szCs w:val="28"/>
          <w:bdr w:val="none" w:color="auto" w:sz="0" w:space="0"/>
          <w:shd w:val="clear" w:fill="FFFFFF"/>
        </w:rPr>
        <w:t>一、收入支出决算总体情况</w:t>
      </w:r>
    </w:p>
    <w:p w14:paraId="7C055E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2022年度收、支总计17137.64万元，与上年相比，减少2556.77万元，减少12.98%。主要是因为课题经费相对减少、湖南省物流人才培养基地提质培优建设经费减少等原因所致。</w:t>
      </w:r>
    </w:p>
    <w:p w14:paraId="7BEA08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29" w:name="_Toc1102"/>
      <w:bookmarkEnd w:id="29"/>
      <w:bookmarkStart w:id="30" w:name="_Toc30392"/>
      <w:bookmarkEnd w:id="30"/>
      <w:r>
        <w:rPr>
          <w:rStyle w:val="7"/>
          <w:rFonts w:hint="eastAsia" w:ascii="黑体" w:hAnsi="宋体" w:eastAsia="黑体" w:cs="黑体"/>
          <w:b/>
          <w:bCs/>
          <w:i w:val="0"/>
          <w:iCs w:val="0"/>
          <w:caps w:val="0"/>
          <w:color w:val="494949"/>
          <w:spacing w:val="0"/>
          <w:sz w:val="28"/>
          <w:szCs w:val="28"/>
          <w:bdr w:val="none" w:color="auto" w:sz="0" w:space="0"/>
          <w:shd w:val="clear" w:fill="FFFFFF"/>
        </w:rPr>
        <w:t>二、收入决算情况说明</w:t>
      </w:r>
    </w:p>
    <w:p w14:paraId="1807ABC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2022年收入合计14198.62万元，其中：财政拨款收入9992.2万元，占比70.37%；上级补助收入0万元，占比0%；事业收入4067.93万元，占比28.65%；经营收入0万元，占比0%；附属单位上缴0万元，占比0%；其他收入138.49万元，占比0.98%。</w:t>
      </w:r>
    </w:p>
    <w:p w14:paraId="39A6605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31" w:name="_Toc18886"/>
      <w:bookmarkEnd w:id="31"/>
      <w:bookmarkStart w:id="32" w:name="_Toc20701"/>
      <w:bookmarkEnd w:id="32"/>
      <w:r>
        <w:rPr>
          <w:rStyle w:val="7"/>
          <w:rFonts w:hint="eastAsia" w:ascii="黑体" w:hAnsi="宋体" w:eastAsia="黑体" w:cs="黑体"/>
          <w:b/>
          <w:bCs/>
          <w:i w:val="0"/>
          <w:iCs w:val="0"/>
          <w:caps w:val="0"/>
          <w:color w:val="494949"/>
          <w:spacing w:val="0"/>
          <w:sz w:val="28"/>
          <w:szCs w:val="28"/>
          <w:bdr w:val="none" w:color="auto" w:sz="0" w:space="0"/>
          <w:shd w:val="clear" w:fill="FFFFFF"/>
        </w:rPr>
        <w:t>三、支出决算情况说明</w:t>
      </w:r>
    </w:p>
    <w:p w14:paraId="4F80938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2022年支出合计15251.18万元，其中：基本支出9743.73万元，占比63.89%；项目支出550.44万元，占比36.11%；上缴上级支出0万元，占比0%；经营支出0万元，占比0%；附属单位补助支出0万元，占比0%。</w:t>
      </w:r>
    </w:p>
    <w:p w14:paraId="5C904A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33" w:name="_Toc1623"/>
      <w:bookmarkEnd w:id="33"/>
      <w:bookmarkStart w:id="34" w:name="_Toc28568"/>
      <w:bookmarkEnd w:id="34"/>
      <w:r>
        <w:rPr>
          <w:rStyle w:val="7"/>
          <w:rFonts w:hint="eastAsia" w:ascii="黑体" w:hAnsi="宋体" w:eastAsia="黑体" w:cs="黑体"/>
          <w:b/>
          <w:bCs/>
          <w:i w:val="0"/>
          <w:iCs w:val="0"/>
          <w:caps w:val="0"/>
          <w:color w:val="494949"/>
          <w:spacing w:val="0"/>
          <w:sz w:val="28"/>
          <w:szCs w:val="28"/>
          <w:bdr w:val="none" w:color="auto" w:sz="0" w:space="0"/>
          <w:shd w:val="clear" w:fill="FFFFFF"/>
        </w:rPr>
        <w:t>四、财政拨款收入支出决算总体情况说明</w:t>
      </w:r>
    </w:p>
    <w:p w14:paraId="5C9584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2022年财政拨款收、支总计12931.22万元，与上年相比，增加95.41万元，增长0.74%。主要是因为学生公寓建设等项目支出增加所致。</w:t>
      </w:r>
    </w:p>
    <w:p w14:paraId="5182A0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35" w:name="_Toc12713"/>
      <w:bookmarkEnd w:id="35"/>
      <w:bookmarkStart w:id="36" w:name="_Toc27805"/>
      <w:bookmarkEnd w:id="36"/>
      <w:r>
        <w:rPr>
          <w:rStyle w:val="7"/>
          <w:rFonts w:hint="eastAsia" w:ascii="黑体" w:hAnsi="宋体" w:eastAsia="黑体" w:cs="黑体"/>
          <w:b/>
          <w:bCs/>
          <w:i w:val="0"/>
          <w:iCs w:val="0"/>
          <w:caps w:val="0"/>
          <w:color w:val="494949"/>
          <w:spacing w:val="0"/>
          <w:sz w:val="28"/>
          <w:szCs w:val="28"/>
          <w:bdr w:val="none" w:color="auto" w:sz="0" w:space="0"/>
          <w:shd w:val="clear" w:fill="FFFFFF"/>
        </w:rPr>
        <w:t>五、一般公共预算财政拨款支出决算情况说明</w:t>
      </w:r>
    </w:p>
    <w:p w14:paraId="2FDB40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2"/>
        <w:jc w:val="both"/>
        <w:rPr>
          <w:rFonts w:hint="eastAsia" w:ascii="微软雅黑" w:hAnsi="微软雅黑" w:eastAsia="微软雅黑" w:cs="微软雅黑"/>
          <w:i w:val="0"/>
          <w:iCs w:val="0"/>
          <w:caps w:val="0"/>
          <w:color w:val="494949"/>
          <w:spacing w:val="0"/>
          <w:sz w:val="22"/>
          <w:szCs w:val="22"/>
        </w:rPr>
      </w:pPr>
      <w:r>
        <w:rPr>
          <w:rStyle w:val="7"/>
          <w:rFonts w:hint="eastAsia" w:ascii="宋体" w:hAnsi="宋体" w:eastAsia="宋体" w:cs="宋体"/>
          <w:b/>
          <w:bCs/>
          <w:i w:val="0"/>
          <w:iCs w:val="0"/>
          <w:caps w:val="0"/>
          <w:color w:val="494949"/>
          <w:spacing w:val="0"/>
          <w:sz w:val="28"/>
          <w:szCs w:val="28"/>
          <w:bdr w:val="none" w:color="auto" w:sz="0" w:space="0"/>
          <w:shd w:val="clear" w:fill="FFFFFF"/>
        </w:rPr>
        <w:t>（一）财政拨款支出决算总体情况</w:t>
      </w:r>
    </w:p>
    <w:p w14:paraId="64B416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2022年度财政拨款支出11136.01万元，占本年支出合计的73.02%，与上年相比，财政拨款支出增加1312.51万元，增长13.36%，财政拨款支出增加的主要是因为是一般公共服务支出增加所致，因此2022年财政拨款支出较2021年有所增加。</w:t>
      </w:r>
    </w:p>
    <w:p w14:paraId="21DD9AE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2"/>
        <w:jc w:val="both"/>
        <w:rPr>
          <w:rFonts w:hint="eastAsia" w:ascii="微软雅黑" w:hAnsi="微软雅黑" w:eastAsia="微软雅黑" w:cs="微软雅黑"/>
          <w:i w:val="0"/>
          <w:iCs w:val="0"/>
          <w:caps w:val="0"/>
          <w:color w:val="494949"/>
          <w:spacing w:val="0"/>
          <w:sz w:val="22"/>
          <w:szCs w:val="22"/>
        </w:rPr>
      </w:pPr>
      <w:r>
        <w:rPr>
          <w:rStyle w:val="7"/>
          <w:rFonts w:hint="eastAsia" w:ascii="宋体" w:hAnsi="宋体" w:eastAsia="宋体" w:cs="宋体"/>
          <w:b/>
          <w:bCs/>
          <w:i w:val="0"/>
          <w:iCs w:val="0"/>
          <w:caps w:val="0"/>
          <w:color w:val="494949"/>
          <w:spacing w:val="0"/>
          <w:sz w:val="28"/>
          <w:szCs w:val="28"/>
          <w:bdr w:val="none" w:color="auto" w:sz="0" w:space="0"/>
          <w:shd w:val="clear" w:fill="FFFFFF"/>
        </w:rPr>
        <w:t>（二）财政拨款支出决算结构情况</w:t>
      </w:r>
    </w:p>
    <w:p w14:paraId="0636AC6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2022年度财政拨款支出11136.01万元，主要用于以下方面：一般公共服务（类）支出196.8万元，占1.77%；教育（类）支出9242.06万元，占82.99%；科学技术支出4.00万元，占0.04%；社会保障和就业支出1208.65万元，占10.85%；卫生健康支出54万元，占0.48%；住房保障支出430.5万元，占3.87%。</w:t>
      </w:r>
    </w:p>
    <w:p w14:paraId="616335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2"/>
        <w:jc w:val="both"/>
        <w:rPr>
          <w:rFonts w:hint="eastAsia" w:ascii="微软雅黑" w:hAnsi="微软雅黑" w:eastAsia="微软雅黑" w:cs="微软雅黑"/>
          <w:i w:val="0"/>
          <w:iCs w:val="0"/>
          <w:caps w:val="0"/>
          <w:color w:val="494949"/>
          <w:spacing w:val="0"/>
          <w:sz w:val="22"/>
          <w:szCs w:val="22"/>
        </w:rPr>
      </w:pPr>
      <w:r>
        <w:rPr>
          <w:rStyle w:val="7"/>
          <w:rFonts w:hint="eastAsia" w:ascii="宋体" w:hAnsi="宋体" w:eastAsia="宋体" w:cs="宋体"/>
          <w:b/>
          <w:bCs/>
          <w:i w:val="0"/>
          <w:iCs w:val="0"/>
          <w:caps w:val="0"/>
          <w:color w:val="494949"/>
          <w:spacing w:val="0"/>
          <w:sz w:val="28"/>
          <w:szCs w:val="28"/>
          <w:bdr w:val="none" w:color="auto" w:sz="0" w:space="0"/>
          <w:shd w:val="clear" w:fill="FFFFFF"/>
        </w:rPr>
        <w:t>（三）财政拨款支出决算具体情况</w:t>
      </w:r>
    </w:p>
    <w:p w14:paraId="403E5DA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2022年度财政拨款支出年初预算数为10230.23万元，支出决算数为11136.01万元，完成年初预算数的100%，其中：</w:t>
      </w:r>
    </w:p>
    <w:p w14:paraId="4C591EE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1、一般公共服务支出</w:t>
      </w:r>
    </w:p>
    <w:p w14:paraId="7A6883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年初预算数为0万元，支出决算数为196.8万元，</w:t>
      </w:r>
      <w:r>
        <w:rPr>
          <w:rFonts w:hint="default" w:ascii="仿宋_GB2312" w:hAnsi="微软雅黑" w:eastAsia="仿宋_GB2312" w:cs="仿宋_GB2312"/>
          <w:i w:val="0"/>
          <w:iCs w:val="0"/>
          <w:caps w:val="0"/>
          <w:color w:val="000000"/>
          <w:spacing w:val="0"/>
          <w:sz w:val="32"/>
          <w:szCs w:val="32"/>
          <w:bdr w:val="none" w:color="auto" w:sz="0" w:space="0"/>
          <w:shd w:val="clear" w:fill="FFFFFF"/>
        </w:rPr>
        <w:t>完</w:t>
      </w:r>
      <w:r>
        <w:rPr>
          <w:rFonts w:hint="eastAsia" w:ascii="宋体" w:hAnsi="宋体" w:eastAsia="宋体" w:cs="宋体"/>
          <w:i w:val="0"/>
          <w:iCs w:val="0"/>
          <w:caps w:val="0"/>
          <w:color w:val="494949"/>
          <w:spacing w:val="0"/>
          <w:sz w:val="28"/>
          <w:szCs w:val="28"/>
          <w:bdr w:val="none" w:color="auto" w:sz="0" w:space="0"/>
          <w:shd w:val="clear" w:fill="FFFFFF"/>
        </w:rPr>
        <w:t>成年初预算的100%，决算数大于预算数的主要原因是：未列入年初财政拨款预算，而是按照规定调剂使用以前年度财政拨款结余结转资金及年中追加预算资金解决。</w:t>
      </w:r>
    </w:p>
    <w:p w14:paraId="145C98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2、教育支出</w:t>
      </w:r>
    </w:p>
    <w:p w14:paraId="7F681F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年初预算数为8532.55万元，支出决算数为9242.06万元，</w:t>
      </w:r>
      <w:r>
        <w:rPr>
          <w:rFonts w:hint="default" w:ascii="仿宋_GB2312" w:hAnsi="微软雅黑" w:eastAsia="仿宋_GB2312" w:cs="仿宋_GB2312"/>
          <w:i w:val="0"/>
          <w:iCs w:val="0"/>
          <w:caps w:val="0"/>
          <w:color w:val="000000"/>
          <w:spacing w:val="0"/>
          <w:sz w:val="32"/>
          <w:szCs w:val="32"/>
          <w:bdr w:val="none" w:color="auto" w:sz="0" w:space="0"/>
          <w:shd w:val="clear" w:fill="FFFFFF"/>
        </w:rPr>
        <w:t>完</w:t>
      </w:r>
      <w:r>
        <w:rPr>
          <w:rFonts w:hint="eastAsia" w:ascii="宋体" w:hAnsi="宋体" w:eastAsia="宋体" w:cs="宋体"/>
          <w:i w:val="0"/>
          <w:iCs w:val="0"/>
          <w:caps w:val="0"/>
          <w:color w:val="494949"/>
          <w:spacing w:val="0"/>
          <w:sz w:val="28"/>
          <w:szCs w:val="28"/>
          <w:bdr w:val="none" w:color="auto" w:sz="0" w:space="0"/>
          <w:shd w:val="clear" w:fill="FFFFFF"/>
        </w:rPr>
        <w:t>成年初预算的100%，决算数大于预算数的主要原因是：年中追加项目资金没在年初预算中体现。</w:t>
      </w:r>
    </w:p>
    <w:p w14:paraId="00B7DF2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3、科学技术支出</w:t>
      </w:r>
    </w:p>
    <w:p w14:paraId="3ED4FFC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年初预算数为4.00万元，支出决算数为4.00万元，</w:t>
      </w:r>
      <w:r>
        <w:rPr>
          <w:rFonts w:hint="default" w:ascii="仿宋_GB2312" w:hAnsi="微软雅黑" w:eastAsia="仿宋_GB2312" w:cs="仿宋_GB2312"/>
          <w:i w:val="0"/>
          <w:iCs w:val="0"/>
          <w:caps w:val="0"/>
          <w:color w:val="000000"/>
          <w:spacing w:val="0"/>
          <w:sz w:val="32"/>
          <w:szCs w:val="32"/>
          <w:bdr w:val="none" w:color="auto" w:sz="0" w:space="0"/>
          <w:shd w:val="clear" w:fill="FFFFFF"/>
        </w:rPr>
        <w:t>完</w:t>
      </w:r>
      <w:r>
        <w:rPr>
          <w:rFonts w:hint="eastAsia" w:ascii="宋体" w:hAnsi="宋体" w:eastAsia="宋体" w:cs="宋体"/>
          <w:i w:val="0"/>
          <w:iCs w:val="0"/>
          <w:caps w:val="0"/>
          <w:color w:val="494949"/>
          <w:spacing w:val="0"/>
          <w:sz w:val="28"/>
          <w:szCs w:val="28"/>
          <w:bdr w:val="none" w:color="auto" w:sz="0" w:space="0"/>
          <w:shd w:val="clear" w:fill="FFFFFF"/>
        </w:rPr>
        <w:t>成年初预算的100%。</w:t>
      </w:r>
    </w:p>
    <w:p w14:paraId="72AE1E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4、社会保障和就业支出年初预算数为1208.65万元，支出决算数为1208.65万元，</w:t>
      </w:r>
      <w:r>
        <w:rPr>
          <w:rFonts w:hint="default" w:ascii="仿宋_GB2312" w:hAnsi="微软雅黑" w:eastAsia="仿宋_GB2312" w:cs="仿宋_GB2312"/>
          <w:i w:val="0"/>
          <w:iCs w:val="0"/>
          <w:caps w:val="0"/>
          <w:color w:val="000000"/>
          <w:spacing w:val="0"/>
          <w:sz w:val="32"/>
          <w:szCs w:val="32"/>
          <w:bdr w:val="none" w:color="auto" w:sz="0" w:space="0"/>
          <w:shd w:val="clear" w:fill="FFFFFF"/>
        </w:rPr>
        <w:t>完</w:t>
      </w:r>
      <w:r>
        <w:rPr>
          <w:rFonts w:hint="eastAsia" w:ascii="宋体" w:hAnsi="宋体" w:eastAsia="宋体" w:cs="宋体"/>
          <w:i w:val="0"/>
          <w:iCs w:val="0"/>
          <w:caps w:val="0"/>
          <w:color w:val="494949"/>
          <w:spacing w:val="0"/>
          <w:sz w:val="28"/>
          <w:szCs w:val="28"/>
          <w:bdr w:val="none" w:color="auto" w:sz="0" w:space="0"/>
          <w:shd w:val="clear" w:fill="FFFFFF"/>
        </w:rPr>
        <w:t>成年初预算的100%。</w:t>
      </w:r>
    </w:p>
    <w:p w14:paraId="751283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5、卫生健康支出</w:t>
      </w:r>
    </w:p>
    <w:p w14:paraId="3E61A14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年初预算数为54.53元，支出决算数为54.00万元，</w:t>
      </w:r>
      <w:r>
        <w:rPr>
          <w:rFonts w:hint="default" w:ascii="仿宋_GB2312" w:hAnsi="微软雅黑" w:eastAsia="仿宋_GB2312" w:cs="仿宋_GB2312"/>
          <w:i w:val="0"/>
          <w:iCs w:val="0"/>
          <w:caps w:val="0"/>
          <w:color w:val="000000"/>
          <w:spacing w:val="0"/>
          <w:sz w:val="32"/>
          <w:szCs w:val="32"/>
          <w:bdr w:val="none" w:color="auto" w:sz="0" w:space="0"/>
          <w:shd w:val="clear" w:fill="FFFFFF"/>
        </w:rPr>
        <w:t>完</w:t>
      </w:r>
      <w:r>
        <w:rPr>
          <w:rFonts w:hint="eastAsia" w:ascii="宋体" w:hAnsi="宋体" w:eastAsia="宋体" w:cs="宋体"/>
          <w:i w:val="0"/>
          <w:iCs w:val="0"/>
          <w:caps w:val="0"/>
          <w:color w:val="494949"/>
          <w:spacing w:val="0"/>
          <w:sz w:val="28"/>
          <w:szCs w:val="28"/>
          <w:bdr w:val="none" w:color="auto" w:sz="0" w:space="0"/>
          <w:shd w:val="clear" w:fill="FFFFFF"/>
        </w:rPr>
        <w:t>成年初预算的99.99%，决算数小于预算数的主要原因是：按实际支出。</w:t>
      </w:r>
    </w:p>
    <w:p w14:paraId="5784D1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6、住房保障支出</w:t>
      </w:r>
    </w:p>
    <w:p w14:paraId="60B330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年初预算数为430.50万元，支出决算数为430.5万元，</w:t>
      </w:r>
      <w:r>
        <w:rPr>
          <w:rFonts w:hint="default" w:ascii="仿宋_GB2312" w:hAnsi="微软雅黑" w:eastAsia="仿宋_GB2312" w:cs="仿宋_GB2312"/>
          <w:i w:val="0"/>
          <w:iCs w:val="0"/>
          <w:caps w:val="0"/>
          <w:color w:val="000000"/>
          <w:spacing w:val="0"/>
          <w:sz w:val="32"/>
          <w:szCs w:val="32"/>
          <w:bdr w:val="none" w:color="auto" w:sz="0" w:space="0"/>
          <w:shd w:val="clear" w:fill="FFFFFF"/>
        </w:rPr>
        <w:t>完</w:t>
      </w:r>
      <w:r>
        <w:rPr>
          <w:rFonts w:hint="eastAsia" w:ascii="宋体" w:hAnsi="宋体" w:eastAsia="宋体" w:cs="宋体"/>
          <w:i w:val="0"/>
          <w:iCs w:val="0"/>
          <w:caps w:val="0"/>
          <w:color w:val="494949"/>
          <w:spacing w:val="0"/>
          <w:sz w:val="28"/>
          <w:szCs w:val="28"/>
          <w:bdr w:val="none" w:color="auto" w:sz="0" w:space="0"/>
          <w:shd w:val="clear" w:fill="FFFFFF"/>
        </w:rPr>
        <w:t>成年初预算的100%</w:t>
      </w:r>
      <w:bookmarkStart w:id="37" w:name="_Toc1995"/>
      <w:bookmarkEnd w:id="37"/>
      <w:bookmarkStart w:id="38" w:name="_Toc13541"/>
      <w:bookmarkEnd w:id="38"/>
      <w:r>
        <w:rPr>
          <w:rFonts w:hint="eastAsia" w:ascii="宋体" w:hAnsi="宋体" w:eastAsia="宋体" w:cs="宋体"/>
          <w:i w:val="0"/>
          <w:iCs w:val="0"/>
          <w:caps w:val="0"/>
          <w:color w:val="494949"/>
          <w:spacing w:val="0"/>
          <w:sz w:val="28"/>
          <w:szCs w:val="28"/>
          <w:bdr w:val="none" w:color="auto" w:sz="0" w:space="0"/>
          <w:shd w:val="clear" w:fill="FFFFFF"/>
        </w:rPr>
        <w:t>。</w:t>
      </w:r>
    </w:p>
    <w:p w14:paraId="7B703B4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r>
        <w:rPr>
          <w:rStyle w:val="7"/>
          <w:rFonts w:hint="eastAsia" w:ascii="黑体" w:hAnsi="宋体" w:eastAsia="黑体" w:cs="黑体"/>
          <w:b/>
          <w:bCs/>
          <w:i w:val="0"/>
          <w:iCs w:val="0"/>
          <w:caps w:val="0"/>
          <w:color w:val="494949"/>
          <w:spacing w:val="0"/>
          <w:sz w:val="28"/>
          <w:szCs w:val="28"/>
          <w:bdr w:val="none" w:color="auto" w:sz="0" w:space="0"/>
          <w:shd w:val="clear" w:fill="FFFFFF"/>
        </w:rPr>
        <w:t>六、一般公共预算财政拨款基本支出决算情况说明</w:t>
      </w:r>
    </w:p>
    <w:p w14:paraId="06899DD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2022年度预算财政拨款基本支出6006.67万元，其中：</w:t>
      </w:r>
    </w:p>
    <w:p w14:paraId="49CBC7E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人员经费5237.75万元，占基本支出的87.2%,主要包括基本工资、津贴补贴、奖金、绩效工资、五险一金等。</w:t>
      </w:r>
    </w:p>
    <w:p w14:paraId="265CAA0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公用经费768.92万元，占基本支出的12.8%，主要包括办公费、印刷费、水电费、差旅费、维修费、劳务费等。</w:t>
      </w:r>
    </w:p>
    <w:p w14:paraId="0DE9886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39" w:name="_Toc9851"/>
      <w:bookmarkEnd w:id="39"/>
      <w:bookmarkStart w:id="40" w:name="_Toc8779"/>
      <w:bookmarkEnd w:id="40"/>
      <w:r>
        <w:rPr>
          <w:rStyle w:val="7"/>
          <w:rFonts w:hint="eastAsia" w:ascii="黑体" w:hAnsi="宋体" w:eastAsia="黑体" w:cs="黑体"/>
          <w:b/>
          <w:bCs/>
          <w:i w:val="0"/>
          <w:iCs w:val="0"/>
          <w:caps w:val="0"/>
          <w:color w:val="494949"/>
          <w:spacing w:val="0"/>
          <w:sz w:val="28"/>
          <w:szCs w:val="28"/>
          <w:bdr w:val="none" w:color="auto" w:sz="0" w:space="0"/>
          <w:shd w:val="clear" w:fill="FFFFFF"/>
        </w:rPr>
        <w:t>七、财政拨款三公经费支出决算情况说明</w:t>
      </w:r>
    </w:p>
    <w:p w14:paraId="50F362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（一）“三公”经费财政拨款支出决算总体情况说明</w:t>
      </w:r>
    </w:p>
    <w:p w14:paraId="6E645E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“三公”财政拨款拨款支出预算为20万元，支出决算为5.68万元，完成预算的28.44%。其中：</w:t>
      </w:r>
    </w:p>
    <w:p w14:paraId="7BD93F1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因公出国（境）费支出预算为0万元，支出决算为0万元，完成预算的0%，上年因公出国（境）费支出预算为0万元，支出决算为0万元。</w:t>
      </w:r>
    </w:p>
    <w:p w14:paraId="746E62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公务接待费支出预算为15万元，支出决算为0.73万元，完成预算的4.91%，决算数小于预算数的主要原因是我校认真贯彻落实中央“八项规定”精神，严格厉行节约，从严从紧控制“三公”经费开支，与上年相比减少7.72万元，减少99.14%，减少的主要原因是我校认真贯彻落实中央“八项规定”精神，严格厉行节约，从严从紧控制“三公”经费开支。</w:t>
      </w:r>
    </w:p>
    <w:p w14:paraId="51B77EA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公务用车购置费支出预算为0万元，支出决算为0万元，完成预算0%，上年公务用车购置年初预算数为0元，决算支出数为0元。</w:t>
      </w:r>
    </w:p>
    <w:p w14:paraId="5416F18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公务用车运行维护费支出预算为5万元，支出决算为4.95万元，完成预算的99.02%，与上年相比增加4.95万元，增长100%，增长的主要原因是本年增加了公务用车，产生了公务用车运行维护费。</w:t>
      </w:r>
    </w:p>
    <w:p w14:paraId="1E049FC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（二）“三公”经费财政拨款支出决算具体情况说明。</w:t>
      </w:r>
    </w:p>
    <w:p w14:paraId="7231688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2022年度“三公”经费财政拨款支出决算中，公务接待费决算支出0.73万元，占3.68%；因公出国（境）费决算支出0元，占0%；公务用车购置费及运行维护费决算支出4.95元，占24.76%。其中：</w:t>
      </w:r>
    </w:p>
    <w:p w14:paraId="1B92CB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1、因公出国（境）费支出决算数为0万元，全年安排因公出国（境）团组0个，累计接待人次0人。</w:t>
      </w:r>
    </w:p>
    <w:p w14:paraId="5AF5F5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2、公务接待费支出决算为0.73万元，全年共接待国内来访团组5个，接待来宾68人次。主要是公务往来等发生的公务接待费用。</w:t>
      </w:r>
    </w:p>
    <w:p w14:paraId="385932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3、公务用车购置费及运行维护费支出决算4.95万元，其中：公务用车购置费0万元，公务用车运行维护费4.95万元，主要是油费、保险费用、维修维护费等支出，截止2022年12月31日，我单位财政拨款的公务用车保有量为1辆，购置数1辆。</w:t>
      </w:r>
    </w:p>
    <w:p w14:paraId="401A9F7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41" w:name="_Toc8379"/>
      <w:bookmarkEnd w:id="41"/>
      <w:bookmarkStart w:id="42" w:name="_Toc17649"/>
      <w:bookmarkEnd w:id="42"/>
      <w:r>
        <w:rPr>
          <w:rStyle w:val="7"/>
          <w:rFonts w:hint="eastAsia" w:ascii="黑体" w:hAnsi="宋体" w:eastAsia="黑体" w:cs="黑体"/>
          <w:b/>
          <w:bCs/>
          <w:i w:val="0"/>
          <w:iCs w:val="0"/>
          <w:caps w:val="0"/>
          <w:color w:val="494949"/>
          <w:spacing w:val="0"/>
          <w:sz w:val="28"/>
          <w:szCs w:val="28"/>
          <w:bdr w:val="none" w:color="auto" w:sz="0" w:space="0"/>
          <w:shd w:val="clear" w:fill="FFFFFF"/>
        </w:rPr>
        <w:t>八、政府性基金预算收入支出决算情况</w:t>
      </w:r>
    </w:p>
    <w:p w14:paraId="2E8869A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我校无政府性基金收支。</w:t>
      </w:r>
    </w:p>
    <w:p w14:paraId="5086FCD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43" w:name="_Toc3511"/>
      <w:bookmarkEnd w:id="43"/>
      <w:bookmarkStart w:id="44" w:name="_Toc22641"/>
      <w:bookmarkEnd w:id="44"/>
      <w:r>
        <w:rPr>
          <w:rStyle w:val="7"/>
          <w:rFonts w:hint="eastAsia" w:ascii="黑体" w:hAnsi="宋体" w:eastAsia="黑体" w:cs="黑体"/>
          <w:b/>
          <w:bCs/>
          <w:i w:val="0"/>
          <w:iCs w:val="0"/>
          <w:caps w:val="0"/>
          <w:color w:val="494949"/>
          <w:spacing w:val="0"/>
          <w:sz w:val="28"/>
          <w:szCs w:val="28"/>
          <w:bdr w:val="none" w:color="auto" w:sz="0" w:space="0"/>
          <w:shd w:val="clear" w:fill="FFFFFF"/>
        </w:rPr>
        <w:t>九、关于机关运行经费支出说明</w:t>
      </w:r>
    </w:p>
    <w:p w14:paraId="45604F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我校无机关运行经费支出。</w:t>
      </w:r>
    </w:p>
    <w:p w14:paraId="58AD534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45" w:name="_Toc6478"/>
      <w:bookmarkEnd w:id="45"/>
      <w:bookmarkStart w:id="46" w:name="_Toc30203"/>
      <w:bookmarkEnd w:id="46"/>
      <w:r>
        <w:rPr>
          <w:rStyle w:val="7"/>
          <w:rFonts w:hint="eastAsia" w:ascii="黑体" w:hAnsi="宋体" w:eastAsia="黑体" w:cs="黑体"/>
          <w:b/>
          <w:bCs/>
          <w:i w:val="0"/>
          <w:iCs w:val="0"/>
          <w:caps w:val="0"/>
          <w:color w:val="494949"/>
          <w:spacing w:val="0"/>
          <w:sz w:val="28"/>
          <w:szCs w:val="28"/>
          <w:bdr w:val="none" w:color="auto" w:sz="0" w:space="0"/>
          <w:shd w:val="clear" w:fill="FFFFFF"/>
        </w:rPr>
        <w:t>十、一般性支出情况</w:t>
      </w:r>
    </w:p>
    <w:p w14:paraId="665E90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2022年我校开支会议费0万元；开支培训费1.99万元，用于开展职业院校教师素质提升培训，人数16人，内容为2022年度职业院校教师素质提高计划国家级教师教学创新团队研修、课程思政组织实施教学设计实操与课程思政教学比赛指导专题研修。2022年我校未举办节庆、晚会、论坛、赛事活动。</w:t>
      </w:r>
    </w:p>
    <w:p w14:paraId="3A5EEFD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47" w:name="_Toc26411"/>
      <w:bookmarkEnd w:id="47"/>
      <w:bookmarkStart w:id="48" w:name="_Toc7316"/>
      <w:bookmarkEnd w:id="48"/>
      <w:r>
        <w:rPr>
          <w:rStyle w:val="7"/>
          <w:rFonts w:hint="eastAsia" w:ascii="黑体" w:hAnsi="宋体" w:eastAsia="黑体" w:cs="黑体"/>
          <w:b/>
          <w:bCs/>
          <w:i w:val="0"/>
          <w:iCs w:val="0"/>
          <w:caps w:val="0"/>
          <w:color w:val="494949"/>
          <w:spacing w:val="0"/>
          <w:sz w:val="28"/>
          <w:szCs w:val="28"/>
          <w:bdr w:val="none" w:color="auto" w:sz="0" w:space="0"/>
          <w:shd w:val="clear" w:fill="FFFFFF"/>
        </w:rPr>
        <w:t>十一、关于政府采购支出说明</w:t>
      </w:r>
    </w:p>
    <w:p w14:paraId="52E8CA8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我校2022年度政府采购支出总额2401.64万元，其中：政府采购货物支出829.29万元、政府采购工程支出971.66万元、政府采购服务支出600.69万元。授予中小企业合同金额801.04万元，占政府采购支出总额的33.35%，其中授予小微企业合同金额801.04万元，占政府采购支出总额的33.35%，货物采购授予中小企业合同占货物支出金额的34.53%，工程采购授予中小企业合同占工程支出金额40.46%%，服务采购授予中小企业合同金额占服务金额支出的25.01%。</w:t>
      </w:r>
    </w:p>
    <w:p w14:paraId="14EFE4D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49" w:name="_Toc1932"/>
      <w:bookmarkEnd w:id="49"/>
      <w:bookmarkStart w:id="50" w:name="_Toc100"/>
      <w:bookmarkEnd w:id="50"/>
      <w:r>
        <w:rPr>
          <w:rStyle w:val="7"/>
          <w:rFonts w:hint="eastAsia" w:ascii="黑体" w:hAnsi="宋体" w:eastAsia="黑体" w:cs="黑体"/>
          <w:b/>
          <w:bCs/>
          <w:i w:val="0"/>
          <w:iCs w:val="0"/>
          <w:caps w:val="0"/>
          <w:color w:val="494949"/>
          <w:spacing w:val="0"/>
          <w:sz w:val="28"/>
          <w:szCs w:val="28"/>
          <w:bdr w:val="none" w:color="auto" w:sz="0" w:space="0"/>
          <w:shd w:val="clear" w:fill="FFFFFF"/>
        </w:rPr>
        <w:t>十二、关于国有资产占用情况说明</w:t>
      </w:r>
    </w:p>
    <w:p w14:paraId="72CEEB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截至2022年12月31日，我校公务用车1辆，其中，领导干部用车0辆，机要通信用车0辆，应急保障用车0辆、执法执勤用车0辆、特种专业用车0辆，其他用车1辆，其他用车主要是调研考察等，单位价值50万元以上的通用设备26台，单位价值100万元以上的专业设备3台。</w:t>
      </w:r>
    </w:p>
    <w:p w14:paraId="50C1B7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100" w:afterAutospacing="0" w:line="540" w:lineRule="atLeast"/>
        <w:ind w:left="0" w:right="0" w:firstLine="562"/>
        <w:jc w:val="left"/>
        <w:rPr>
          <w:rFonts w:hint="eastAsia" w:ascii="宋体" w:hAnsi="宋体" w:eastAsia="宋体" w:cs="宋体"/>
          <w:b/>
          <w:bCs/>
          <w:i w:val="0"/>
          <w:iCs w:val="0"/>
          <w:caps w:val="0"/>
          <w:color w:val="494949"/>
          <w:spacing w:val="0"/>
          <w:sz w:val="36"/>
          <w:szCs w:val="36"/>
        </w:rPr>
      </w:pPr>
      <w:bookmarkStart w:id="51" w:name="_Toc20427"/>
      <w:bookmarkEnd w:id="51"/>
      <w:bookmarkStart w:id="52" w:name="_Toc29561"/>
      <w:bookmarkEnd w:id="52"/>
      <w:r>
        <w:rPr>
          <w:rStyle w:val="7"/>
          <w:rFonts w:hint="eastAsia" w:ascii="黑体" w:hAnsi="宋体" w:eastAsia="黑体" w:cs="黑体"/>
          <w:b/>
          <w:bCs/>
          <w:i w:val="0"/>
          <w:iCs w:val="0"/>
          <w:caps w:val="0"/>
          <w:color w:val="494949"/>
          <w:spacing w:val="0"/>
          <w:sz w:val="28"/>
          <w:szCs w:val="28"/>
          <w:bdr w:val="none" w:color="auto" w:sz="0" w:space="0"/>
          <w:shd w:val="clear" w:fill="FFFFFF"/>
        </w:rPr>
        <w:t>十三、关于2022年度预算绩效情况的说明</w:t>
      </w:r>
    </w:p>
    <w:p w14:paraId="3F4A09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（一）部门整体支出绩效情况</w:t>
      </w:r>
    </w:p>
    <w:p w14:paraId="0185087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2022年，学校在省商务厅、省委教育工委、省教育厅的正确领导下，在习近平新时代中国特色社会主义思想的指引下，全面贯彻党的教育方针，始终坚持社会主义办学方向，围绕立德树人根本任务，对标“双高”建设标准，提质培优，加强学校内涵建设，全面提高教育教学质量，有力地推动了学校各项工作,取得了突出的业绩。根据2022年部门整体支出状况概述和分析，部门整体支出绩效具体情况如下：</w:t>
      </w:r>
    </w:p>
    <w:p w14:paraId="509F8F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（一）运行成本。</w:t>
      </w:r>
    </w:p>
    <w:p w14:paraId="634CD94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在确保重点项目支出和民生增长的基础上，科学调度资金，强化财务预算的刚性约束，使财务运转合法规范有序。</w:t>
      </w:r>
    </w:p>
    <w:p w14:paraId="67A338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2022年年初预算数14844.23万元，本年全年预算数为17137.64万元，财政拨款收入占比5.46%，事业收入占比23.74%,其他收入占比0.81%。</w:t>
      </w:r>
    </w:p>
    <w:p w14:paraId="5C6BAD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2022年度学校全年执行数17137.64万元，其中：基本支出9826.59万元（含上年结转结余82.85万元），基本支出占总支出的57.34%，其中人员经费8673.20元，占基本支出比88.26%，公用经费1070.53元，占基本支出比10.89%。</w:t>
      </w:r>
    </w:p>
    <w:p w14:paraId="1C48FD5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项目支出7311.05 万元元，占总支出的42.66%，其中基本建设类项目支出180万元。</w:t>
      </w:r>
    </w:p>
    <w:p w14:paraId="6485F7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2022年“三公”经费支出合计31.81万元，公务用车购置及运行维护费31.08万元，公务接待费0.74万元，公务接待费与去年相比减少了91.35%。全年共接待5批次68人，其中外事接待0批次0人。</w:t>
      </w:r>
    </w:p>
    <w:p w14:paraId="511FB9B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（二）管理效率方面。</w:t>
      </w:r>
    </w:p>
    <w:p w14:paraId="1FAC210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严格遵守各项财经纪律，加强学院财务管理工作，制定了相关规章制度，加强和细化了预算编制，严格按照预算执行，确保财务收支平衡，保障学院工作正常开展和教育教学目标的完成。</w:t>
      </w:r>
    </w:p>
    <w:p w14:paraId="59DD96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（三）履职效能、社会效应、可持续发展能力和服务对象满意度等方面。</w:t>
      </w:r>
    </w:p>
    <w:p w14:paraId="29BA699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学院坚持把立德树人作为根本任务，努力培养担当民族复兴大任的时代新人。坚持以章程建设为统领，全面贯彻落实党的教育方针，坚持依法治院，按照建设中国特色现代大学制度的要求，不断推进章程建设，完善治理结构，理顺管理体制，引入社会资源，全面提升学院治理能力和管理水平，形成了按章办学、依法治院、制度管理、民主和谐的良好氛围，有力推动我院各项事业稳定、健康、持续发展，较高质量的完成了年初预定的各项目标任务，取得了显著成绩。同时也达到了较好的社会效果和社会效益，得到了学生与老师的普遍好评。</w:t>
      </w:r>
    </w:p>
    <w:p w14:paraId="4C58D05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（二）存在的问题及原因分析</w:t>
      </w:r>
    </w:p>
    <w:p w14:paraId="079D05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（1）存在主要问题</w:t>
      </w:r>
    </w:p>
    <w:p w14:paraId="161717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年末有部分项目资金未能按预算及时使用，项目推进力度有待进一步加强。</w:t>
      </w:r>
    </w:p>
    <w:p w14:paraId="3186FD8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（2）原因分析</w:t>
      </w:r>
    </w:p>
    <w:p w14:paraId="31BE6A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333333"/>
          <w:spacing w:val="0"/>
          <w:sz w:val="28"/>
          <w:szCs w:val="28"/>
          <w:bdr w:val="none" w:color="auto" w:sz="0" w:space="0"/>
          <w:shd w:val="clear" w:fill="FFFFFF"/>
        </w:rPr>
        <w:t>结转结余资金包括高等职业教育资金、高校“双一流”专项资金、职业院校教师素质提高计划资金、2022年服兵役国家教育资助、智慧物流实训中心经费、学生资助补助经费等未完结未使用完经费。</w:t>
      </w:r>
    </w:p>
    <w:p w14:paraId="0F6D29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660" w:lineRule="atLeast"/>
        <w:ind w:left="0" w:right="0" w:firstLine="0"/>
        <w:jc w:val="center"/>
        <w:rPr>
          <w:rFonts w:hint="default" w:ascii="Calibri" w:hAnsi="Calibri" w:cs="Calibri"/>
          <w:b/>
          <w:bCs/>
          <w:i w:val="0"/>
          <w:iCs w:val="0"/>
          <w:caps w:val="0"/>
          <w:color w:val="494949"/>
          <w:spacing w:val="0"/>
          <w:sz w:val="44"/>
          <w:szCs w:val="44"/>
        </w:rPr>
      </w:pPr>
      <w:bookmarkStart w:id="53" w:name="_Toc18340"/>
      <w:bookmarkEnd w:id="53"/>
      <w:bookmarkStart w:id="54" w:name="_Toc11277"/>
      <w:bookmarkEnd w:id="54"/>
      <w:r>
        <w:rPr>
          <w:rStyle w:val="7"/>
          <w:rFonts w:hint="eastAsia" w:ascii="黑体" w:hAnsi="宋体" w:eastAsia="黑体" w:cs="黑体"/>
          <w:b/>
          <w:bCs/>
          <w:i w:val="0"/>
          <w:iCs w:val="0"/>
          <w:caps w:val="0"/>
          <w:color w:val="494949"/>
          <w:spacing w:val="0"/>
          <w:sz w:val="32"/>
          <w:szCs w:val="32"/>
          <w:bdr w:val="none" w:color="auto" w:sz="0" w:space="0"/>
          <w:shd w:val="clear" w:fill="FFFFFF"/>
        </w:rPr>
        <w:t>第四部分</w:t>
      </w:r>
    </w:p>
    <w:p w14:paraId="2C47EA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40" w:beforeAutospacing="0" w:after="330" w:afterAutospacing="0" w:line="660" w:lineRule="atLeast"/>
        <w:ind w:left="0" w:right="0" w:firstLine="0"/>
        <w:jc w:val="center"/>
        <w:rPr>
          <w:rFonts w:hint="default" w:ascii="Calibri" w:hAnsi="Calibri" w:cs="Calibri"/>
          <w:b/>
          <w:bCs/>
          <w:i w:val="0"/>
          <w:iCs w:val="0"/>
          <w:caps w:val="0"/>
          <w:color w:val="494949"/>
          <w:spacing w:val="0"/>
          <w:sz w:val="44"/>
          <w:szCs w:val="44"/>
        </w:rPr>
      </w:pPr>
      <w:bookmarkStart w:id="55" w:name="_Toc26621"/>
      <w:bookmarkEnd w:id="55"/>
      <w:r>
        <w:rPr>
          <w:rStyle w:val="7"/>
          <w:rFonts w:hint="eastAsia" w:ascii="黑体" w:hAnsi="宋体" w:eastAsia="黑体" w:cs="黑体"/>
          <w:b/>
          <w:bCs/>
          <w:i w:val="0"/>
          <w:iCs w:val="0"/>
          <w:caps w:val="0"/>
          <w:color w:val="494949"/>
          <w:spacing w:val="0"/>
          <w:sz w:val="32"/>
          <w:szCs w:val="32"/>
          <w:bdr w:val="none" w:color="auto" w:sz="0" w:space="0"/>
          <w:shd w:val="clear" w:fill="FFFFFF"/>
        </w:rPr>
        <w:t>名词解释</w:t>
      </w:r>
    </w:p>
    <w:p w14:paraId="233746E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bookmarkStart w:id="56" w:name="_Toc9428"/>
      <w:bookmarkEnd w:id="56"/>
      <w:bookmarkStart w:id="57" w:name="_Toc16976"/>
      <w:bookmarkEnd w:id="57"/>
      <w:r>
        <w:rPr>
          <w:rFonts w:hint="eastAsia" w:ascii="宋体" w:hAnsi="宋体" w:eastAsia="宋体" w:cs="宋体"/>
          <w:i w:val="0"/>
          <w:iCs w:val="0"/>
          <w:caps w:val="0"/>
          <w:color w:val="494949"/>
          <w:spacing w:val="0"/>
          <w:sz w:val="28"/>
          <w:szCs w:val="28"/>
          <w:bdr w:val="none" w:color="auto" w:sz="0" w:space="0"/>
          <w:shd w:val="clear" w:fill="FFFFFF"/>
        </w:rPr>
        <w:t>一、财政补助收入：是指省级财政当年拨付的资金。</w:t>
      </w:r>
    </w:p>
    <w:p w14:paraId="0D25FA2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二、其他收入：是指上述“财政补助收入”、“上级补助收入”、“事业收入”、“经营收入”、“附属单位上缴收入”等以外的收入。</w:t>
      </w:r>
    </w:p>
    <w:p w14:paraId="6C2A4F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三、上年结转和结余：指以前年度尚未完成、结转到本年按有关规定继续使用的资金。</w:t>
      </w:r>
    </w:p>
    <w:p w14:paraId="5445279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四、基本支出：指保障机构正常运转、完成支持日常工作任务而发生的人员支出和干预支出。</w:t>
      </w:r>
    </w:p>
    <w:p w14:paraId="4CB8EA9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五、项目支出：指在基本支出之外为完成特定行政任务和事业发展目标所发生的支出。</w:t>
      </w:r>
    </w:p>
    <w:p w14:paraId="41703AF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line="338" w:lineRule="atLeast"/>
        <w:ind w:left="0" w:right="0" w:firstLine="560"/>
        <w:jc w:val="both"/>
        <w:rPr>
          <w:rFonts w:hint="eastAsia" w:ascii="微软雅黑" w:hAnsi="微软雅黑" w:eastAsia="微软雅黑" w:cs="微软雅黑"/>
          <w:i w:val="0"/>
          <w:iCs w:val="0"/>
          <w:caps w:val="0"/>
          <w:color w:val="494949"/>
          <w:spacing w:val="0"/>
          <w:sz w:val="22"/>
          <w:szCs w:val="22"/>
        </w:rPr>
      </w:pPr>
      <w:r>
        <w:rPr>
          <w:rFonts w:hint="eastAsia" w:ascii="宋体" w:hAnsi="宋体" w:eastAsia="宋体" w:cs="宋体"/>
          <w:i w:val="0"/>
          <w:iCs w:val="0"/>
          <w:caps w:val="0"/>
          <w:color w:val="494949"/>
          <w:spacing w:val="0"/>
          <w:sz w:val="28"/>
          <w:szCs w:val="28"/>
          <w:bdr w:val="none" w:color="auto" w:sz="0" w:space="0"/>
          <w:shd w:val="clear" w:fill="FFFFFF"/>
        </w:rPr>
        <w:t>六、“三公”经费：是指用安排的因公出（境）国费，公务用车购置及运行费和公务接待费。其中，因公出国（境）费反映出国人员住宿费、旅费、伙食补助费、杂费等支出；公务用车购置及运行费反映单位公务用车购置及租用费、燃料费、维修费、过桥过路费、保险费、安全奖励费用等支出；公务接待费反映单位按规定开支的各类公务接待（含外宾接待）支出。</w:t>
      </w:r>
    </w:p>
    <w:p w14:paraId="561A699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mZjJhYWI0Y2ZlYTM1YmMzNWU0OGU3ZWIxM2EyOTAifQ=="/>
  </w:docVars>
  <w:rsids>
    <w:rsidRoot w:val="00000000"/>
    <w:rsid w:val="516E2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0</Words>
  <Characters>0</Characters>
  <Lines>0</Lines>
  <Paragraphs>0</Paragraphs>
  <TotalTime>4</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2024-10-27T06:32:02Z</dcterms:created>
  <dc:creator>uniquehj</dc:creator>
  <cp:lastModifiedBy>刘旭日</cp:lastModifiedBy>
  <dcterms:modified xsi:type="dcterms:W3CDTF">2024-10-27T06:37:13Z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84918F0F13544CF286FE58664C2899E7_13</vt:lpwstr>
  </property>
</Properties>
</file>