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87C8A" w:rsidRDefault="00B87C8A">
      <w:pPr>
        <w:autoSpaceDE w:val="0"/>
        <w:autoSpaceDN w:val="0"/>
        <w:adjustRightInd w:val="0"/>
        <w:rPr>
          <w:rFonts w:ascii="黑体" w:eastAsia="黑体" w:cs="黑体"/>
          <w:sz w:val="84"/>
          <w:szCs w:val="84"/>
        </w:rPr>
      </w:pPr>
    </w:p>
    <w:p w:rsidR="00B87C8A" w:rsidRDefault="00B87C8A">
      <w:pPr>
        <w:autoSpaceDE w:val="0"/>
        <w:autoSpaceDN w:val="0"/>
        <w:adjustRightInd w:val="0"/>
        <w:rPr>
          <w:rFonts w:ascii="黑体" w:eastAsia="黑体" w:cs="黑体"/>
          <w:sz w:val="84"/>
          <w:szCs w:val="84"/>
        </w:rPr>
      </w:pPr>
    </w:p>
    <w:p w:rsidR="00B87C8A" w:rsidRDefault="00B87C8A">
      <w:pPr>
        <w:autoSpaceDE w:val="0"/>
        <w:autoSpaceDN w:val="0"/>
        <w:adjustRightInd w:val="0"/>
        <w:rPr>
          <w:rFonts w:ascii="黑体" w:eastAsia="黑体" w:cs="黑体"/>
          <w:sz w:val="84"/>
          <w:szCs w:val="84"/>
        </w:rPr>
      </w:pPr>
    </w:p>
    <w:p w:rsidR="00B87C8A" w:rsidRDefault="00B87C8A">
      <w:pPr>
        <w:autoSpaceDE w:val="0"/>
        <w:autoSpaceDN w:val="0"/>
        <w:adjustRightInd w:val="0"/>
        <w:rPr>
          <w:rFonts w:ascii="黑体" w:eastAsia="黑体" w:cs="黑体"/>
          <w:sz w:val="84"/>
          <w:szCs w:val="84"/>
        </w:rPr>
      </w:pPr>
    </w:p>
    <w:p w:rsidR="00B87C8A" w:rsidRDefault="00AB139F">
      <w:pPr>
        <w:autoSpaceDE w:val="0"/>
        <w:autoSpaceDN w:val="0"/>
        <w:adjustRightInd w:val="0"/>
        <w:jc w:val="center"/>
        <w:rPr>
          <w:rFonts w:ascii="Times New Roman" w:eastAsia="黑体" w:hAnsi="Times New Roman"/>
          <w:b/>
          <w:sz w:val="96"/>
          <w:szCs w:val="96"/>
        </w:rPr>
      </w:pPr>
      <w:r>
        <w:rPr>
          <w:rFonts w:ascii="黑体" w:eastAsia="黑体" w:cs="黑体"/>
          <w:b/>
          <w:sz w:val="96"/>
          <w:szCs w:val="96"/>
        </w:rPr>
        <w:t>202</w:t>
      </w:r>
      <w:r>
        <w:rPr>
          <w:rFonts w:ascii="黑体" w:eastAsia="黑体" w:cs="黑体" w:hint="eastAsia"/>
          <w:b/>
          <w:sz w:val="96"/>
          <w:szCs w:val="96"/>
        </w:rPr>
        <w:t>2</w:t>
      </w:r>
      <w:r w:rsidR="002D1C8A">
        <w:rPr>
          <w:rFonts w:ascii="黑体" w:eastAsia="黑体" w:cs="黑体"/>
          <w:b/>
          <w:sz w:val="96"/>
          <w:szCs w:val="96"/>
        </w:rPr>
        <w:t>年度</w:t>
      </w:r>
    </w:p>
    <w:p w:rsidR="00B87C8A" w:rsidRDefault="002D1C8A">
      <w:pPr>
        <w:autoSpaceDE w:val="0"/>
        <w:autoSpaceDN w:val="0"/>
        <w:adjustRightInd w:val="0"/>
        <w:jc w:val="center"/>
        <w:rPr>
          <w:rFonts w:ascii="黑体" w:eastAsia="黑体" w:hAnsi="Times New Roman" w:cs="黑体"/>
          <w:sz w:val="84"/>
          <w:szCs w:val="84"/>
        </w:rPr>
        <w:sectPr w:rsidR="00B87C8A" w:rsidSect="00612DDE">
          <w:pgSz w:w="12240" w:h="15840"/>
          <w:pgMar w:top="1440" w:right="1800" w:bottom="1440" w:left="1800" w:header="720" w:footer="720" w:gutter="0"/>
          <w:cols w:space="720"/>
          <w:docGrid w:linePitch="326"/>
        </w:sectPr>
      </w:pPr>
      <w:r>
        <w:rPr>
          <w:rFonts w:ascii="黑体" w:eastAsia="黑体" w:hAnsi="Times New Roman" w:cs="黑体"/>
          <w:b/>
          <w:sz w:val="96"/>
          <w:szCs w:val="96"/>
          <w:lang w:val="zh-CN"/>
        </w:rPr>
        <w:t>吉首大学</w:t>
      </w:r>
      <w:r>
        <w:rPr>
          <w:rFonts w:ascii="黑体" w:eastAsia="黑体" w:hAnsi="Times New Roman" w:cs="黑体"/>
          <w:b/>
          <w:sz w:val="96"/>
          <w:szCs w:val="96"/>
        </w:rPr>
        <w:t>部门决算</w:t>
      </w:r>
    </w:p>
    <w:p w:rsidR="00B87C8A" w:rsidRDefault="002D1C8A">
      <w:pPr>
        <w:autoSpaceDE w:val="0"/>
        <w:autoSpaceDN w:val="0"/>
        <w:adjustRightInd w:val="0"/>
        <w:spacing w:line="520" w:lineRule="exact"/>
        <w:jc w:val="center"/>
        <w:rPr>
          <w:rFonts w:hAnsi="Times New Roman"/>
          <w:b/>
          <w:sz w:val="44"/>
          <w:szCs w:val="44"/>
        </w:rPr>
      </w:pPr>
      <w:r>
        <w:rPr>
          <w:rFonts w:hAnsi="Times New Roman"/>
          <w:b/>
          <w:sz w:val="44"/>
          <w:szCs w:val="44"/>
        </w:rPr>
        <w:lastRenderedPageBreak/>
        <w:t>目 录</w:t>
      </w:r>
    </w:p>
    <w:p w:rsidR="00B87C8A" w:rsidRDefault="00B87C8A">
      <w:pPr>
        <w:autoSpaceDE w:val="0"/>
        <w:autoSpaceDN w:val="0"/>
        <w:adjustRightInd w:val="0"/>
        <w:spacing w:line="520" w:lineRule="exact"/>
        <w:rPr>
          <w:rFonts w:ascii="黑体" w:eastAsia="黑体" w:hAnsi="Times New Roman" w:cs="黑体"/>
          <w:b/>
          <w:sz w:val="28"/>
          <w:szCs w:val="28"/>
        </w:rPr>
      </w:pPr>
    </w:p>
    <w:p w:rsidR="00B87C8A" w:rsidRDefault="002D1C8A">
      <w:pPr>
        <w:autoSpaceDE w:val="0"/>
        <w:autoSpaceDN w:val="0"/>
        <w:adjustRightInd w:val="0"/>
        <w:spacing w:line="520" w:lineRule="exact"/>
        <w:rPr>
          <w:rFonts w:ascii="Times New Roman" w:eastAsia="黑体" w:hAnsi="Times New Roman"/>
          <w:b/>
          <w:sz w:val="28"/>
          <w:szCs w:val="28"/>
        </w:rPr>
      </w:pPr>
      <w:r>
        <w:rPr>
          <w:rFonts w:ascii="黑体" w:eastAsia="黑体" w:hAnsi="Times New Roman" w:cs="黑体"/>
          <w:b/>
          <w:sz w:val="28"/>
          <w:szCs w:val="28"/>
        </w:rPr>
        <w:t xml:space="preserve">第一部分 </w:t>
      </w:r>
      <w:r>
        <w:rPr>
          <w:rFonts w:ascii="黑体" w:eastAsia="黑体" w:hAnsi="Times New Roman" w:cs="黑体"/>
          <w:b/>
          <w:sz w:val="28"/>
          <w:szCs w:val="28"/>
          <w:lang w:val="zh-CN"/>
        </w:rPr>
        <w:t>吉首大学</w:t>
      </w:r>
      <w:r>
        <w:rPr>
          <w:rFonts w:ascii="黑体" w:eastAsia="黑体" w:hAnsi="Times New Roman" w:cs="黑体"/>
          <w:b/>
          <w:sz w:val="28"/>
          <w:szCs w:val="28"/>
        </w:rPr>
        <w:t>概况</w:t>
      </w:r>
    </w:p>
    <w:p w:rsidR="00B87C8A" w:rsidRDefault="002D1C8A">
      <w:pPr>
        <w:autoSpaceDE w:val="0"/>
        <w:autoSpaceDN w:val="0"/>
        <w:adjustRightInd w:val="0"/>
        <w:spacing w:line="520" w:lineRule="exact"/>
        <w:ind w:firstLine="700"/>
        <w:rPr>
          <w:rFonts w:ascii="Times New Roman" w:hAnsi="Times New Roman"/>
          <w:sz w:val="28"/>
          <w:szCs w:val="28"/>
        </w:rPr>
      </w:pPr>
      <w:r>
        <w:rPr>
          <w:rFonts w:hAnsi="Times New Roman"/>
          <w:sz w:val="28"/>
          <w:szCs w:val="28"/>
        </w:rPr>
        <w:t>一、部门职责</w:t>
      </w:r>
    </w:p>
    <w:p w:rsidR="00B87C8A" w:rsidRDefault="002D1C8A">
      <w:pPr>
        <w:autoSpaceDE w:val="0"/>
        <w:autoSpaceDN w:val="0"/>
        <w:adjustRightInd w:val="0"/>
        <w:spacing w:line="520" w:lineRule="exact"/>
        <w:ind w:firstLine="700"/>
        <w:rPr>
          <w:rFonts w:ascii="Times New Roman" w:hAnsi="Times New Roman"/>
          <w:sz w:val="28"/>
          <w:szCs w:val="28"/>
        </w:rPr>
      </w:pPr>
      <w:r>
        <w:rPr>
          <w:rFonts w:hAnsi="Times New Roman"/>
          <w:sz w:val="28"/>
          <w:szCs w:val="28"/>
        </w:rPr>
        <w:t>二、机构设置</w:t>
      </w:r>
    </w:p>
    <w:p w:rsidR="00B87C8A" w:rsidRDefault="002D1C8A">
      <w:pPr>
        <w:autoSpaceDE w:val="0"/>
        <w:autoSpaceDN w:val="0"/>
        <w:adjustRightInd w:val="0"/>
        <w:spacing w:line="520" w:lineRule="exact"/>
        <w:rPr>
          <w:rFonts w:ascii="Times New Roman" w:eastAsia="黑体" w:hAnsi="Times New Roman"/>
          <w:b/>
          <w:sz w:val="28"/>
          <w:szCs w:val="28"/>
        </w:rPr>
      </w:pPr>
      <w:r>
        <w:rPr>
          <w:rFonts w:ascii="黑体" w:eastAsia="黑体" w:hAnsi="Times New Roman" w:cs="黑体"/>
          <w:b/>
          <w:sz w:val="28"/>
          <w:szCs w:val="28"/>
        </w:rPr>
        <w:t>第二部分 吉首大学</w:t>
      </w:r>
      <w:r w:rsidR="007F7A26">
        <w:rPr>
          <w:rFonts w:ascii="黑体" w:eastAsia="黑体" w:hAnsi="Times New Roman" w:cs="黑体"/>
          <w:b/>
          <w:sz w:val="28"/>
          <w:szCs w:val="28"/>
        </w:rPr>
        <w:t>202</w:t>
      </w:r>
      <w:r w:rsidR="007F7A26">
        <w:rPr>
          <w:rFonts w:ascii="黑体" w:eastAsia="黑体" w:hAnsi="Times New Roman" w:cs="黑体" w:hint="eastAsia"/>
          <w:b/>
          <w:sz w:val="28"/>
          <w:szCs w:val="28"/>
        </w:rPr>
        <w:t>2</w:t>
      </w:r>
      <w:r>
        <w:rPr>
          <w:rFonts w:ascii="黑体" w:eastAsia="黑体" w:hAnsi="Times New Roman" w:cs="黑体"/>
          <w:b/>
          <w:sz w:val="28"/>
          <w:szCs w:val="28"/>
        </w:rPr>
        <w:t>年度部门决算表</w:t>
      </w:r>
    </w:p>
    <w:p w:rsidR="00B87C8A" w:rsidRDefault="002D1C8A">
      <w:pPr>
        <w:autoSpaceDE w:val="0"/>
        <w:autoSpaceDN w:val="0"/>
        <w:adjustRightInd w:val="0"/>
        <w:spacing w:line="520" w:lineRule="exact"/>
        <w:ind w:firstLine="700"/>
        <w:rPr>
          <w:rFonts w:ascii="Times New Roman" w:hAnsi="Times New Roman"/>
          <w:sz w:val="28"/>
          <w:szCs w:val="28"/>
        </w:rPr>
      </w:pPr>
      <w:r>
        <w:rPr>
          <w:rFonts w:hAnsi="Times New Roman"/>
          <w:sz w:val="28"/>
          <w:szCs w:val="28"/>
        </w:rPr>
        <w:t>一、收入支出决算总表</w:t>
      </w:r>
    </w:p>
    <w:p w:rsidR="00B87C8A" w:rsidRDefault="002D1C8A">
      <w:pPr>
        <w:autoSpaceDE w:val="0"/>
        <w:autoSpaceDN w:val="0"/>
        <w:adjustRightInd w:val="0"/>
        <w:spacing w:line="520" w:lineRule="exact"/>
        <w:ind w:firstLine="700"/>
        <w:rPr>
          <w:rFonts w:ascii="Times New Roman" w:hAnsi="Times New Roman"/>
          <w:sz w:val="28"/>
          <w:szCs w:val="28"/>
        </w:rPr>
      </w:pPr>
      <w:r>
        <w:rPr>
          <w:rFonts w:hAnsi="Times New Roman"/>
          <w:sz w:val="28"/>
          <w:szCs w:val="28"/>
        </w:rPr>
        <w:t>二、收入决算表</w:t>
      </w:r>
    </w:p>
    <w:p w:rsidR="00B87C8A" w:rsidRDefault="002D1C8A">
      <w:pPr>
        <w:autoSpaceDE w:val="0"/>
        <w:autoSpaceDN w:val="0"/>
        <w:adjustRightInd w:val="0"/>
        <w:spacing w:line="520" w:lineRule="exact"/>
        <w:ind w:firstLine="700"/>
        <w:rPr>
          <w:rFonts w:ascii="Times New Roman" w:hAnsi="Times New Roman"/>
          <w:sz w:val="28"/>
          <w:szCs w:val="28"/>
        </w:rPr>
      </w:pPr>
      <w:r>
        <w:rPr>
          <w:rFonts w:hAnsi="Times New Roman"/>
          <w:sz w:val="28"/>
          <w:szCs w:val="28"/>
        </w:rPr>
        <w:t>三、支出决算表</w:t>
      </w:r>
    </w:p>
    <w:p w:rsidR="00B87C8A" w:rsidRDefault="002D1C8A">
      <w:pPr>
        <w:autoSpaceDE w:val="0"/>
        <w:autoSpaceDN w:val="0"/>
        <w:adjustRightInd w:val="0"/>
        <w:spacing w:line="520" w:lineRule="exact"/>
        <w:ind w:firstLine="700"/>
        <w:rPr>
          <w:rFonts w:ascii="Times New Roman" w:hAnsi="Times New Roman"/>
          <w:sz w:val="28"/>
          <w:szCs w:val="28"/>
        </w:rPr>
      </w:pPr>
      <w:r>
        <w:rPr>
          <w:rFonts w:hAnsi="Times New Roman"/>
          <w:sz w:val="28"/>
          <w:szCs w:val="28"/>
        </w:rPr>
        <w:t>四、财政拨款收入支出决算总表</w:t>
      </w:r>
    </w:p>
    <w:p w:rsidR="00B87C8A" w:rsidRDefault="002D1C8A">
      <w:pPr>
        <w:autoSpaceDE w:val="0"/>
        <w:autoSpaceDN w:val="0"/>
        <w:adjustRightInd w:val="0"/>
        <w:spacing w:line="520" w:lineRule="exact"/>
        <w:ind w:firstLine="700"/>
        <w:rPr>
          <w:rFonts w:ascii="Times New Roman" w:hAnsi="Times New Roman"/>
          <w:sz w:val="28"/>
          <w:szCs w:val="28"/>
        </w:rPr>
      </w:pPr>
      <w:r>
        <w:rPr>
          <w:rFonts w:hAnsi="Times New Roman"/>
          <w:sz w:val="28"/>
          <w:szCs w:val="28"/>
        </w:rPr>
        <w:t>五、一般公共预算财政拨款支出决算表</w:t>
      </w:r>
    </w:p>
    <w:p w:rsidR="00B87C8A" w:rsidRDefault="002D1C8A" w:rsidP="009F2B1E">
      <w:pPr>
        <w:autoSpaceDE w:val="0"/>
        <w:autoSpaceDN w:val="0"/>
        <w:adjustRightInd w:val="0"/>
        <w:spacing w:line="520" w:lineRule="exact"/>
        <w:ind w:firstLine="700"/>
        <w:rPr>
          <w:rFonts w:ascii="Times New Roman" w:hAnsi="Times New Roman"/>
          <w:sz w:val="28"/>
          <w:szCs w:val="28"/>
        </w:rPr>
      </w:pPr>
      <w:r>
        <w:rPr>
          <w:rFonts w:hAnsi="Times New Roman"/>
          <w:sz w:val="28"/>
          <w:szCs w:val="28"/>
        </w:rPr>
        <w:t>六、一般公共预算财政拨款基本支出决算表</w:t>
      </w:r>
    </w:p>
    <w:p w:rsidR="00B87C8A" w:rsidRDefault="009F2B1E">
      <w:pPr>
        <w:autoSpaceDE w:val="0"/>
        <w:autoSpaceDN w:val="0"/>
        <w:adjustRightInd w:val="0"/>
        <w:spacing w:line="520" w:lineRule="exact"/>
        <w:ind w:firstLine="700"/>
        <w:rPr>
          <w:rFonts w:hAnsi="Times New Roman"/>
          <w:sz w:val="28"/>
          <w:szCs w:val="28"/>
        </w:rPr>
      </w:pPr>
      <w:r>
        <w:rPr>
          <w:rFonts w:hAnsi="Times New Roman" w:hint="eastAsia"/>
          <w:sz w:val="28"/>
          <w:szCs w:val="28"/>
        </w:rPr>
        <w:t>七</w:t>
      </w:r>
      <w:r w:rsidR="002D1C8A">
        <w:rPr>
          <w:rFonts w:hAnsi="Times New Roman"/>
          <w:sz w:val="28"/>
          <w:szCs w:val="28"/>
        </w:rPr>
        <w:t>、政府性基金预算财政拨款收入支出决算表</w:t>
      </w:r>
    </w:p>
    <w:p w:rsidR="00B87C8A" w:rsidRDefault="009F2B1E">
      <w:pPr>
        <w:autoSpaceDE w:val="0"/>
        <w:autoSpaceDN w:val="0"/>
        <w:adjustRightInd w:val="0"/>
        <w:spacing w:line="520" w:lineRule="exact"/>
        <w:ind w:firstLine="700"/>
        <w:rPr>
          <w:rFonts w:hAnsi="Times New Roman"/>
          <w:sz w:val="28"/>
          <w:szCs w:val="28"/>
        </w:rPr>
      </w:pPr>
      <w:r>
        <w:rPr>
          <w:rFonts w:hAnsi="Times New Roman" w:hint="eastAsia"/>
          <w:sz w:val="28"/>
          <w:szCs w:val="28"/>
        </w:rPr>
        <w:t>八</w:t>
      </w:r>
      <w:r w:rsidR="002D1C8A">
        <w:rPr>
          <w:rFonts w:hAnsi="Times New Roman"/>
          <w:sz w:val="28"/>
          <w:szCs w:val="28"/>
        </w:rPr>
        <w:t>、国有资本经营预算财政拨款支出决算表</w:t>
      </w:r>
    </w:p>
    <w:p w:rsidR="009F2B1E" w:rsidRDefault="009F2B1E">
      <w:pPr>
        <w:autoSpaceDE w:val="0"/>
        <w:autoSpaceDN w:val="0"/>
        <w:adjustRightInd w:val="0"/>
        <w:spacing w:line="520" w:lineRule="exact"/>
        <w:ind w:firstLine="700"/>
        <w:rPr>
          <w:rFonts w:ascii="Times New Roman" w:hAnsi="Times New Roman"/>
          <w:sz w:val="28"/>
          <w:szCs w:val="28"/>
        </w:rPr>
      </w:pPr>
      <w:r>
        <w:rPr>
          <w:rFonts w:hAnsi="Times New Roman" w:hint="eastAsia"/>
          <w:sz w:val="28"/>
          <w:szCs w:val="28"/>
        </w:rPr>
        <w:t>九</w:t>
      </w:r>
      <w:r>
        <w:rPr>
          <w:rFonts w:hAnsi="Times New Roman"/>
          <w:sz w:val="28"/>
          <w:szCs w:val="28"/>
        </w:rPr>
        <w:t>、财政拨款</w:t>
      </w:r>
      <w:r>
        <w:rPr>
          <w:rFonts w:ascii="Times New Roman" w:hAnsi="Times New Roman"/>
          <w:sz w:val="28"/>
          <w:szCs w:val="28"/>
        </w:rPr>
        <w:t>“</w:t>
      </w:r>
      <w:r>
        <w:rPr>
          <w:rFonts w:hAnsi="Times New Roman"/>
          <w:sz w:val="28"/>
          <w:szCs w:val="28"/>
        </w:rPr>
        <w:t>三公</w:t>
      </w:r>
      <w:r>
        <w:rPr>
          <w:rFonts w:ascii="Times New Roman" w:hAnsi="Times New Roman"/>
          <w:sz w:val="28"/>
          <w:szCs w:val="28"/>
        </w:rPr>
        <w:t>”</w:t>
      </w:r>
      <w:r>
        <w:rPr>
          <w:rFonts w:hAnsi="Times New Roman"/>
          <w:sz w:val="28"/>
          <w:szCs w:val="28"/>
        </w:rPr>
        <w:t>经费支出决算表</w:t>
      </w:r>
    </w:p>
    <w:p w:rsidR="00B87C8A" w:rsidRDefault="002D1C8A">
      <w:pPr>
        <w:autoSpaceDE w:val="0"/>
        <w:autoSpaceDN w:val="0"/>
        <w:adjustRightInd w:val="0"/>
        <w:spacing w:line="520" w:lineRule="exact"/>
        <w:rPr>
          <w:rFonts w:ascii="Times New Roman" w:eastAsia="黑体" w:hAnsi="Times New Roman"/>
          <w:b/>
          <w:sz w:val="28"/>
          <w:szCs w:val="28"/>
        </w:rPr>
      </w:pPr>
      <w:r>
        <w:rPr>
          <w:rFonts w:ascii="黑体" w:eastAsia="黑体" w:hAnsi="Times New Roman" w:cs="黑体"/>
          <w:b/>
          <w:sz w:val="28"/>
          <w:szCs w:val="28"/>
        </w:rPr>
        <w:t>第三部分 吉首大学202</w:t>
      </w:r>
      <w:r w:rsidR="007F7A26">
        <w:rPr>
          <w:rFonts w:ascii="黑体" w:eastAsia="黑体" w:hAnsi="Times New Roman" w:cs="黑体" w:hint="eastAsia"/>
          <w:b/>
          <w:sz w:val="28"/>
          <w:szCs w:val="28"/>
        </w:rPr>
        <w:t>2</w:t>
      </w:r>
      <w:r>
        <w:rPr>
          <w:rFonts w:ascii="黑体" w:eastAsia="黑体" w:hAnsi="Times New Roman" w:cs="黑体"/>
          <w:b/>
          <w:sz w:val="28"/>
          <w:szCs w:val="28"/>
        </w:rPr>
        <w:t>年度部门决算情况说明</w:t>
      </w:r>
    </w:p>
    <w:p w:rsidR="00B87C8A" w:rsidRDefault="002D1C8A">
      <w:pPr>
        <w:autoSpaceDE w:val="0"/>
        <w:autoSpaceDN w:val="0"/>
        <w:adjustRightInd w:val="0"/>
        <w:spacing w:line="520" w:lineRule="exact"/>
        <w:ind w:firstLine="700"/>
        <w:rPr>
          <w:rFonts w:ascii="Times New Roman" w:hAnsi="Times New Roman"/>
          <w:sz w:val="28"/>
          <w:szCs w:val="28"/>
        </w:rPr>
      </w:pPr>
      <w:r>
        <w:rPr>
          <w:rFonts w:hAnsi="Times New Roman"/>
          <w:sz w:val="28"/>
          <w:szCs w:val="28"/>
        </w:rPr>
        <w:t>一、收入支出决算总体情况说明</w:t>
      </w:r>
    </w:p>
    <w:p w:rsidR="00B87C8A" w:rsidRDefault="002D1C8A">
      <w:pPr>
        <w:autoSpaceDE w:val="0"/>
        <w:autoSpaceDN w:val="0"/>
        <w:adjustRightInd w:val="0"/>
        <w:spacing w:line="520" w:lineRule="exact"/>
        <w:ind w:firstLine="700"/>
        <w:rPr>
          <w:rFonts w:ascii="Times New Roman" w:hAnsi="Times New Roman"/>
          <w:sz w:val="28"/>
          <w:szCs w:val="28"/>
        </w:rPr>
      </w:pPr>
      <w:r>
        <w:rPr>
          <w:rFonts w:hAnsi="Times New Roman"/>
          <w:sz w:val="28"/>
          <w:szCs w:val="28"/>
        </w:rPr>
        <w:t>二、收入决算情况说明</w:t>
      </w:r>
    </w:p>
    <w:p w:rsidR="00B87C8A" w:rsidRDefault="002D1C8A">
      <w:pPr>
        <w:autoSpaceDE w:val="0"/>
        <w:autoSpaceDN w:val="0"/>
        <w:adjustRightInd w:val="0"/>
        <w:spacing w:line="520" w:lineRule="exact"/>
        <w:ind w:firstLine="700"/>
        <w:rPr>
          <w:rFonts w:ascii="Times New Roman" w:hAnsi="Times New Roman"/>
          <w:sz w:val="28"/>
          <w:szCs w:val="28"/>
        </w:rPr>
      </w:pPr>
      <w:r>
        <w:rPr>
          <w:rFonts w:hAnsi="Times New Roman"/>
          <w:sz w:val="28"/>
          <w:szCs w:val="28"/>
        </w:rPr>
        <w:t>三、支出决算情况说明</w:t>
      </w:r>
    </w:p>
    <w:p w:rsidR="00B87C8A" w:rsidRDefault="002D1C8A">
      <w:pPr>
        <w:autoSpaceDE w:val="0"/>
        <w:autoSpaceDN w:val="0"/>
        <w:adjustRightInd w:val="0"/>
        <w:spacing w:line="520" w:lineRule="exact"/>
        <w:ind w:firstLine="700"/>
        <w:rPr>
          <w:rFonts w:ascii="Times New Roman" w:hAnsi="Times New Roman"/>
          <w:sz w:val="28"/>
          <w:szCs w:val="28"/>
        </w:rPr>
      </w:pPr>
      <w:r>
        <w:rPr>
          <w:rFonts w:hAnsi="Times New Roman"/>
          <w:sz w:val="28"/>
          <w:szCs w:val="28"/>
        </w:rPr>
        <w:t>四、财政拨款收入支出决算总体情况说明</w:t>
      </w:r>
    </w:p>
    <w:p w:rsidR="00B87C8A" w:rsidRDefault="002D1C8A">
      <w:pPr>
        <w:autoSpaceDE w:val="0"/>
        <w:autoSpaceDN w:val="0"/>
        <w:adjustRightInd w:val="0"/>
        <w:spacing w:line="520" w:lineRule="exact"/>
        <w:ind w:firstLine="700"/>
        <w:rPr>
          <w:rFonts w:ascii="Times New Roman" w:hAnsi="Times New Roman"/>
          <w:sz w:val="28"/>
          <w:szCs w:val="28"/>
        </w:rPr>
      </w:pPr>
      <w:r>
        <w:rPr>
          <w:rFonts w:hAnsi="Times New Roman"/>
          <w:sz w:val="28"/>
          <w:szCs w:val="28"/>
        </w:rPr>
        <w:t>五、一般公共预算财政拨款支出决算情况说明</w:t>
      </w:r>
    </w:p>
    <w:p w:rsidR="00B87C8A" w:rsidRDefault="002D1C8A">
      <w:pPr>
        <w:autoSpaceDE w:val="0"/>
        <w:autoSpaceDN w:val="0"/>
        <w:adjustRightInd w:val="0"/>
        <w:spacing w:line="520" w:lineRule="exact"/>
        <w:ind w:firstLine="700"/>
        <w:rPr>
          <w:rFonts w:ascii="Times New Roman" w:hAnsi="Times New Roman"/>
          <w:sz w:val="28"/>
          <w:szCs w:val="28"/>
        </w:rPr>
      </w:pPr>
      <w:r>
        <w:rPr>
          <w:rFonts w:hAnsi="Times New Roman"/>
          <w:sz w:val="28"/>
          <w:szCs w:val="28"/>
        </w:rPr>
        <w:t>六、一般公共预算财政拨款基本支出决算情况说明</w:t>
      </w:r>
    </w:p>
    <w:p w:rsidR="00B87C8A" w:rsidRPr="007F7A26" w:rsidRDefault="007F7A26">
      <w:pPr>
        <w:autoSpaceDE w:val="0"/>
        <w:autoSpaceDN w:val="0"/>
        <w:adjustRightInd w:val="0"/>
        <w:spacing w:line="500" w:lineRule="exact"/>
        <w:ind w:firstLine="700"/>
        <w:rPr>
          <w:rFonts w:hAnsi="Times New Roman"/>
          <w:color w:val="000000" w:themeColor="text1"/>
          <w:sz w:val="28"/>
          <w:szCs w:val="28"/>
        </w:rPr>
      </w:pPr>
      <w:r w:rsidRPr="007F7A26">
        <w:rPr>
          <w:rFonts w:hAnsi="Times New Roman" w:hint="eastAsia"/>
          <w:color w:val="000000" w:themeColor="text1"/>
          <w:sz w:val="28"/>
          <w:szCs w:val="28"/>
        </w:rPr>
        <w:t>七</w:t>
      </w:r>
      <w:r w:rsidR="002D1C8A" w:rsidRPr="007F7A26">
        <w:rPr>
          <w:rFonts w:hAnsi="Times New Roman"/>
          <w:color w:val="000000" w:themeColor="text1"/>
          <w:sz w:val="28"/>
          <w:szCs w:val="28"/>
        </w:rPr>
        <w:t>、政府性基金预算收入支出决算情况</w:t>
      </w:r>
    </w:p>
    <w:p w:rsidR="00B87C8A" w:rsidRPr="007F7A26" w:rsidRDefault="007F7A26">
      <w:pPr>
        <w:autoSpaceDE w:val="0"/>
        <w:autoSpaceDN w:val="0"/>
        <w:adjustRightInd w:val="0"/>
        <w:spacing w:line="500" w:lineRule="exact"/>
        <w:ind w:firstLine="700"/>
        <w:rPr>
          <w:rFonts w:hAnsi="Times New Roman"/>
          <w:color w:val="000000" w:themeColor="text1"/>
          <w:sz w:val="28"/>
          <w:szCs w:val="28"/>
        </w:rPr>
      </w:pPr>
      <w:r w:rsidRPr="007F7A26">
        <w:rPr>
          <w:rFonts w:hAnsi="Times New Roman" w:hint="eastAsia"/>
          <w:color w:val="000000" w:themeColor="text1"/>
          <w:sz w:val="28"/>
          <w:szCs w:val="28"/>
        </w:rPr>
        <w:t>八</w:t>
      </w:r>
      <w:r w:rsidR="002D1C8A" w:rsidRPr="007F7A26">
        <w:rPr>
          <w:rFonts w:hAnsi="Times New Roman"/>
          <w:color w:val="000000" w:themeColor="text1"/>
          <w:sz w:val="28"/>
          <w:szCs w:val="28"/>
        </w:rPr>
        <w:t>、国有资本经营预算财政拨款支出决算情况</w:t>
      </w:r>
    </w:p>
    <w:p w:rsidR="007F7A26" w:rsidRPr="001F69B0" w:rsidRDefault="007F7A26" w:rsidP="001F69B0">
      <w:pPr>
        <w:autoSpaceDE w:val="0"/>
        <w:autoSpaceDN w:val="0"/>
        <w:adjustRightInd w:val="0"/>
        <w:spacing w:line="520" w:lineRule="exact"/>
        <w:ind w:firstLine="700"/>
        <w:rPr>
          <w:rFonts w:hAnsi="Times New Roman"/>
          <w:color w:val="000000" w:themeColor="text1"/>
          <w:sz w:val="28"/>
          <w:szCs w:val="28"/>
        </w:rPr>
      </w:pPr>
      <w:r w:rsidRPr="007F7A26">
        <w:rPr>
          <w:rFonts w:hAnsi="Times New Roman" w:hint="eastAsia"/>
          <w:color w:val="000000" w:themeColor="text1"/>
          <w:sz w:val="28"/>
          <w:szCs w:val="28"/>
        </w:rPr>
        <w:t>九</w:t>
      </w:r>
      <w:r w:rsidRPr="007F7A26">
        <w:rPr>
          <w:rFonts w:hAnsi="Times New Roman"/>
          <w:color w:val="000000" w:themeColor="text1"/>
          <w:sz w:val="28"/>
          <w:szCs w:val="28"/>
        </w:rPr>
        <w:t>、财政拨款三公经费支出决算情况说明</w:t>
      </w:r>
    </w:p>
    <w:p w:rsidR="00B87C8A" w:rsidRDefault="002D1C8A">
      <w:pPr>
        <w:autoSpaceDE w:val="0"/>
        <w:autoSpaceDN w:val="0"/>
        <w:adjustRightInd w:val="0"/>
        <w:spacing w:line="500" w:lineRule="exact"/>
        <w:ind w:firstLine="700"/>
        <w:rPr>
          <w:rFonts w:ascii="仿宋_GB2312" w:eastAsia="仿宋_GB2312" w:hAnsi="Times New Roman" w:cs="仿宋_GB2312"/>
          <w:sz w:val="28"/>
          <w:szCs w:val="28"/>
        </w:rPr>
      </w:pPr>
      <w:r>
        <w:rPr>
          <w:rFonts w:hAnsi="Times New Roman"/>
          <w:sz w:val="28"/>
          <w:szCs w:val="28"/>
        </w:rPr>
        <w:lastRenderedPageBreak/>
        <w:t>十、关于机关运行经费支出说明</w:t>
      </w:r>
    </w:p>
    <w:p w:rsidR="00B87C8A" w:rsidRDefault="002D1C8A">
      <w:pPr>
        <w:autoSpaceDE w:val="0"/>
        <w:autoSpaceDN w:val="0"/>
        <w:adjustRightInd w:val="0"/>
        <w:spacing w:line="500" w:lineRule="exact"/>
        <w:ind w:firstLine="700"/>
        <w:rPr>
          <w:rFonts w:ascii="仿宋_GB2312" w:eastAsia="仿宋_GB2312" w:hAnsi="Times New Roman" w:cs="仿宋_GB2312"/>
          <w:sz w:val="28"/>
          <w:szCs w:val="28"/>
        </w:rPr>
      </w:pPr>
      <w:r>
        <w:rPr>
          <w:rFonts w:hAnsi="Times New Roman"/>
          <w:sz w:val="28"/>
          <w:szCs w:val="28"/>
        </w:rPr>
        <w:t>十一、一般性支出情况</w:t>
      </w:r>
    </w:p>
    <w:p w:rsidR="00B87C8A" w:rsidRDefault="002D1C8A">
      <w:pPr>
        <w:autoSpaceDE w:val="0"/>
        <w:autoSpaceDN w:val="0"/>
        <w:adjustRightInd w:val="0"/>
        <w:spacing w:line="500" w:lineRule="exact"/>
        <w:ind w:firstLine="700"/>
        <w:rPr>
          <w:rFonts w:ascii="仿宋_GB2312" w:eastAsia="仿宋_GB2312" w:hAnsi="Times New Roman" w:cs="仿宋_GB2312"/>
          <w:sz w:val="28"/>
          <w:szCs w:val="28"/>
        </w:rPr>
      </w:pPr>
      <w:r>
        <w:rPr>
          <w:rFonts w:hAnsi="Times New Roman"/>
          <w:sz w:val="28"/>
          <w:szCs w:val="28"/>
        </w:rPr>
        <w:t>十二、关于政府采购支出说明</w:t>
      </w:r>
    </w:p>
    <w:p w:rsidR="00B87C8A" w:rsidRDefault="002D1C8A">
      <w:pPr>
        <w:autoSpaceDE w:val="0"/>
        <w:autoSpaceDN w:val="0"/>
        <w:adjustRightInd w:val="0"/>
        <w:spacing w:line="500" w:lineRule="exact"/>
        <w:ind w:firstLine="700"/>
        <w:rPr>
          <w:rFonts w:ascii="仿宋_GB2312" w:eastAsia="仿宋_GB2312" w:hAnsi="Times New Roman" w:cs="仿宋_GB2312"/>
          <w:sz w:val="28"/>
          <w:szCs w:val="28"/>
        </w:rPr>
      </w:pPr>
      <w:r>
        <w:rPr>
          <w:rFonts w:hAnsi="Times New Roman"/>
          <w:sz w:val="28"/>
          <w:szCs w:val="28"/>
        </w:rPr>
        <w:t>十三、关于国有资产占用情况说明</w:t>
      </w:r>
    </w:p>
    <w:p w:rsidR="00B87C8A" w:rsidRDefault="002D1C8A">
      <w:pPr>
        <w:autoSpaceDE w:val="0"/>
        <w:autoSpaceDN w:val="0"/>
        <w:adjustRightInd w:val="0"/>
        <w:spacing w:line="500" w:lineRule="exact"/>
        <w:ind w:firstLine="700"/>
        <w:rPr>
          <w:rFonts w:hAnsi="Times New Roman"/>
          <w:sz w:val="28"/>
          <w:szCs w:val="28"/>
        </w:rPr>
      </w:pPr>
      <w:r>
        <w:rPr>
          <w:rFonts w:hAnsi="Times New Roman"/>
          <w:sz w:val="28"/>
          <w:szCs w:val="28"/>
        </w:rPr>
        <w:t>十四、关于</w:t>
      </w:r>
      <w:r w:rsidR="009F2B1E">
        <w:rPr>
          <w:rFonts w:hAnsi="Times New Roman"/>
          <w:sz w:val="28"/>
          <w:szCs w:val="28"/>
        </w:rPr>
        <w:t>202</w:t>
      </w:r>
      <w:r w:rsidR="009F2B1E">
        <w:rPr>
          <w:rFonts w:hAnsi="Times New Roman" w:hint="eastAsia"/>
          <w:sz w:val="28"/>
          <w:szCs w:val="28"/>
        </w:rPr>
        <w:t>2</w:t>
      </w:r>
      <w:r>
        <w:rPr>
          <w:rFonts w:hAnsi="Times New Roman"/>
          <w:sz w:val="28"/>
          <w:szCs w:val="28"/>
        </w:rPr>
        <w:t>年度预算绩效情况的说明</w:t>
      </w:r>
    </w:p>
    <w:p w:rsidR="00B87C8A" w:rsidRDefault="002D1C8A">
      <w:pPr>
        <w:autoSpaceDE w:val="0"/>
        <w:autoSpaceDN w:val="0"/>
        <w:adjustRightInd w:val="0"/>
        <w:spacing w:line="520" w:lineRule="exact"/>
        <w:rPr>
          <w:rFonts w:ascii="Times New Roman" w:eastAsia="黑体" w:hAnsi="Times New Roman"/>
          <w:b/>
          <w:sz w:val="28"/>
          <w:szCs w:val="28"/>
        </w:rPr>
      </w:pPr>
      <w:r>
        <w:rPr>
          <w:rFonts w:ascii="黑体" w:eastAsia="黑体" w:hAnsi="Times New Roman" w:cs="黑体"/>
          <w:b/>
          <w:sz w:val="28"/>
          <w:szCs w:val="28"/>
        </w:rPr>
        <w:t>第四部分 名词解释</w:t>
      </w:r>
    </w:p>
    <w:p w:rsidR="00B87C8A" w:rsidRDefault="002D1C8A">
      <w:pPr>
        <w:autoSpaceDE w:val="0"/>
        <w:autoSpaceDN w:val="0"/>
        <w:adjustRightInd w:val="0"/>
        <w:spacing w:line="520" w:lineRule="exact"/>
        <w:rPr>
          <w:rFonts w:ascii="Times New Roman" w:eastAsia="黑体" w:hAnsi="Times New Roman"/>
          <w:sz w:val="44"/>
          <w:szCs w:val="44"/>
          <w:lang w:val="zh-CN"/>
        </w:rPr>
      </w:pPr>
      <w:r>
        <w:rPr>
          <w:rFonts w:ascii="黑体" w:eastAsia="黑体" w:hAnsi="Times New Roman" w:cs="黑体"/>
          <w:b/>
          <w:sz w:val="28"/>
          <w:szCs w:val="28"/>
        </w:rPr>
        <w:t>第五部分 附件</w:t>
      </w:r>
    </w:p>
    <w:p w:rsidR="00B87C8A" w:rsidRDefault="00B87C8A">
      <w:pPr>
        <w:autoSpaceDE w:val="0"/>
        <w:autoSpaceDN w:val="0"/>
        <w:adjustRightInd w:val="0"/>
        <w:spacing w:line="520" w:lineRule="exact"/>
        <w:rPr>
          <w:rFonts w:ascii="黑体" w:eastAsia="黑体" w:hAnsi="Times New Roman" w:cs="黑体"/>
          <w:sz w:val="32"/>
          <w:szCs w:val="32"/>
        </w:rPr>
        <w:sectPr w:rsidR="00B87C8A" w:rsidSect="00612DDE">
          <w:pgSz w:w="12240" w:h="15840"/>
          <w:pgMar w:top="1440" w:right="1800" w:bottom="1440" w:left="1800" w:header="720" w:footer="720" w:gutter="0"/>
          <w:cols w:space="720"/>
          <w:docGrid w:linePitch="326"/>
        </w:sectPr>
      </w:pPr>
    </w:p>
    <w:p w:rsidR="00B87C8A" w:rsidRDefault="00B87C8A">
      <w:pPr>
        <w:autoSpaceDE w:val="0"/>
        <w:autoSpaceDN w:val="0"/>
        <w:adjustRightInd w:val="0"/>
        <w:rPr>
          <w:rFonts w:ascii="黑体" w:eastAsia="黑体" w:hAnsi="Times New Roman" w:cs="黑体"/>
          <w:sz w:val="96"/>
          <w:szCs w:val="96"/>
        </w:rPr>
      </w:pPr>
    </w:p>
    <w:p w:rsidR="00B87C8A" w:rsidRDefault="00B87C8A">
      <w:pPr>
        <w:autoSpaceDE w:val="0"/>
        <w:autoSpaceDN w:val="0"/>
        <w:adjustRightInd w:val="0"/>
        <w:jc w:val="center"/>
        <w:rPr>
          <w:rFonts w:ascii="黑体" w:eastAsia="黑体" w:hAnsi="Times New Roman" w:cs="黑体"/>
          <w:sz w:val="96"/>
          <w:szCs w:val="96"/>
        </w:rPr>
      </w:pPr>
    </w:p>
    <w:p w:rsidR="00B87C8A" w:rsidRDefault="00B87C8A">
      <w:pPr>
        <w:autoSpaceDE w:val="0"/>
        <w:autoSpaceDN w:val="0"/>
        <w:adjustRightInd w:val="0"/>
        <w:jc w:val="center"/>
        <w:rPr>
          <w:rFonts w:ascii="黑体" w:eastAsia="黑体" w:hAnsi="Times New Roman" w:cs="黑体"/>
          <w:sz w:val="84"/>
          <w:szCs w:val="84"/>
        </w:rPr>
      </w:pPr>
    </w:p>
    <w:p w:rsidR="00B87C8A" w:rsidRDefault="00B87C8A">
      <w:pPr>
        <w:autoSpaceDE w:val="0"/>
        <w:autoSpaceDN w:val="0"/>
        <w:adjustRightInd w:val="0"/>
        <w:jc w:val="center"/>
        <w:rPr>
          <w:rFonts w:ascii="黑体" w:eastAsia="黑体" w:hAnsi="Times New Roman" w:cs="黑体"/>
          <w:sz w:val="56"/>
          <w:szCs w:val="56"/>
        </w:rPr>
      </w:pPr>
    </w:p>
    <w:p w:rsidR="00B87C8A" w:rsidRDefault="002D1C8A">
      <w:pPr>
        <w:autoSpaceDE w:val="0"/>
        <w:autoSpaceDN w:val="0"/>
        <w:adjustRightInd w:val="0"/>
        <w:jc w:val="center"/>
        <w:rPr>
          <w:rFonts w:ascii="Times New Roman" w:eastAsia="黑体" w:hAnsi="Times New Roman"/>
          <w:sz w:val="84"/>
          <w:szCs w:val="84"/>
          <w:lang w:val="zh-CN"/>
        </w:rPr>
      </w:pPr>
      <w:r>
        <w:rPr>
          <w:rFonts w:ascii="黑体" w:eastAsia="黑体" w:hAnsi="Times New Roman" w:cs="黑体"/>
          <w:sz w:val="84"/>
          <w:szCs w:val="84"/>
        </w:rPr>
        <w:t>第一部分</w:t>
      </w:r>
    </w:p>
    <w:p w:rsidR="00B87C8A" w:rsidRDefault="002D1C8A" w:rsidP="00F06E69">
      <w:pPr>
        <w:autoSpaceDE w:val="0"/>
        <w:autoSpaceDN w:val="0"/>
        <w:adjustRightInd w:val="0"/>
        <w:spacing w:beforeLines="100"/>
        <w:jc w:val="center"/>
        <w:rPr>
          <w:rFonts w:ascii="Times New Roman" w:eastAsia="黑体" w:hAnsi="Times New Roman"/>
          <w:sz w:val="96"/>
          <w:szCs w:val="96"/>
          <w:lang w:val="zh-CN"/>
        </w:rPr>
      </w:pPr>
      <w:r>
        <w:rPr>
          <w:rFonts w:ascii="黑体" w:eastAsia="黑体" w:hAnsi="Times New Roman" w:cs="黑体"/>
          <w:sz w:val="84"/>
          <w:szCs w:val="84"/>
          <w:lang w:val="zh-CN"/>
        </w:rPr>
        <w:t>吉首大学</w:t>
      </w:r>
      <w:r>
        <w:rPr>
          <w:rFonts w:ascii="黑体" w:eastAsia="黑体" w:hAnsi="Times New Roman" w:cs="黑体"/>
          <w:sz w:val="84"/>
          <w:szCs w:val="84"/>
        </w:rPr>
        <w:t>概况</w:t>
      </w:r>
    </w:p>
    <w:p w:rsidR="00B87C8A" w:rsidRDefault="00B87C8A">
      <w:pPr>
        <w:autoSpaceDE w:val="0"/>
        <w:autoSpaceDN w:val="0"/>
        <w:adjustRightInd w:val="0"/>
        <w:jc w:val="center"/>
        <w:rPr>
          <w:rFonts w:hAnsi="Times New Roman"/>
          <w:sz w:val="96"/>
          <w:szCs w:val="96"/>
        </w:rPr>
        <w:sectPr w:rsidR="00B87C8A" w:rsidSect="00612DDE">
          <w:pgSz w:w="12240" w:h="15840"/>
          <w:pgMar w:top="1440" w:right="1800" w:bottom="1440" w:left="1800" w:header="720" w:footer="720" w:gutter="0"/>
          <w:cols w:space="720"/>
          <w:docGrid w:linePitch="326"/>
        </w:sectPr>
      </w:pPr>
    </w:p>
    <w:p w:rsidR="00B87C8A" w:rsidRDefault="002D1C8A">
      <w:pPr>
        <w:autoSpaceDE w:val="0"/>
        <w:autoSpaceDN w:val="0"/>
        <w:adjustRightInd w:val="0"/>
        <w:spacing w:line="360" w:lineRule="auto"/>
        <w:ind w:firstLineChars="200" w:firstLine="640"/>
        <w:rPr>
          <w:rFonts w:ascii="黑体" w:eastAsia="黑体" w:hAnsi="黑体" w:cs="黑体"/>
          <w:sz w:val="32"/>
          <w:szCs w:val="32"/>
          <w:lang w:val="zh-CN"/>
        </w:rPr>
      </w:pPr>
      <w:r>
        <w:rPr>
          <w:rFonts w:ascii="黑体" w:eastAsia="黑体" w:hAnsi="黑体" w:cs="黑体"/>
          <w:sz w:val="32"/>
          <w:szCs w:val="32"/>
        </w:rPr>
        <w:lastRenderedPageBreak/>
        <w:t>一、</w:t>
      </w:r>
      <w:r>
        <w:rPr>
          <w:rFonts w:ascii="黑体" w:eastAsia="黑体" w:hAnsi="黑体" w:cs="黑体"/>
          <w:sz w:val="32"/>
          <w:szCs w:val="32"/>
          <w:lang w:val="zh-CN"/>
        </w:rPr>
        <w:t>部门职责</w:t>
      </w:r>
    </w:p>
    <w:p w:rsidR="0074118E" w:rsidRDefault="0074118E" w:rsidP="008741C5">
      <w:pPr>
        <w:spacing w:line="360" w:lineRule="auto"/>
        <w:ind w:firstLineChars="200" w:firstLine="560"/>
        <w:rPr>
          <w:sz w:val="28"/>
          <w:szCs w:val="28"/>
        </w:rPr>
      </w:pPr>
      <w:r w:rsidRPr="0074118E">
        <w:rPr>
          <w:rFonts w:hint="eastAsia"/>
          <w:sz w:val="28"/>
          <w:szCs w:val="28"/>
        </w:rPr>
        <w:t>吉首大学创办于</w:t>
      </w:r>
      <w:r w:rsidRPr="0074118E">
        <w:rPr>
          <w:sz w:val="28"/>
          <w:szCs w:val="28"/>
        </w:rPr>
        <w:t>1958年，在湖南省湘西土家族苗族自治州和张家界市两地办学，是湖南省属综合性大学，也是武陵山片区唯一的综合性大学。学校先后成为国家民委与湖南省政府共建高校、一本批次录取高校、博士学位授权单位、湖南省高水平建设大学、湖南省“双一流”建设高校、推荐优秀应届本科毕业生免试攻读硕士学位研究生普通高校。</w:t>
      </w:r>
      <w:r w:rsidRPr="0074118E">
        <w:rPr>
          <w:rFonts w:hint="eastAsia"/>
          <w:sz w:val="28"/>
          <w:szCs w:val="28"/>
        </w:rPr>
        <w:t>面向未来，吉首大学将继续</w:t>
      </w:r>
      <w:r w:rsidR="008741C5" w:rsidRPr="00BA356D">
        <w:rPr>
          <w:rFonts w:hint="eastAsia"/>
          <w:color w:val="000000" w:themeColor="text1"/>
          <w:sz w:val="28"/>
          <w:szCs w:val="28"/>
        </w:rPr>
        <w:t>坚持“立足湘西、面向湖南、辐射全国、服务基层”的办学定位</w:t>
      </w:r>
      <w:r w:rsidR="008741C5">
        <w:rPr>
          <w:rFonts w:hint="eastAsia"/>
          <w:sz w:val="28"/>
          <w:szCs w:val="28"/>
        </w:rPr>
        <w:t>，</w:t>
      </w:r>
      <w:r w:rsidRPr="008741C5">
        <w:rPr>
          <w:rFonts w:hint="eastAsia"/>
          <w:sz w:val="28"/>
          <w:szCs w:val="28"/>
        </w:rPr>
        <w:t>创新知识和科学技术，培养具有人文精神、科学素养、创新能力和务实作风的复合型应用性人才，全面建设特色鲜明、优势突出的教学研究型综合大学。</w:t>
      </w:r>
    </w:p>
    <w:p w:rsidR="00B87C8A" w:rsidRDefault="002D1C8A">
      <w:pPr>
        <w:spacing w:line="360" w:lineRule="auto"/>
        <w:ind w:firstLineChars="200" w:firstLine="562"/>
        <w:rPr>
          <w:b/>
          <w:sz w:val="28"/>
          <w:szCs w:val="28"/>
        </w:rPr>
      </w:pPr>
      <w:r>
        <w:rPr>
          <w:b/>
          <w:sz w:val="28"/>
          <w:szCs w:val="28"/>
        </w:rPr>
        <w:t>（一）人才培养</w:t>
      </w:r>
    </w:p>
    <w:p w:rsidR="00B87C8A" w:rsidRDefault="002D1C8A" w:rsidP="00AD21AA">
      <w:pPr>
        <w:spacing w:line="360" w:lineRule="auto"/>
        <w:ind w:firstLineChars="200" w:firstLine="560"/>
        <w:rPr>
          <w:sz w:val="28"/>
          <w:szCs w:val="28"/>
        </w:rPr>
      </w:pPr>
      <w:r>
        <w:rPr>
          <w:sz w:val="28"/>
          <w:szCs w:val="28"/>
        </w:rPr>
        <w:t>学校根据国家政策、社会需要和自身办学条件，自主合理确定办学规模，调整办学结构</w:t>
      </w:r>
      <w:r w:rsidR="00AD21AA">
        <w:rPr>
          <w:sz w:val="28"/>
          <w:szCs w:val="28"/>
        </w:rPr>
        <w:t>，科学设置和调整学科、专业。依法招收学生，对学生实施教育和管理</w:t>
      </w:r>
      <w:r w:rsidR="00AD21AA">
        <w:rPr>
          <w:rFonts w:hint="eastAsia"/>
          <w:sz w:val="28"/>
          <w:szCs w:val="28"/>
        </w:rPr>
        <w:t>。</w:t>
      </w:r>
      <w:r w:rsidR="00AD21AA">
        <w:rPr>
          <w:sz w:val="28"/>
          <w:szCs w:val="28"/>
        </w:rPr>
        <w:t>学校主要教育形式为全日制学历教育</w:t>
      </w:r>
      <w:r w:rsidR="00AD21AA">
        <w:rPr>
          <w:rFonts w:hint="eastAsia"/>
          <w:sz w:val="28"/>
          <w:szCs w:val="28"/>
        </w:rPr>
        <w:t>，</w:t>
      </w:r>
      <w:r w:rsidR="00AD21AA" w:rsidRPr="00AD21AA">
        <w:rPr>
          <w:sz w:val="28"/>
          <w:szCs w:val="28"/>
        </w:rPr>
        <w:t>学历教育以本科生教育为主，积极开展研究生教育和留学生教育。</w:t>
      </w:r>
      <w:r w:rsidR="00AD21AA">
        <w:rPr>
          <w:rFonts w:hint="eastAsia"/>
          <w:sz w:val="28"/>
          <w:szCs w:val="28"/>
        </w:rPr>
        <w:t>学校</w:t>
      </w:r>
      <w:r>
        <w:rPr>
          <w:sz w:val="28"/>
          <w:szCs w:val="28"/>
        </w:rPr>
        <w:t>根据办学定位及社会需要等，自主确立人才培养目标和要求，组织实施教育</w:t>
      </w:r>
      <w:r w:rsidR="00AD21AA">
        <w:rPr>
          <w:sz w:val="28"/>
          <w:szCs w:val="28"/>
        </w:rPr>
        <w:t>教学活动。学校依法向符合条件的毕业生颁发相应学业证书和学位证书</w:t>
      </w:r>
      <w:r w:rsidR="00AD21AA">
        <w:rPr>
          <w:rFonts w:hint="eastAsia"/>
          <w:sz w:val="28"/>
          <w:szCs w:val="28"/>
        </w:rPr>
        <w:t>，</w:t>
      </w:r>
      <w:r>
        <w:rPr>
          <w:sz w:val="28"/>
          <w:szCs w:val="28"/>
        </w:rPr>
        <w:t>执行国家学位制度，依法授予学士、硕士、博士学位。并可向为社会发展和人类文明进步做出突出贡献的杰出人士授予名誉博士学位或其他荣誉称号。</w:t>
      </w:r>
    </w:p>
    <w:p w:rsidR="00B87C8A" w:rsidRDefault="002D1C8A">
      <w:pPr>
        <w:pStyle w:val="a6"/>
        <w:spacing w:line="360" w:lineRule="auto"/>
        <w:ind w:firstLineChars="0" w:firstLine="562"/>
        <w:rPr>
          <w:b/>
          <w:sz w:val="28"/>
          <w:szCs w:val="28"/>
        </w:rPr>
      </w:pPr>
      <w:r>
        <w:rPr>
          <w:b/>
          <w:sz w:val="28"/>
          <w:szCs w:val="28"/>
        </w:rPr>
        <w:t>（二）科学研究</w:t>
      </w:r>
    </w:p>
    <w:p w:rsidR="00B87C8A" w:rsidRDefault="002D1C8A">
      <w:pPr>
        <w:spacing w:line="360" w:lineRule="auto"/>
        <w:ind w:firstLineChars="200" w:firstLine="560"/>
        <w:rPr>
          <w:sz w:val="28"/>
          <w:szCs w:val="28"/>
        </w:rPr>
      </w:pPr>
      <w:r>
        <w:rPr>
          <w:sz w:val="28"/>
          <w:szCs w:val="28"/>
        </w:rPr>
        <w:t>学校面向学术前沿和社会需求，积极开展科学研究，促进知识创新和技术创新，致力于解决经济社会发展中的理论与实践问题。支持并组</w:t>
      </w:r>
      <w:r>
        <w:rPr>
          <w:sz w:val="28"/>
          <w:szCs w:val="28"/>
        </w:rPr>
        <w:lastRenderedPageBreak/>
        <w:t>织教师、研究人员和学生开展各类科学研究，鼓励自由探索和科研创新，形成自身科研特色与优势，促进良好学术生态与优良学术传统的形成。学校推动科学研究与人才培养、社会服务、文化传承创新工作紧密结合，提高人才培养质量，增强服务社会能力，整体提升办学实力。学校尊重和保障教师、研究人员和学生在教学、研究和学习方面依法享有的学术自由，营造宽松而积极向上的学术环境，建立健全学术评价机制，倡导学术平等，严格学术管理。学校加强学术道德宣传与学术诚信教育，反对和惩处学术不端行为。</w:t>
      </w:r>
    </w:p>
    <w:p w:rsidR="00B87C8A" w:rsidRDefault="002D1C8A">
      <w:pPr>
        <w:pStyle w:val="a6"/>
        <w:spacing w:line="360" w:lineRule="auto"/>
        <w:ind w:firstLineChars="0" w:firstLine="562"/>
        <w:rPr>
          <w:b/>
          <w:sz w:val="28"/>
          <w:szCs w:val="28"/>
        </w:rPr>
      </w:pPr>
      <w:r>
        <w:rPr>
          <w:b/>
          <w:sz w:val="28"/>
          <w:szCs w:val="28"/>
        </w:rPr>
        <w:t>（三）社会服务</w:t>
      </w:r>
    </w:p>
    <w:p w:rsidR="00B87C8A" w:rsidRDefault="002D1C8A">
      <w:pPr>
        <w:pStyle w:val="a6"/>
        <w:spacing w:line="360" w:lineRule="auto"/>
        <w:ind w:firstLine="560"/>
        <w:rPr>
          <w:sz w:val="28"/>
          <w:szCs w:val="28"/>
        </w:rPr>
      </w:pPr>
      <w:r>
        <w:rPr>
          <w:sz w:val="28"/>
          <w:szCs w:val="28"/>
        </w:rPr>
        <w:t>学校以人才培养和科学研究成果服务社会，积极为地方和国家经济社会发展提供人才与智力支持。学校树立主动服务社会意识，构建开放包容、合作共享的社会服务机制，构筑社会服务平台，提高对地方和国家经济社会发展的贡献度。学校利用人才优势充分发挥智囊团、思想库作用，为地方和国家经济社会发展提供决策咨询服务。学校建立健全档案、资料、信息、设施、设备等资源开放机制，面向社会提供资源共享服务。学校鼓励师生员工开展社区服务和志愿服务。</w:t>
      </w:r>
    </w:p>
    <w:p w:rsidR="00B87C8A" w:rsidRDefault="002D1C8A">
      <w:pPr>
        <w:pStyle w:val="a6"/>
        <w:spacing w:line="360" w:lineRule="auto"/>
        <w:ind w:firstLineChars="0" w:firstLine="562"/>
        <w:rPr>
          <w:b/>
          <w:sz w:val="28"/>
          <w:szCs w:val="28"/>
        </w:rPr>
      </w:pPr>
      <w:r>
        <w:rPr>
          <w:b/>
          <w:sz w:val="28"/>
          <w:szCs w:val="28"/>
        </w:rPr>
        <w:t>（四）文化传承与创新</w:t>
      </w:r>
    </w:p>
    <w:p w:rsidR="00B87C8A" w:rsidRDefault="002D1C8A">
      <w:pPr>
        <w:pStyle w:val="a6"/>
        <w:spacing w:line="360" w:lineRule="auto"/>
        <w:ind w:firstLine="560"/>
        <w:rPr>
          <w:sz w:val="28"/>
          <w:szCs w:val="28"/>
        </w:rPr>
      </w:pPr>
      <w:r>
        <w:rPr>
          <w:sz w:val="28"/>
          <w:szCs w:val="28"/>
        </w:rPr>
        <w:t>学校致力于优秀传统文化的传承与创新，促进民族优秀文化与世界先进文明交流融汇，并致力于地方民族优秀传统文化的发掘、整理、研究和传播，丰富中华民族文化宝库，发挥学校文化研究、示范与辐射功能，引领区域文化发展，促进各民族间文化交流与文化繁荣。学校坚持立德树人，以文化人，推进大学文化和大学精神建设，构建良好文化氛围，增强办学活力。</w:t>
      </w:r>
    </w:p>
    <w:p w:rsidR="00B87C8A" w:rsidRDefault="002D1C8A">
      <w:pPr>
        <w:pStyle w:val="a6"/>
        <w:spacing w:line="360" w:lineRule="auto"/>
        <w:ind w:firstLine="640"/>
        <w:rPr>
          <w:rFonts w:ascii="黑体" w:eastAsia="黑体" w:hAnsi="黑体" w:cs="黑体"/>
          <w:sz w:val="32"/>
          <w:szCs w:val="32"/>
        </w:rPr>
      </w:pPr>
      <w:r>
        <w:rPr>
          <w:rFonts w:ascii="黑体" w:eastAsia="黑体" w:hAnsi="黑体" w:cs="黑体"/>
          <w:sz w:val="32"/>
          <w:szCs w:val="32"/>
        </w:rPr>
        <w:t>二、机构设置</w:t>
      </w:r>
      <w:r>
        <w:rPr>
          <w:rFonts w:ascii="黑体" w:eastAsia="黑体" w:hAnsi="黑体" w:cs="黑体"/>
          <w:sz w:val="32"/>
          <w:szCs w:val="32"/>
          <w:lang w:val="zh-CN"/>
        </w:rPr>
        <w:t>及</w:t>
      </w:r>
      <w:r>
        <w:rPr>
          <w:rFonts w:ascii="黑体" w:eastAsia="黑体" w:hAnsi="黑体" w:cs="黑体"/>
          <w:sz w:val="32"/>
          <w:szCs w:val="32"/>
        </w:rPr>
        <w:t>决算单位构成</w:t>
      </w:r>
    </w:p>
    <w:p w:rsidR="00B63611" w:rsidRDefault="002D1C8A" w:rsidP="00ED4410">
      <w:pPr>
        <w:spacing w:line="360" w:lineRule="auto"/>
        <w:ind w:firstLineChars="200" w:firstLine="562"/>
        <w:rPr>
          <w:b/>
          <w:sz w:val="28"/>
          <w:szCs w:val="28"/>
        </w:rPr>
      </w:pPr>
      <w:r>
        <w:rPr>
          <w:b/>
          <w:sz w:val="28"/>
          <w:szCs w:val="28"/>
        </w:rPr>
        <w:lastRenderedPageBreak/>
        <w:t>（一）内设机构设置。</w:t>
      </w:r>
    </w:p>
    <w:p w:rsidR="00ED4410" w:rsidRDefault="00ED4410" w:rsidP="00B63611">
      <w:pPr>
        <w:spacing w:line="360" w:lineRule="auto"/>
        <w:ind w:firstLineChars="200" w:firstLine="560"/>
        <w:rPr>
          <w:sz w:val="28"/>
          <w:szCs w:val="28"/>
        </w:rPr>
      </w:pPr>
      <w:r w:rsidRPr="00ED4410">
        <w:rPr>
          <w:sz w:val="28"/>
          <w:szCs w:val="28"/>
        </w:rPr>
        <w:t>1、党政管理机构：党政办公室（简称党政办），党委组</w:t>
      </w:r>
      <w:r w:rsidRPr="00ED4410">
        <w:rPr>
          <w:rFonts w:hint="eastAsia"/>
          <w:sz w:val="28"/>
          <w:szCs w:val="28"/>
        </w:rPr>
        <w:t>织部、党校（简称组织部），党委宣传部（简宣传部），党委统战部（简称统战部），党委学生工作部、团委、武装部（简称学工部、团委），党委保卫工作部（简称保卫部），发展规划与学科建设处（简称规划处），教务处（创新创业学院、教学质量监控与评估中心）（简称教务处），科研管理处（简称科研处），人事处（教师工作部）（简称人事处），研究生院，财务处，资产与实验室管理处（简称资产处），审计处，后勤管理处（简称后勤处），招生就业处（简称招就处），基建处，离退休工作处、工会（简称离退处、工会），采购与招投标办公室（简称招标办），张家界校区办公室（简称校区办）。</w:t>
      </w:r>
    </w:p>
    <w:p w:rsidR="00ED4410" w:rsidRDefault="00ED4410" w:rsidP="00ED4410">
      <w:pPr>
        <w:spacing w:line="360" w:lineRule="auto"/>
        <w:ind w:firstLineChars="200" w:firstLine="560"/>
        <w:rPr>
          <w:sz w:val="28"/>
          <w:szCs w:val="28"/>
        </w:rPr>
      </w:pPr>
      <w:r w:rsidRPr="00ED4410">
        <w:rPr>
          <w:sz w:val="28"/>
          <w:szCs w:val="28"/>
        </w:rPr>
        <w:t>2、纪检监察机构：纪委、监察专员办公室（简称纪监</w:t>
      </w:r>
      <w:r w:rsidRPr="00ED4410">
        <w:rPr>
          <w:rFonts w:hint="eastAsia"/>
          <w:sz w:val="28"/>
          <w:szCs w:val="28"/>
        </w:rPr>
        <w:t>办）。</w:t>
      </w:r>
    </w:p>
    <w:p w:rsidR="00ED4410" w:rsidRDefault="00ED4410" w:rsidP="00ED4410">
      <w:pPr>
        <w:spacing w:line="360" w:lineRule="auto"/>
        <w:ind w:firstLineChars="200" w:firstLine="560"/>
        <w:rPr>
          <w:sz w:val="28"/>
          <w:szCs w:val="28"/>
        </w:rPr>
      </w:pPr>
      <w:r w:rsidRPr="00ED4410">
        <w:rPr>
          <w:sz w:val="28"/>
          <w:szCs w:val="28"/>
        </w:rPr>
        <w:t>3、教辅机构：图书馆、信息化中心、学报编辑部（简</w:t>
      </w:r>
      <w:r w:rsidRPr="00ED4410">
        <w:rPr>
          <w:rFonts w:hint="eastAsia"/>
          <w:sz w:val="28"/>
          <w:szCs w:val="28"/>
        </w:rPr>
        <w:t>称学报）、校友工作办公室（简称校友办）、张家界校区后勤与安全事务中心（简称后勤安全中心）、张家界校区教学科研与学生事务中心（简称教科研学中心）。</w:t>
      </w:r>
    </w:p>
    <w:p w:rsidR="00ED4410" w:rsidRDefault="00ED4410" w:rsidP="00ED4410">
      <w:pPr>
        <w:spacing w:line="360" w:lineRule="auto"/>
        <w:ind w:firstLineChars="200" w:firstLine="560"/>
        <w:rPr>
          <w:sz w:val="28"/>
          <w:szCs w:val="28"/>
        </w:rPr>
      </w:pPr>
      <w:r w:rsidRPr="00ED4410">
        <w:rPr>
          <w:sz w:val="28"/>
          <w:szCs w:val="28"/>
        </w:rPr>
        <w:t>4、科研机构：杜仲综合利用技术国家地方联合工程实</w:t>
      </w:r>
      <w:r w:rsidRPr="00ED4410">
        <w:rPr>
          <w:rFonts w:hint="eastAsia"/>
          <w:sz w:val="28"/>
          <w:szCs w:val="28"/>
        </w:rPr>
        <w:t>验室（简称杜仲实验室）。</w:t>
      </w:r>
    </w:p>
    <w:p w:rsidR="00B63611" w:rsidRDefault="00ED4410" w:rsidP="00ED4410">
      <w:pPr>
        <w:spacing w:line="360" w:lineRule="auto"/>
        <w:ind w:firstLineChars="200" w:firstLine="560"/>
        <w:rPr>
          <w:sz w:val="28"/>
          <w:szCs w:val="28"/>
        </w:rPr>
      </w:pPr>
      <w:r w:rsidRPr="00ED4410">
        <w:rPr>
          <w:sz w:val="28"/>
          <w:szCs w:val="28"/>
        </w:rPr>
        <w:t>5、学院系部：文学与新闻传播学院（简称文传学院）、</w:t>
      </w:r>
      <w:r w:rsidRPr="00ED4410">
        <w:rPr>
          <w:rFonts w:hint="eastAsia"/>
          <w:sz w:val="28"/>
          <w:szCs w:val="28"/>
        </w:rPr>
        <w:t>人文学院、外国语学院、马克思主义学院（简称马院）、商学院、体育科学学院（简称体育学院）、数学与统计学院（简称数统学院）、物理与机电工程学院（简称物电学院）、通信与电子工程学院（简称通信学院）、计算机科学与工程学院（简称计算机学院）、化学化工学院（简称化工学院）、生物资源与环境科学学院（简称资环学院）、土木工程与建筑学院（简</w:t>
      </w:r>
      <w:r w:rsidRPr="00ED4410">
        <w:rPr>
          <w:rFonts w:hint="eastAsia"/>
          <w:sz w:val="28"/>
          <w:szCs w:val="28"/>
        </w:rPr>
        <w:lastRenderedPageBreak/>
        <w:t>称土木学院）、旅游学院、医学院、药学院、法学与公共管理学院（简称法管学院）、音乐舞蹈学院（简称音舞学院）、美术学院、民族预科教育学院（简称预科学院）、教师教育学院（简称教育学院）、继续教育学院。</w:t>
      </w:r>
    </w:p>
    <w:p w:rsidR="00B87C8A" w:rsidRPr="00B63611" w:rsidRDefault="002D1C8A" w:rsidP="00B63611">
      <w:pPr>
        <w:spacing w:line="360" w:lineRule="auto"/>
        <w:ind w:firstLineChars="200" w:firstLine="562"/>
        <w:rPr>
          <w:b/>
          <w:sz w:val="28"/>
          <w:szCs w:val="28"/>
        </w:rPr>
      </w:pPr>
      <w:r>
        <w:rPr>
          <w:b/>
          <w:sz w:val="28"/>
          <w:szCs w:val="28"/>
        </w:rPr>
        <w:t>（二）决算单位构成。</w:t>
      </w:r>
      <w:r>
        <w:rPr>
          <w:sz w:val="28"/>
          <w:szCs w:val="28"/>
        </w:rPr>
        <w:t>吉首大学部门决算报表公开单位构成包括： 吉首大学校本部，不含吉首大学师范学院和吉首大学张家界学院。</w:t>
      </w:r>
    </w:p>
    <w:p w:rsidR="00B63611" w:rsidRDefault="00B63611" w:rsidP="00B63611">
      <w:pPr>
        <w:autoSpaceDE w:val="0"/>
        <w:autoSpaceDN w:val="0"/>
        <w:adjustRightInd w:val="0"/>
        <w:rPr>
          <w:rFonts w:ascii="黑体" w:eastAsia="黑体" w:hAnsi="Times New Roman" w:cs="黑体"/>
          <w:sz w:val="96"/>
          <w:szCs w:val="96"/>
        </w:rPr>
      </w:pPr>
    </w:p>
    <w:p w:rsidR="00B87C8A" w:rsidRDefault="00B87C8A">
      <w:pPr>
        <w:autoSpaceDE w:val="0"/>
        <w:autoSpaceDN w:val="0"/>
        <w:adjustRightInd w:val="0"/>
        <w:jc w:val="center"/>
        <w:rPr>
          <w:rFonts w:ascii="黑体" w:eastAsia="黑体" w:hAnsi="Times New Roman" w:cs="黑体"/>
          <w:sz w:val="96"/>
          <w:szCs w:val="96"/>
        </w:rPr>
      </w:pPr>
    </w:p>
    <w:p w:rsidR="00B87C8A" w:rsidRDefault="00B87C8A" w:rsidP="00F06E69">
      <w:pPr>
        <w:autoSpaceDE w:val="0"/>
        <w:autoSpaceDN w:val="0"/>
        <w:adjustRightInd w:val="0"/>
        <w:spacing w:afterLines="50"/>
        <w:jc w:val="center"/>
        <w:rPr>
          <w:rFonts w:ascii="黑体" w:eastAsia="黑体" w:hAnsi="Times New Roman" w:cs="黑体"/>
          <w:sz w:val="48"/>
          <w:szCs w:val="48"/>
        </w:rPr>
      </w:pPr>
    </w:p>
    <w:p w:rsidR="00B87C8A" w:rsidRDefault="00B87C8A" w:rsidP="00F06E69">
      <w:pPr>
        <w:autoSpaceDE w:val="0"/>
        <w:autoSpaceDN w:val="0"/>
        <w:adjustRightInd w:val="0"/>
        <w:spacing w:afterLines="50"/>
        <w:jc w:val="center"/>
        <w:rPr>
          <w:rFonts w:ascii="黑体" w:eastAsia="黑体" w:hAnsi="Times New Roman" w:cs="黑体"/>
          <w:sz w:val="84"/>
          <w:szCs w:val="84"/>
        </w:rPr>
      </w:pPr>
    </w:p>
    <w:p w:rsidR="00612DDE" w:rsidRDefault="00612DDE" w:rsidP="00F06E69">
      <w:pPr>
        <w:autoSpaceDE w:val="0"/>
        <w:autoSpaceDN w:val="0"/>
        <w:adjustRightInd w:val="0"/>
        <w:spacing w:afterLines="50"/>
        <w:jc w:val="center"/>
        <w:rPr>
          <w:rFonts w:ascii="黑体" w:eastAsia="黑体" w:hAnsi="Times New Roman" w:cs="黑体"/>
          <w:sz w:val="84"/>
          <w:szCs w:val="84"/>
        </w:rPr>
      </w:pPr>
    </w:p>
    <w:p w:rsidR="00612DDE" w:rsidRDefault="00612DDE" w:rsidP="00F06E69">
      <w:pPr>
        <w:autoSpaceDE w:val="0"/>
        <w:autoSpaceDN w:val="0"/>
        <w:adjustRightInd w:val="0"/>
        <w:spacing w:afterLines="50"/>
        <w:jc w:val="center"/>
        <w:rPr>
          <w:rFonts w:ascii="黑体" w:eastAsia="黑体" w:hAnsi="Times New Roman" w:cs="黑体"/>
          <w:sz w:val="84"/>
          <w:szCs w:val="84"/>
        </w:rPr>
      </w:pPr>
    </w:p>
    <w:p w:rsidR="00612DDE" w:rsidRDefault="00612DDE" w:rsidP="00F06E69">
      <w:pPr>
        <w:autoSpaceDE w:val="0"/>
        <w:autoSpaceDN w:val="0"/>
        <w:adjustRightInd w:val="0"/>
        <w:spacing w:afterLines="50"/>
        <w:jc w:val="center"/>
        <w:rPr>
          <w:rFonts w:ascii="黑体" w:eastAsia="黑体" w:hAnsi="Times New Roman" w:cs="黑体"/>
          <w:sz w:val="84"/>
          <w:szCs w:val="84"/>
        </w:rPr>
      </w:pPr>
    </w:p>
    <w:p w:rsidR="00612DDE" w:rsidRDefault="00612DDE" w:rsidP="00F06E69">
      <w:pPr>
        <w:autoSpaceDE w:val="0"/>
        <w:autoSpaceDN w:val="0"/>
        <w:adjustRightInd w:val="0"/>
        <w:spacing w:afterLines="50"/>
        <w:jc w:val="center"/>
        <w:rPr>
          <w:rFonts w:ascii="黑体" w:eastAsia="黑体" w:hAnsi="Times New Roman" w:cs="黑体"/>
          <w:sz w:val="84"/>
          <w:szCs w:val="84"/>
        </w:rPr>
      </w:pPr>
    </w:p>
    <w:p w:rsidR="00612DDE" w:rsidRDefault="00612DDE" w:rsidP="00F06E69">
      <w:pPr>
        <w:autoSpaceDE w:val="0"/>
        <w:autoSpaceDN w:val="0"/>
        <w:adjustRightInd w:val="0"/>
        <w:spacing w:afterLines="50"/>
        <w:jc w:val="center"/>
        <w:rPr>
          <w:rFonts w:ascii="黑体" w:eastAsia="黑体" w:hAnsi="Times New Roman" w:cs="黑体"/>
          <w:sz w:val="84"/>
          <w:szCs w:val="84"/>
        </w:rPr>
      </w:pPr>
    </w:p>
    <w:p w:rsidR="00612DDE" w:rsidRDefault="00612DDE" w:rsidP="00F06E69">
      <w:pPr>
        <w:autoSpaceDE w:val="0"/>
        <w:autoSpaceDN w:val="0"/>
        <w:adjustRightInd w:val="0"/>
        <w:spacing w:afterLines="50"/>
        <w:jc w:val="center"/>
        <w:rPr>
          <w:rFonts w:ascii="黑体" w:eastAsia="黑体" w:hAnsi="Times New Roman" w:cs="黑体"/>
          <w:sz w:val="84"/>
          <w:szCs w:val="84"/>
        </w:rPr>
      </w:pPr>
    </w:p>
    <w:p w:rsidR="00B87C8A" w:rsidRDefault="002D1C8A" w:rsidP="00F06E69">
      <w:pPr>
        <w:autoSpaceDE w:val="0"/>
        <w:autoSpaceDN w:val="0"/>
        <w:adjustRightInd w:val="0"/>
        <w:spacing w:afterLines="50"/>
        <w:jc w:val="center"/>
        <w:rPr>
          <w:rFonts w:ascii="黑体" w:eastAsia="黑体" w:hAnsi="Times New Roman" w:cs="黑体"/>
          <w:sz w:val="84"/>
          <w:szCs w:val="84"/>
        </w:rPr>
      </w:pPr>
      <w:r>
        <w:rPr>
          <w:rFonts w:ascii="黑体" w:eastAsia="黑体" w:hAnsi="Times New Roman" w:cs="黑体"/>
          <w:sz w:val="84"/>
          <w:szCs w:val="84"/>
        </w:rPr>
        <w:t>第二部分</w:t>
      </w:r>
    </w:p>
    <w:p w:rsidR="00B87C8A" w:rsidRDefault="002D1C8A" w:rsidP="00F06E69">
      <w:pPr>
        <w:autoSpaceDE w:val="0"/>
        <w:autoSpaceDN w:val="0"/>
        <w:adjustRightInd w:val="0"/>
        <w:spacing w:beforeLines="100"/>
        <w:jc w:val="center"/>
        <w:rPr>
          <w:rFonts w:ascii="黑体" w:eastAsia="黑体" w:hAnsi="Times New Roman" w:cs="黑体"/>
          <w:sz w:val="96"/>
          <w:szCs w:val="96"/>
          <w:lang w:val="zh-CN"/>
        </w:rPr>
        <w:sectPr w:rsidR="00B87C8A" w:rsidSect="00612DDE">
          <w:pgSz w:w="12240" w:h="15840"/>
          <w:pgMar w:top="1440" w:right="1800" w:bottom="1440" w:left="1800" w:header="720" w:footer="720" w:gutter="0"/>
          <w:cols w:space="720"/>
          <w:docGrid w:linePitch="326"/>
        </w:sectPr>
      </w:pPr>
      <w:r>
        <w:rPr>
          <w:rFonts w:ascii="黑体" w:eastAsia="黑体" w:hAnsi="Times New Roman" w:cs="黑体"/>
          <w:sz w:val="84"/>
          <w:szCs w:val="84"/>
          <w:lang w:val="zh-CN"/>
        </w:rPr>
        <w:t>吉首大学</w:t>
      </w:r>
      <w:r w:rsidR="00CA5E48">
        <w:rPr>
          <w:rFonts w:ascii="黑体" w:eastAsia="黑体" w:hAnsi="Times New Roman" w:cs="黑体"/>
          <w:sz w:val="84"/>
          <w:szCs w:val="84"/>
          <w:lang w:val="zh-CN"/>
        </w:rPr>
        <w:t>202</w:t>
      </w:r>
      <w:r w:rsidR="00CA5E48">
        <w:rPr>
          <w:rFonts w:ascii="黑体" w:eastAsia="黑体" w:hAnsi="Times New Roman" w:cs="黑体" w:hint="eastAsia"/>
          <w:sz w:val="84"/>
          <w:szCs w:val="84"/>
          <w:lang w:val="zh-CN"/>
        </w:rPr>
        <w:t>2</w:t>
      </w:r>
      <w:r>
        <w:rPr>
          <w:rFonts w:ascii="黑体" w:eastAsia="黑体" w:hAnsi="Times New Roman" w:cs="黑体"/>
          <w:sz w:val="84"/>
          <w:szCs w:val="84"/>
          <w:lang w:val="zh-CN"/>
        </w:rPr>
        <w:t>年度部门决算表</w:t>
      </w:r>
    </w:p>
    <w:tbl>
      <w:tblPr>
        <w:tblW w:w="15224" w:type="dxa"/>
        <w:tblInd w:w="96" w:type="dxa"/>
        <w:tblLayout w:type="fixed"/>
        <w:tblLook w:val="04A0"/>
      </w:tblPr>
      <w:tblGrid>
        <w:gridCol w:w="3896"/>
        <w:gridCol w:w="1656"/>
        <w:gridCol w:w="1872"/>
        <w:gridCol w:w="3984"/>
        <w:gridCol w:w="1872"/>
        <w:gridCol w:w="1944"/>
      </w:tblGrid>
      <w:tr w:rsidR="00B87C8A">
        <w:trPr>
          <w:trHeight w:val="384"/>
        </w:trPr>
        <w:tc>
          <w:tcPr>
            <w:tcW w:w="15224" w:type="dxa"/>
            <w:gridSpan w:val="6"/>
            <w:tcBorders>
              <w:top w:val="nil"/>
              <w:left w:val="nil"/>
              <w:bottom w:val="nil"/>
              <w:right w:val="nil"/>
              <w:tl2br w:val="nil"/>
              <w:tr2bl w:val="nil"/>
            </w:tcBorders>
            <w:noWrap/>
            <w:vAlign w:val="bottom"/>
          </w:tcPr>
          <w:p w:rsidR="00B87C8A" w:rsidRDefault="002D1C8A">
            <w:pPr>
              <w:jc w:val="center"/>
              <w:textAlignment w:val="bottom"/>
              <w:rPr>
                <w:color w:val="000000"/>
                <w:sz w:val="30"/>
                <w:szCs w:val="30"/>
              </w:rPr>
            </w:pPr>
            <w:r>
              <w:rPr>
                <w:color w:val="000000"/>
                <w:sz w:val="30"/>
                <w:szCs w:val="30"/>
              </w:rPr>
              <w:lastRenderedPageBreak/>
              <w:t>一、收入支出决算总表</w:t>
            </w:r>
          </w:p>
        </w:tc>
      </w:tr>
      <w:tr w:rsidR="00B87C8A">
        <w:trPr>
          <w:trHeight w:val="264"/>
        </w:trPr>
        <w:tc>
          <w:tcPr>
            <w:tcW w:w="3896"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656"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872"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3984"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872"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944" w:type="dxa"/>
            <w:tcBorders>
              <w:top w:val="nil"/>
              <w:left w:val="nil"/>
              <w:bottom w:val="nil"/>
              <w:right w:val="nil"/>
              <w:tl2br w:val="nil"/>
              <w:tr2bl w:val="nil"/>
            </w:tcBorders>
            <w:noWrap/>
            <w:vAlign w:val="bottom"/>
          </w:tcPr>
          <w:p w:rsidR="00B87C8A" w:rsidRDefault="002D1C8A">
            <w:pPr>
              <w:jc w:val="right"/>
              <w:textAlignment w:val="bottom"/>
              <w:rPr>
                <w:color w:val="000000"/>
                <w:sz w:val="20"/>
                <w:szCs w:val="20"/>
              </w:rPr>
            </w:pPr>
            <w:r>
              <w:rPr>
                <w:color w:val="000000"/>
                <w:sz w:val="20"/>
                <w:szCs w:val="20"/>
              </w:rPr>
              <w:t>公开01表</w:t>
            </w:r>
          </w:p>
        </w:tc>
      </w:tr>
      <w:tr w:rsidR="00B87C8A">
        <w:trPr>
          <w:trHeight w:val="264"/>
        </w:trPr>
        <w:tc>
          <w:tcPr>
            <w:tcW w:w="3896" w:type="dxa"/>
            <w:tcBorders>
              <w:top w:val="nil"/>
              <w:left w:val="nil"/>
              <w:bottom w:val="nil"/>
              <w:right w:val="nil"/>
              <w:tl2br w:val="nil"/>
              <w:tr2bl w:val="nil"/>
            </w:tcBorders>
            <w:noWrap/>
            <w:vAlign w:val="bottom"/>
          </w:tcPr>
          <w:p w:rsidR="00B87C8A" w:rsidRPr="00B237E9" w:rsidRDefault="002D1C8A">
            <w:pPr>
              <w:textAlignment w:val="bottom"/>
              <w:rPr>
                <w:color w:val="000000"/>
                <w:sz w:val="20"/>
                <w:szCs w:val="20"/>
              </w:rPr>
            </w:pPr>
            <w:r w:rsidRPr="00B237E9">
              <w:rPr>
                <w:color w:val="000000"/>
                <w:sz w:val="20"/>
                <w:szCs w:val="20"/>
              </w:rPr>
              <w:t>部门：吉首大学</w:t>
            </w:r>
          </w:p>
        </w:tc>
        <w:tc>
          <w:tcPr>
            <w:tcW w:w="1656" w:type="dxa"/>
            <w:tcBorders>
              <w:top w:val="nil"/>
              <w:left w:val="nil"/>
              <w:bottom w:val="nil"/>
              <w:right w:val="nil"/>
              <w:tl2br w:val="nil"/>
              <w:tr2bl w:val="nil"/>
            </w:tcBorders>
            <w:noWrap/>
            <w:vAlign w:val="bottom"/>
          </w:tcPr>
          <w:p w:rsidR="00B87C8A" w:rsidRPr="00B237E9" w:rsidRDefault="00B87C8A">
            <w:pPr>
              <w:rPr>
                <w:rFonts w:ascii="Arial" w:hAnsi="Arial" w:cs="Arial"/>
                <w:color w:val="000000"/>
                <w:sz w:val="20"/>
                <w:szCs w:val="20"/>
              </w:rPr>
            </w:pPr>
          </w:p>
        </w:tc>
        <w:tc>
          <w:tcPr>
            <w:tcW w:w="1872" w:type="dxa"/>
            <w:tcBorders>
              <w:top w:val="nil"/>
              <w:left w:val="nil"/>
              <w:bottom w:val="nil"/>
              <w:right w:val="nil"/>
              <w:tl2br w:val="nil"/>
              <w:tr2bl w:val="nil"/>
            </w:tcBorders>
            <w:noWrap/>
            <w:vAlign w:val="bottom"/>
          </w:tcPr>
          <w:p w:rsidR="00B87C8A" w:rsidRPr="00B237E9" w:rsidRDefault="00B87C8A">
            <w:pPr>
              <w:rPr>
                <w:rFonts w:ascii="Arial" w:hAnsi="Arial" w:cs="Arial"/>
                <w:color w:val="000000"/>
                <w:sz w:val="20"/>
                <w:szCs w:val="20"/>
              </w:rPr>
            </w:pPr>
          </w:p>
        </w:tc>
        <w:tc>
          <w:tcPr>
            <w:tcW w:w="3984" w:type="dxa"/>
            <w:tcBorders>
              <w:top w:val="nil"/>
              <w:left w:val="nil"/>
              <w:bottom w:val="nil"/>
              <w:right w:val="nil"/>
              <w:tl2br w:val="nil"/>
              <w:tr2bl w:val="nil"/>
            </w:tcBorders>
            <w:noWrap/>
            <w:vAlign w:val="bottom"/>
          </w:tcPr>
          <w:p w:rsidR="00B87C8A" w:rsidRPr="00B237E9" w:rsidRDefault="00B87C8A">
            <w:pPr>
              <w:rPr>
                <w:rFonts w:ascii="Arial" w:hAnsi="Arial" w:cs="Arial"/>
                <w:color w:val="000000"/>
                <w:sz w:val="20"/>
                <w:szCs w:val="20"/>
              </w:rPr>
            </w:pPr>
          </w:p>
        </w:tc>
        <w:tc>
          <w:tcPr>
            <w:tcW w:w="1872" w:type="dxa"/>
            <w:tcBorders>
              <w:top w:val="nil"/>
              <w:left w:val="nil"/>
              <w:bottom w:val="nil"/>
              <w:right w:val="nil"/>
              <w:tl2br w:val="nil"/>
              <w:tr2bl w:val="nil"/>
            </w:tcBorders>
            <w:noWrap/>
            <w:vAlign w:val="bottom"/>
          </w:tcPr>
          <w:p w:rsidR="00B87C8A" w:rsidRPr="00B237E9" w:rsidRDefault="00B87C8A">
            <w:pPr>
              <w:rPr>
                <w:rFonts w:ascii="Arial" w:hAnsi="Arial" w:cs="Arial"/>
                <w:color w:val="000000"/>
                <w:sz w:val="20"/>
                <w:szCs w:val="20"/>
              </w:rPr>
            </w:pPr>
          </w:p>
        </w:tc>
        <w:tc>
          <w:tcPr>
            <w:tcW w:w="1944" w:type="dxa"/>
            <w:tcBorders>
              <w:top w:val="nil"/>
              <w:left w:val="nil"/>
              <w:bottom w:val="nil"/>
              <w:right w:val="nil"/>
              <w:tl2br w:val="nil"/>
              <w:tr2bl w:val="nil"/>
            </w:tcBorders>
            <w:noWrap/>
            <w:vAlign w:val="bottom"/>
          </w:tcPr>
          <w:p w:rsidR="00B87C8A" w:rsidRPr="00B237E9" w:rsidRDefault="002D1C8A">
            <w:pPr>
              <w:jc w:val="right"/>
              <w:textAlignment w:val="bottom"/>
              <w:rPr>
                <w:color w:val="000000"/>
                <w:sz w:val="20"/>
                <w:szCs w:val="20"/>
              </w:rPr>
            </w:pPr>
            <w:r w:rsidRPr="00B237E9">
              <w:rPr>
                <w:color w:val="000000"/>
                <w:sz w:val="20"/>
                <w:szCs w:val="20"/>
              </w:rPr>
              <w:t>金额单位：万元</w:t>
            </w:r>
          </w:p>
        </w:tc>
      </w:tr>
      <w:tr w:rsidR="00B87C8A">
        <w:trPr>
          <w:trHeight w:val="308"/>
        </w:trPr>
        <w:tc>
          <w:tcPr>
            <w:tcW w:w="7424" w:type="dxa"/>
            <w:gridSpan w:val="3"/>
            <w:tcBorders>
              <w:top w:val="single" w:sz="4" w:space="0" w:color="000000"/>
              <w:left w:val="single" w:sz="4" w:space="0" w:color="000000"/>
              <w:bottom w:val="single" w:sz="4" w:space="0" w:color="000000"/>
              <w:right w:val="single" w:sz="4" w:space="0" w:color="000000"/>
              <w:tl2br w:val="nil"/>
              <w:tr2bl w:val="nil"/>
            </w:tcBorders>
            <w:shd w:val="clear" w:color="FFFFFF" w:fill="C0C0C0"/>
            <w:noWrap/>
            <w:vAlign w:val="center"/>
          </w:tcPr>
          <w:p w:rsidR="00B87C8A" w:rsidRPr="00B237E9" w:rsidRDefault="002D1C8A">
            <w:pPr>
              <w:jc w:val="center"/>
              <w:textAlignment w:val="center"/>
              <w:rPr>
                <w:color w:val="000000"/>
                <w:sz w:val="22"/>
              </w:rPr>
            </w:pPr>
            <w:r w:rsidRPr="00B237E9">
              <w:rPr>
                <w:color w:val="000000"/>
                <w:sz w:val="22"/>
              </w:rPr>
              <w:t>收入</w:t>
            </w:r>
          </w:p>
        </w:tc>
        <w:tc>
          <w:tcPr>
            <w:tcW w:w="7800" w:type="dxa"/>
            <w:gridSpan w:val="3"/>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Pr="00B237E9" w:rsidRDefault="002D1C8A">
            <w:pPr>
              <w:jc w:val="center"/>
              <w:textAlignment w:val="center"/>
              <w:rPr>
                <w:color w:val="000000"/>
                <w:sz w:val="22"/>
              </w:rPr>
            </w:pPr>
            <w:r w:rsidRPr="00B237E9">
              <w:rPr>
                <w:color w:val="000000"/>
                <w:sz w:val="22"/>
              </w:rPr>
              <w:t>支出</w:t>
            </w:r>
          </w:p>
        </w:tc>
      </w:tr>
      <w:tr w:rsidR="00B87C8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B87C8A" w:rsidRPr="00B237E9" w:rsidRDefault="002D1C8A">
            <w:pPr>
              <w:jc w:val="center"/>
              <w:textAlignment w:val="center"/>
              <w:rPr>
                <w:color w:val="000000"/>
                <w:sz w:val="22"/>
              </w:rPr>
            </w:pPr>
            <w:r w:rsidRPr="00B237E9">
              <w:rPr>
                <w:color w:val="000000"/>
                <w:sz w:val="22"/>
              </w:rPr>
              <w:t>项目</w:t>
            </w: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B87C8A" w:rsidRPr="00B237E9" w:rsidRDefault="002D1C8A">
            <w:pPr>
              <w:jc w:val="center"/>
              <w:textAlignment w:val="center"/>
              <w:rPr>
                <w:color w:val="000000"/>
                <w:sz w:val="22"/>
              </w:rPr>
            </w:pPr>
            <w:r w:rsidRPr="00B237E9">
              <w:rPr>
                <w:color w:val="000000"/>
                <w:sz w:val="22"/>
              </w:rPr>
              <w:t>行次</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B87C8A" w:rsidRPr="00B237E9" w:rsidRDefault="002D1C8A">
            <w:pPr>
              <w:jc w:val="center"/>
              <w:textAlignment w:val="center"/>
              <w:rPr>
                <w:color w:val="000000"/>
                <w:sz w:val="22"/>
              </w:rPr>
            </w:pPr>
            <w:r w:rsidRPr="00B237E9">
              <w:rPr>
                <w:color w:val="000000"/>
                <w:sz w:val="22"/>
              </w:rPr>
              <w:t>金额</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B87C8A" w:rsidRPr="00B237E9" w:rsidRDefault="002D1C8A">
            <w:pPr>
              <w:jc w:val="center"/>
              <w:textAlignment w:val="center"/>
              <w:rPr>
                <w:color w:val="000000"/>
                <w:sz w:val="22"/>
              </w:rPr>
            </w:pPr>
            <w:r w:rsidRPr="00B237E9">
              <w:rPr>
                <w:color w:val="000000"/>
                <w:sz w:val="22"/>
              </w:rPr>
              <w:t>项目</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B87C8A" w:rsidRPr="00B237E9" w:rsidRDefault="002D1C8A">
            <w:pPr>
              <w:jc w:val="center"/>
              <w:textAlignment w:val="center"/>
              <w:rPr>
                <w:color w:val="000000"/>
                <w:sz w:val="22"/>
              </w:rPr>
            </w:pPr>
            <w:r w:rsidRPr="00B237E9">
              <w:rPr>
                <w:color w:val="000000"/>
                <w:sz w:val="22"/>
              </w:rPr>
              <w:t>行次</w:t>
            </w:r>
          </w:p>
        </w:tc>
        <w:tc>
          <w:tcPr>
            <w:tcW w:w="1944" w:type="dxa"/>
            <w:tcBorders>
              <w:top w:val="nil"/>
              <w:left w:val="nil"/>
              <w:bottom w:val="single" w:sz="4" w:space="0" w:color="000000"/>
              <w:right w:val="single" w:sz="4" w:space="0" w:color="000000"/>
              <w:tl2br w:val="nil"/>
              <w:tr2bl w:val="nil"/>
            </w:tcBorders>
            <w:shd w:val="clear" w:color="FFFFFF" w:fill="C0C0C0"/>
            <w:noWrap/>
            <w:vAlign w:val="center"/>
          </w:tcPr>
          <w:p w:rsidR="00B87C8A" w:rsidRPr="00B237E9" w:rsidRDefault="002D1C8A">
            <w:pPr>
              <w:jc w:val="center"/>
              <w:textAlignment w:val="center"/>
              <w:rPr>
                <w:color w:val="000000"/>
                <w:sz w:val="22"/>
              </w:rPr>
            </w:pPr>
            <w:r w:rsidRPr="00B237E9">
              <w:rPr>
                <w:color w:val="000000"/>
                <w:sz w:val="22"/>
              </w:rPr>
              <w:t>金额</w:t>
            </w:r>
          </w:p>
        </w:tc>
      </w:tr>
      <w:tr w:rsidR="00B87C8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B87C8A" w:rsidRPr="00B237E9" w:rsidRDefault="002D1C8A">
            <w:pPr>
              <w:jc w:val="center"/>
              <w:textAlignment w:val="center"/>
              <w:rPr>
                <w:color w:val="000000"/>
                <w:sz w:val="22"/>
              </w:rPr>
            </w:pPr>
            <w:r w:rsidRPr="00B237E9">
              <w:rPr>
                <w:color w:val="000000"/>
                <w:sz w:val="22"/>
              </w:rPr>
              <w:t>栏次</w:t>
            </w: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B87C8A" w:rsidRPr="00B237E9" w:rsidRDefault="00B87C8A">
            <w:pPr>
              <w:jc w:val="center"/>
              <w:rPr>
                <w:color w:val="000000"/>
                <w:sz w:val="22"/>
              </w:rPr>
            </w:pP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B87C8A" w:rsidRPr="00B237E9" w:rsidRDefault="002D1C8A">
            <w:pPr>
              <w:jc w:val="center"/>
              <w:textAlignment w:val="center"/>
              <w:rPr>
                <w:color w:val="000000"/>
                <w:sz w:val="22"/>
              </w:rPr>
            </w:pPr>
            <w:r w:rsidRPr="00B237E9">
              <w:rPr>
                <w:color w:val="000000"/>
                <w:sz w:val="22"/>
              </w:rPr>
              <w:t>1</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B87C8A" w:rsidRPr="00B237E9" w:rsidRDefault="002D1C8A">
            <w:pPr>
              <w:jc w:val="center"/>
              <w:textAlignment w:val="center"/>
              <w:rPr>
                <w:color w:val="000000"/>
                <w:sz w:val="22"/>
              </w:rPr>
            </w:pPr>
            <w:r w:rsidRPr="00B237E9">
              <w:rPr>
                <w:color w:val="000000"/>
                <w:sz w:val="22"/>
              </w:rPr>
              <w:t>栏次</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B87C8A" w:rsidRPr="00B237E9" w:rsidRDefault="00B87C8A">
            <w:pPr>
              <w:jc w:val="center"/>
              <w:rPr>
                <w:color w:val="000000"/>
                <w:sz w:val="22"/>
              </w:rPr>
            </w:pPr>
          </w:p>
        </w:tc>
        <w:tc>
          <w:tcPr>
            <w:tcW w:w="1944" w:type="dxa"/>
            <w:tcBorders>
              <w:top w:val="nil"/>
              <w:left w:val="nil"/>
              <w:bottom w:val="single" w:sz="4" w:space="0" w:color="000000"/>
              <w:right w:val="single" w:sz="4" w:space="0" w:color="000000"/>
              <w:tl2br w:val="nil"/>
              <w:tr2bl w:val="nil"/>
            </w:tcBorders>
            <w:shd w:val="clear" w:color="FFFFFF" w:fill="C0C0C0"/>
            <w:noWrap/>
            <w:vAlign w:val="center"/>
          </w:tcPr>
          <w:p w:rsidR="00B87C8A" w:rsidRPr="00B237E9" w:rsidRDefault="002D1C8A">
            <w:pPr>
              <w:jc w:val="center"/>
              <w:textAlignment w:val="center"/>
              <w:rPr>
                <w:color w:val="000000"/>
                <w:sz w:val="22"/>
              </w:rPr>
            </w:pPr>
            <w:r w:rsidRPr="00B237E9">
              <w:rPr>
                <w:color w:val="000000"/>
                <w:sz w:val="22"/>
              </w:rPr>
              <w:t>2</w:t>
            </w: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一、一般公共预算财政拨款收入</w:t>
            </w: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1</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Pr="0084256A" w:rsidRDefault="0084256A" w:rsidP="0084256A">
            <w:pPr>
              <w:jc w:val="right"/>
              <w:rPr>
                <w:color w:val="000000"/>
                <w:sz w:val="22"/>
              </w:rPr>
            </w:pPr>
            <w:r w:rsidRPr="0084256A">
              <w:rPr>
                <w:color w:val="000000"/>
                <w:sz w:val="22"/>
              </w:rPr>
              <w:t>41,326.95</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一、一般公共服务支出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32</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92.88</w:t>
            </w: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二、政府性基金预算财政拨款收入</w:t>
            </w: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2</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Pr="0084256A" w:rsidRDefault="0084256A" w:rsidP="0084256A">
            <w:pPr>
              <w:jc w:val="right"/>
              <w:rPr>
                <w:color w:val="000000"/>
                <w:sz w:val="22"/>
              </w:rPr>
            </w:pP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二、外交支出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33</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三、国有资本经营预算财政拨款收入</w:t>
            </w: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3</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Pr="0084256A" w:rsidRDefault="0084256A" w:rsidP="0084256A">
            <w:pPr>
              <w:jc w:val="right"/>
              <w:textAlignment w:val="center"/>
              <w:rPr>
                <w:color w:val="000000"/>
                <w:sz w:val="22"/>
              </w:rPr>
            </w:pP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三、国防支出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34</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四、上级补助收入</w:t>
            </w: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4</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Pr="0084256A" w:rsidRDefault="0084256A" w:rsidP="0084256A">
            <w:pPr>
              <w:jc w:val="right"/>
              <w:textAlignment w:val="center"/>
              <w:rPr>
                <w:color w:val="000000"/>
                <w:sz w:val="22"/>
              </w:rPr>
            </w:pP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四、公共安全支出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35</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五、事业收入</w:t>
            </w: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5</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Pr="0084256A" w:rsidRDefault="0084256A" w:rsidP="0084256A">
            <w:pPr>
              <w:jc w:val="right"/>
              <w:textAlignment w:val="center"/>
              <w:rPr>
                <w:color w:val="000000"/>
                <w:sz w:val="22"/>
              </w:rPr>
            </w:pPr>
            <w:r w:rsidRPr="0084256A">
              <w:rPr>
                <w:color w:val="000000"/>
                <w:sz w:val="22"/>
              </w:rPr>
              <w:t>22,026.96</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五、教育支出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36</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64,631.12</w:t>
            </w: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六、经营收入</w:t>
            </w: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6</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Pr="0084256A" w:rsidRDefault="0084256A" w:rsidP="0084256A">
            <w:pPr>
              <w:jc w:val="right"/>
              <w:textAlignment w:val="center"/>
              <w:rPr>
                <w:color w:val="000000"/>
                <w:sz w:val="22"/>
              </w:rPr>
            </w:pP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六、科学技术支出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37</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306.50</w:t>
            </w: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七、附属单位上缴收入</w:t>
            </w: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7</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Pr="0084256A" w:rsidRDefault="0084256A" w:rsidP="0084256A">
            <w:pPr>
              <w:jc w:val="right"/>
              <w:textAlignment w:val="center"/>
              <w:rPr>
                <w:color w:val="000000"/>
                <w:sz w:val="22"/>
              </w:rPr>
            </w:pP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七、文化旅游体育与传媒支出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38</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50.00</w:t>
            </w: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八、其他收入</w:t>
            </w: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8</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Pr="0084256A" w:rsidRDefault="0084256A" w:rsidP="0084256A">
            <w:pPr>
              <w:jc w:val="right"/>
              <w:textAlignment w:val="center"/>
              <w:rPr>
                <w:color w:val="000000"/>
                <w:sz w:val="22"/>
              </w:rPr>
            </w:pPr>
            <w:r w:rsidRPr="0084256A">
              <w:rPr>
                <w:color w:val="000000"/>
                <w:sz w:val="22"/>
              </w:rPr>
              <w:t>2,665.68</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八、社会保障和就业支出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39</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19.38</w:t>
            </w: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rPr>
                <w:color w:val="000000"/>
                <w:sz w:val="22"/>
              </w:rPr>
            </w:pP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9</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Default="0084256A">
            <w:pPr>
              <w:jc w:val="right"/>
              <w:rPr>
                <w:color w:val="000000"/>
                <w:sz w:val="22"/>
              </w:rPr>
            </w:pPr>
            <w:r>
              <w:rPr>
                <w:color w:val="000000"/>
                <w:sz w:val="22"/>
              </w:rPr>
              <w:t xml:space="preserve">　</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九、卫生健康支出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40</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523.39</w:t>
            </w: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rPr>
                <w:color w:val="000000"/>
                <w:sz w:val="22"/>
              </w:rPr>
            </w:pP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10</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Default="0084256A">
            <w:pPr>
              <w:jc w:val="right"/>
              <w:rPr>
                <w:color w:val="000000"/>
                <w:sz w:val="22"/>
              </w:rPr>
            </w:pPr>
            <w:r>
              <w:rPr>
                <w:color w:val="000000"/>
                <w:sz w:val="22"/>
              </w:rPr>
              <w:t xml:space="preserve">　</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十、节能环保支出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41</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rPr>
                <w:color w:val="000000"/>
                <w:sz w:val="22"/>
              </w:rPr>
            </w:pP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11</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Default="0084256A">
            <w:pPr>
              <w:jc w:val="right"/>
              <w:rPr>
                <w:color w:val="000000"/>
                <w:sz w:val="22"/>
              </w:rPr>
            </w:pPr>
            <w:r>
              <w:rPr>
                <w:color w:val="000000"/>
                <w:sz w:val="22"/>
              </w:rPr>
              <w:t xml:space="preserve">　</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十一、城乡社区支出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42</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rPr>
                <w:color w:val="000000"/>
                <w:sz w:val="22"/>
              </w:rPr>
            </w:pP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12</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Default="0084256A">
            <w:pPr>
              <w:jc w:val="right"/>
              <w:rPr>
                <w:color w:val="000000"/>
                <w:sz w:val="22"/>
              </w:rPr>
            </w:pPr>
            <w:r>
              <w:rPr>
                <w:color w:val="000000"/>
                <w:sz w:val="22"/>
              </w:rPr>
              <w:t xml:space="preserve">　</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十二、农林水支出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43</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20.00</w:t>
            </w: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rPr>
                <w:color w:val="000000"/>
                <w:sz w:val="22"/>
              </w:rPr>
            </w:pP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13</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Default="0084256A">
            <w:pPr>
              <w:jc w:val="right"/>
              <w:rPr>
                <w:color w:val="000000"/>
                <w:sz w:val="22"/>
              </w:rPr>
            </w:pPr>
            <w:r>
              <w:rPr>
                <w:color w:val="000000"/>
                <w:sz w:val="22"/>
              </w:rPr>
              <w:t xml:space="preserve">　</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十三、交通运输支出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44</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rPr>
                <w:color w:val="000000"/>
                <w:sz w:val="22"/>
              </w:rPr>
            </w:pP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14</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Default="0084256A">
            <w:pPr>
              <w:jc w:val="right"/>
              <w:rPr>
                <w:color w:val="000000"/>
                <w:sz w:val="22"/>
              </w:rPr>
            </w:pPr>
            <w:r>
              <w:rPr>
                <w:color w:val="000000"/>
                <w:sz w:val="22"/>
              </w:rPr>
              <w:t xml:space="preserve">　</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十四、资源勘探工业信息等支出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45</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rPr>
                <w:color w:val="000000"/>
                <w:sz w:val="22"/>
              </w:rPr>
            </w:pP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15</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Default="0084256A">
            <w:pPr>
              <w:jc w:val="right"/>
              <w:rPr>
                <w:color w:val="000000"/>
                <w:sz w:val="22"/>
              </w:rPr>
            </w:pPr>
            <w:r>
              <w:rPr>
                <w:color w:val="000000"/>
                <w:sz w:val="22"/>
              </w:rPr>
              <w:t xml:space="preserve">　</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十五、商业服务业等支出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46</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rPr>
                <w:color w:val="000000"/>
                <w:sz w:val="22"/>
              </w:rPr>
            </w:pP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16</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Default="0084256A">
            <w:pPr>
              <w:jc w:val="right"/>
              <w:rPr>
                <w:color w:val="000000"/>
                <w:sz w:val="22"/>
              </w:rPr>
            </w:pPr>
            <w:r>
              <w:rPr>
                <w:color w:val="000000"/>
                <w:sz w:val="22"/>
              </w:rPr>
              <w:t xml:space="preserve">　</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十六、金融支出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47</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rPr>
                <w:color w:val="000000"/>
                <w:sz w:val="22"/>
              </w:rPr>
            </w:pP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17</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Default="0084256A">
            <w:pPr>
              <w:jc w:val="right"/>
              <w:rPr>
                <w:color w:val="000000"/>
                <w:sz w:val="22"/>
              </w:rPr>
            </w:pPr>
            <w:r>
              <w:rPr>
                <w:color w:val="000000"/>
                <w:sz w:val="22"/>
              </w:rPr>
              <w:t xml:space="preserve">　</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十七、援助其他地区支出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48</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rPr>
                <w:color w:val="000000"/>
                <w:sz w:val="22"/>
              </w:rPr>
            </w:pP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18</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Default="0084256A">
            <w:pPr>
              <w:jc w:val="right"/>
              <w:rPr>
                <w:color w:val="000000"/>
                <w:sz w:val="22"/>
              </w:rPr>
            </w:pPr>
            <w:r>
              <w:rPr>
                <w:color w:val="000000"/>
                <w:sz w:val="22"/>
              </w:rPr>
              <w:t xml:space="preserve">　</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十八、自然资源海洋气象等支出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49</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rPr>
                <w:color w:val="000000"/>
                <w:sz w:val="22"/>
              </w:rPr>
            </w:pP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19</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Default="0084256A">
            <w:pPr>
              <w:jc w:val="right"/>
              <w:rPr>
                <w:color w:val="000000"/>
                <w:sz w:val="22"/>
              </w:rPr>
            </w:pPr>
            <w:r>
              <w:rPr>
                <w:color w:val="000000"/>
                <w:sz w:val="22"/>
              </w:rPr>
              <w:t xml:space="preserve">　</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十九、住房保障支出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50</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rPr>
                <w:color w:val="000000"/>
                <w:sz w:val="22"/>
              </w:rPr>
            </w:pP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20</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Default="0084256A">
            <w:pPr>
              <w:jc w:val="right"/>
              <w:rPr>
                <w:color w:val="000000"/>
                <w:sz w:val="22"/>
              </w:rPr>
            </w:pPr>
            <w:r>
              <w:rPr>
                <w:color w:val="000000"/>
                <w:sz w:val="22"/>
              </w:rPr>
              <w:t xml:space="preserve">　</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二十、粮油物资储备支出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51</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rPr>
                <w:color w:val="000000"/>
                <w:sz w:val="22"/>
              </w:rPr>
            </w:pP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21</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Default="0084256A">
            <w:pPr>
              <w:jc w:val="right"/>
              <w:rPr>
                <w:color w:val="000000"/>
                <w:sz w:val="22"/>
              </w:rPr>
            </w:pPr>
            <w:r>
              <w:rPr>
                <w:color w:val="000000"/>
                <w:sz w:val="22"/>
              </w:rPr>
              <w:t xml:space="preserve">　</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二十一、国有资本经营预算支出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52</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rPr>
                <w:color w:val="000000"/>
                <w:sz w:val="22"/>
              </w:rPr>
            </w:pP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22</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Default="0084256A">
            <w:pPr>
              <w:jc w:val="right"/>
              <w:rPr>
                <w:color w:val="000000"/>
                <w:sz w:val="22"/>
              </w:rPr>
            </w:pPr>
            <w:r>
              <w:rPr>
                <w:color w:val="000000"/>
                <w:sz w:val="22"/>
              </w:rPr>
              <w:t xml:space="preserve">　</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二十二、灾害防治及应急管理支出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53</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rPr>
                <w:color w:val="000000"/>
                <w:sz w:val="22"/>
              </w:rPr>
            </w:pP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23</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Default="0084256A">
            <w:pPr>
              <w:jc w:val="right"/>
              <w:rPr>
                <w:color w:val="000000"/>
                <w:sz w:val="22"/>
              </w:rPr>
            </w:pPr>
            <w:r>
              <w:rPr>
                <w:color w:val="000000"/>
                <w:sz w:val="22"/>
              </w:rPr>
              <w:t xml:space="preserve">　</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二十三、其他支出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54</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rPr>
                <w:b/>
                <w:color w:val="000000"/>
                <w:sz w:val="22"/>
              </w:rPr>
            </w:pP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24</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Default="0084256A">
            <w:pPr>
              <w:jc w:val="right"/>
              <w:rPr>
                <w:color w:val="000000"/>
                <w:sz w:val="20"/>
                <w:szCs w:val="20"/>
              </w:rPr>
            </w:pPr>
            <w:r>
              <w:rPr>
                <w:color w:val="000000"/>
                <w:sz w:val="20"/>
                <w:szCs w:val="20"/>
              </w:rPr>
              <w:t xml:space="preserve">　</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二十四、债务还本支出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55</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Pr="00B237E9" w:rsidRDefault="0084256A">
            <w:pPr>
              <w:rPr>
                <w:color w:val="000000"/>
                <w:sz w:val="22"/>
              </w:rPr>
            </w:pP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25</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Default="0084256A">
            <w:pPr>
              <w:jc w:val="right"/>
              <w:rPr>
                <w:color w:val="000000"/>
                <w:sz w:val="20"/>
                <w:szCs w:val="20"/>
              </w:rPr>
            </w:pPr>
            <w:r>
              <w:rPr>
                <w:color w:val="000000"/>
                <w:sz w:val="20"/>
                <w:szCs w:val="20"/>
              </w:rPr>
              <w:t xml:space="preserve">　</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二十五、债务付息支出</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56</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3896" w:type="dxa"/>
            <w:tcBorders>
              <w:top w:val="nil"/>
              <w:left w:val="single" w:sz="4" w:space="0" w:color="000000"/>
              <w:bottom w:val="single" w:sz="4" w:space="0" w:color="auto"/>
              <w:right w:val="single" w:sz="4" w:space="0" w:color="000000"/>
              <w:tl2br w:val="nil"/>
              <w:tr2bl w:val="nil"/>
            </w:tcBorders>
            <w:shd w:val="clear" w:color="FFFFFF" w:fill="C0C0C0"/>
            <w:noWrap/>
            <w:vAlign w:val="center"/>
          </w:tcPr>
          <w:p w:rsidR="0084256A" w:rsidRPr="00B237E9" w:rsidRDefault="0084256A">
            <w:pPr>
              <w:rPr>
                <w:color w:val="000000"/>
                <w:sz w:val="22"/>
              </w:rPr>
            </w:pPr>
          </w:p>
        </w:tc>
        <w:tc>
          <w:tcPr>
            <w:tcW w:w="1656" w:type="dxa"/>
            <w:tcBorders>
              <w:top w:val="nil"/>
              <w:left w:val="nil"/>
              <w:bottom w:val="single" w:sz="4" w:space="0" w:color="auto"/>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26</w:t>
            </w:r>
          </w:p>
        </w:tc>
        <w:tc>
          <w:tcPr>
            <w:tcW w:w="1872" w:type="dxa"/>
            <w:tcBorders>
              <w:top w:val="nil"/>
              <w:left w:val="nil"/>
              <w:bottom w:val="single" w:sz="4" w:space="0" w:color="auto"/>
              <w:right w:val="single" w:sz="4" w:space="0" w:color="000000"/>
              <w:tl2br w:val="nil"/>
              <w:tr2bl w:val="nil"/>
            </w:tcBorders>
            <w:shd w:val="clear" w:color="auto" w:fill="auto"/>
            <w:noWrap/>
            <w:vAlign w:val="center"/>
          </w:tcPr>
          <w:p w:rsidR="0084256A" w:rsidRDefault="0084256A">
            <w:pPr>
              <w:jc w:val="right"/>
              <w:rPr>
                <w:color w:val="000000"/>
                <w:sz w:val="20"/>
                <w:szCs w:val="20"/>
              </w:rPr>
            </w:pPr>
            <w:r>
              <w:rPr>
                <w:color w:val="000000"/>
                <w:sz w:val="20"/>
                <w:szCs w:val="20"/>
              </w:rPr>
              <w:t xml:space="preserve">　</w:t>
            </w:r>
          </w:p>
        </w:tc>
        <w:tc>
          <w:tcPr>
            <w:tcW w:w="3984" w:type="dxa"/>
            <w:tcBorders>
              <w:top w:val="nil"/>
              <w:left w:val="nil"/>
              <w:bottom w:val="single" w:sz="4" w:space="0" w:color="auto"/>
              <w:right w:val="single" w:sz="4" w:space="0" w:color="000000"/>
              <w:tl2br w:val="nil"/>
              <w:tr2bl w:val="nil"/>
            </w:tcBorders>
            <w:shd w:val="clear" w:color="FFFFFF" w:fill="C0C0C0"/>
            <w:noWrap/>
            <w:vAlign w:val="center"/>
          </w:tcPr>
          <w:p w:rsidR="0084256A" w:rsidRPr="00B237E9" w:rsidRDefault="0084256A">
            <w:pPr>
              <w:textAlignment w:val="center"/>
              <w:rPr>
                <w:color w:val="000000"/>
                <w:sz w:val="22"/>
              </w:rPr>
            </w:pPr>
            <w:r w:rsidRPr="00B237E9">
              <w:rPr>
                <w:color w:val="000000"/>
                <w:sz w:val="22"/>
              </w:rPr>
              <w:t>二十六、抗疫特别国债安排的支出</w:t>
            </w:r>
          </w:p>
        </w:tc>
        <w:tc>
          <w:tcPr>
            <w:tcW w:w="1872" w:type="dxa"/>
            <w:tcBorders>
              <w:top w:val="nil"/>
              <w:left w:val="nil"/>
              <w:bottom w:val="single" w:sz="4" w:space="0" w:color="auto"/>
              <w:right w:val="single" w:sz="4" w:space="0" w:color="000000"/>
              <w:tl2br w:val="nil"/>
              <w:tr2bl w:val="nil"/>
            </w:tcBorders>
            <w:shd w:val="clear" w:color="FFFFFF" w:fill="C0C0C0"/>
            <w:noWrap/>
            <w:vAlign w:val="center"/>
          </w:tcPr>
          <w:p w:rsidR="0084256A" w:rsidRPr="00B237E9" w:rsidRDefault="0084256A">
            <w:pPr>
              <w:jc w:val="center"/>
              <w:textAlignment w:val="center"/>
              <w:rPr>
                <w:color w:val="000000"/>
                <w:sz w:val="22"/>
              </w:rPr>
            </w:pPr>
            <w:r w:rsidRPr="00B237E9">
              <w:rPr>
                <w:color w:val="000000"/>
                <w:sz w:val="22"/>
              </w:rPr>
              <w:t>57</w:t>
            </w:r>
          </w:p>
        </w:tc>
        <w:tc>
          <w:tcPr>
            <w:tcW w:w="1944" w:type="dxa"/>
            <w:tcBorders>
              <w:top w:val="nil"/>
              <w:left w:val="nil"/>
              <w:bottom w:val="single" w:sz="4" w:space="0" w:color="auto"/>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3896" w:type="dxa"/>
            <w:tcBorders>
              <w:top w:val="single" w:sz="4" w:space="0" w:color="auto"/>
              <w:left w:val="single" w:sz="4" w:space="0" w:color="auto"/>
              <w:bottom w:val="single" w:sz="4" w:space="0" w:color="000000"/>
              <w:right w:val="single" w:sz="4" w:space="0" w:color="000000"/>
              <w:tl2br w:val="nil"/>
              <w:tr2bl w:val="nil"/>
            </w:tcBorders>
            <w:shd w:val="clear" w:color="FFFFFF" w:fill="C0C0C0"/>
            <w:noWrap/>
            <w:vAlign w:val="center"/>
          </w:tcPr>
          <w:p w:rsidR="0084256A" w:rsidRDefault="0084256A">
            <w:pPr>
              <w:textAlignment w:val="center"/>
              <w:rPr>
                <w:b/>
                <w:color w:val="000000"/>
                <w:sz w:val="22"/>
              </w:rPr>
            </w:pPr>
            <w:r>
              <w:rPr>
                <w:b/>
                <w:color w:val="000000"/>
                <w:sz w:val="22"/>
              </w:rPr>
              <w:lastRenderedPageBreak/>
              <w:t>本年收入合计</w:t>
            </w:r>
          </w:p>
        </w:tc>
        <w:tc>
          <w:tcPr>
            <w:tcW w:w="1656" w:type="dxa"/>
            <w:tcBorders>
              <w:top w:val="single" w:sz="4" w:space="0" w:color="auto"/>
              <w:left w:val="nil"/>
              <w:bottom w:val="single" w:sz="4" w:space="0" w:color="000000"/>
              <w:right w:val="single" w:sz="4" w:space="0" w:color="000000"/>
              <w:tl2br w:val="nil"/>
              <w:tr2bl w:val="nil"/>
            </w:tcBorders>
            <w:shd w:val="clear" w:color="FFFFFF" w:fill="C0C0C0"/>
            <w:noWrap/>
            <w:vAlign w:val="center"/>
          </w:tcPr>
          <w:p w:rsidR="0084256A" w:rsidRDefault="0084256A">
            <w:pPr>
              <w:jc w:val="center"/>
              <w:textAlignment w:val="center"/>
              <w:rPr>
                <w:color w:val="000000"/>
                <w:sz w:val="22"/>
              </w:rPr>
            </w:pPr>
            <w:r>
              <w:rPr>
                <w:color w:val="000000"/>
                <w:sz w:val="22"/>
              </w:rPr>
              <w:t>27</w:t>
            </w:r>
          </w:p>
        </w:tc>
        <w:tc>
          <w:tcPr>
            <w:tcW w:w="1872" w:type="dxa"/>
            <w:tcBorders>
              <w:top w:val="single" w:sz="4" w:space="0" w:color="auto"/>
              <w:left w:val="nil"/>
              <w:bottom w:val="single" w:sz="4" w:space="0" w:color="000000"/>
              <w:right w:val="single" w:sz="4" w:space="0" w:color="000000"/>
              <w:tl2br w:val="nil"/>
              <w:tr2bl w:val="nil"/>
            </w:tcBorders>
            <w:shd w:val="clear" w:color="auto" w:fill="auto"/>
            <w:noWrap/>
            <w:vAlign w:val="center"/>
          </w:tcPr>
          <w:p w:rsidR="0084256A" w:rsidRPr="0084256A" w:rsidRDefault="0084256A" w:rsidP="0084256A">
            <w:pPr>
              <w:jc w:val="right"/>
              <w:textAlignment w:val="center"/>
              <w:rPr>
                <w:color w:val="000000"/>
                <w:sz w:val="22"/>
              </w:rPr>
            </w:pPr>
            <w:r w:rsidRPr="0084256A">
              <w:rPr>
                <w:color w:val="000000"/>
                <w:sz w:val="22"/>
              </w:rPr>
              <w:t>66,019.59</w:t>
            </w:r>
          </w:p>
        </w:tc>
        <w:tc>
          <w:tcPr>
            <w:tcW w:w="3984" w:type="dxa"/>
            <w:tcBorders>
              <w:top w:val="single" w:sz="4" w:space="0" w:color="auto"/>
              <w:left w:val="nil"/>
              <w:bottom w:val="single" w:sz="4" w:space="0" w:color="000000"/>
              <w:right w:val="single" w:sz="4" w:space="0" w:color="000000"/>
              <w:tl2br w:val="nil"/>
              <w:tr2bl w:val="nil"/>
            </w:tcBorders>
            <w:shd w:val="clear" w:color="FFFFFF" w:fill="C0C0C0"/>
            <w:noWrap/>
            <w:vAlign w:val="center"/>
          </w:tcPr>
          <w:p w:rsidR="0084256A" w:rsidRDefault="0084256A">
            <w:pPr>
              <w:textAlignment w:val="center"/>
              <w:rPr>
                <w:b/>
                <w:color w:val="000000"/>
                <w:sz w:val="22"/>
              </w:rPr>
            </w:pPr>
            <w:r>
              <w:rPr>
                <w:b/>
                <w:color w:val="000000"/>
                <w:sz w:val="22"/>
              </w:rPr>
              <w:t>本年支出合计</w:t>
            </w:r>
          </w:p>
        </w:tc>
        <w:tc>
          <w:tcPr>
            <w:tcW w:w="1872" w:type="dxa"/>
            <w:tcBorders>
              <w:top w:val="single" w:sz="4" w:space="0" w:color="auto"/>
              <w:left w:val="nil"/>
              <w:bottom w:val="single" w:sz="4" w:space="0" w:color="000000"/>
              <w:right w:val="single" w:sz="4" w:space="0" w:color="000000"/>
              <w:tl2br w:val="nil"/>
              <w:tr2bl w:val="nil"/>
            </w:tcBorders>
            <w:shd w:val="clear" w:color="FFFFFF" w:fill="C0C0C0"/>
            <w:noWrap/>
            <w:vAlign w:val="center"/>
          </w:tcPr>
          <w:p w:rsidR="0084256A" w:rsidRDefault="0084256A">
            <w:pPr>
              <w:jc w:val="center"/>
              <w:textAlignment w:val="center"/>
              <w:rPr>
                <w:color w:val="000000"/>
                <w:sz w:val="22"/>
              </w:rPr>
            </w:pPr>
            <w:r>
              <w:rPr>
                <w:color w:val="000000"/>
                <w:sz w:val="22"/>
              </w:rPr>
              <w:t>58</w:t>
            </w:r>
          </w:p>
        </w:tc>
        <w:tc>
          <w:tcPr>
            <w:tcW w:w="1944" w:type="dxa"/>
            <w:tcBorders>
              <w:top w:val="single" w:sz="4" w:space="0" w:color="auto"/>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65,643.27</w:t>
            </w: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Default="0084256A">
            <w:pPr>
              <w:textAlignment w:val="center"/>
              <w:rPr>
                <w:color w:val="000000"/>
                <w:sz w:val="22"/>
              </w:rPr>
            </w:pPr>
            <w:r>
              <w:rPr>
                <w:color w:val="000000"/>
                <w:sz w:val="22"/>
              </w:rPr>
              <w:t>使用非财政拨款结余</w:t>
            </w: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Default="0084256A">
            <w:pPr>
              <w:jc w:val="center"/>
              <w:textAlignment w:val="center"/>
              <w:rPr>
                <w:color w:val="000000"/>
                <w:sz w:val="22"/>
              </w:rPr>
            </w:pPr>
            <w:r>
              <w:rPr>
                <w:color w:val="000000"/>
                <w:sz w:val="22"/>
              </w:rPr>
              <w:t>28</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Pr="0084256A" w:rsidRDefault="0084256A" w:rsidP="0084256A">
            <w:pPr>
              <w:jc w:val="right"/>
              <w:textAlignment w:val="center"/>
              <w:rPr>
                <w:color w:val="000000"/>
                <w:sz w:val="22"/>
              </w:rPr>
            </w:pP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Default="0084256A">
            <w:pPr>
              <w:textAlignment w:val="center"/>
              <w:rPr>
                <w:color w:val="000000"/>
                <w:sz w:val="22"/>
              </w:rPr>
            </w:pPr>
            <w:r>
              <w:rPr>
                <w:color w:val="000000"/>
                <w:sz w:val="22"/>
              </w:rPr>
              <w:t>结余分配</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Default="0084256A">
            <w:pPr>
              <w:jc w:val="center"/>
              <w:textAlignment w:val="center"/>
              <w:rPr>
                <w:color w:val="000000"/>
                <w:sz w:val="22"/>
              </w:rPr>
            </w:pPr>
            <w:r>
              <w:rPr>
                <w:color w:val="000000"/>
                <w:sz w:val="22"/>
              </w:rPr>
              <w:t>59</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3,507.80</w:t>
            </w: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Default="0084256A">
            <w:pPr>
              <w:textAlignment w:val="center"/>
              <w:rPr>
                <w:color w:val="000000"/>
                <w:sz w:val="22"/>
              </w:rPr>
            </w:pPr>
            <w:r>
              <w:rPr>
                <w:color w:val="000000"/>
                <w:sz w:val="22"/>
              </w:rPr>
              <w:t>年初结转和结余</w:t>
            </w: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Default="0084256A">
            <w:pPr>
              <w:jc w:val="center"/>
              <w:textAlignment w:val="center"/>
              <w:rPr>
                <w:color w:val="000000"/>
                <w:sz w:val="22"/>
              </w:rPr>
            </w:pPr>
            <w:r>
              <w:rPr>
                <w:color w:val="000000"/>
                <w:sz w:val="22"/>
              </w:rPr>
              <w:t>29</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Pr="0084256A" w:rsidRDefault="0084256A" w:rsidP="0084256A">
            <w:pPr>
              <w:jc w:val="right"/>
              <w:textAlignment w:val="center"/>
              <w:rPr>
                <w:color w:val="000000"/>
                <w:sz w:val="22"/>
              </w:rPr>
            </w:pPr>
            <w:r w:rsidRPr="0084256A">
              <w:rPr>
                <w:color w:val="000000"/>
                <w:sz w:val="22"/>
              </w:rPr>
              <w:t>17,655.15</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Default="0084256A">
            <w:pPr>
              <w:textAlignment w:val="center"/>
              <w:rPr>
                <w:color w:val="000000"/>
                <w:sz w:val="22"/>
              </w:rPr>
            </w:pPr>
            <w:r>
              <w:rPr>
                <w:color w:val="000000"/>
                <w:sz w:val="22"/>
              </w:rPr>
              <w:t>年末结转和结余</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Default="0084256A">
            <w:pPr>
              <w:jc w:val="center"/>
              <w:textAlignment w:val="center"/>
              <w:rPr>
                <w:color w:val="000000"/>
                <w:sz w:val="22"/>
              </w:rPr>
            </w:pPr>
            <w:r>
              <w:rPr>
                <w:color w:val="000000"/>
                <w:sz w:val="22"/>
              </w:rPr>
              <w:t>60</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14,523.68</w:t>
            </w: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Default="0084256A">
            <w:pPr>
              <w:rPr>
                <w:color w:val="000000"/>
                <w:sz w:val="20"/>
                <w:szCs w:val="20"/>
              </w:rPr>
            </w:pP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84256A" w:rsidRDefault="0084256A">
            <w:pPr>
              <w:jc w:val="center"/>
              <w:textAlignment w:val="center"/>
              <w:rPr>
                <w:color w:val="000000"/>
                <w:sz w:val="22"/>
              </w:rPr>
            </w:pPr>
            <w:r>
              <w:rPr>
                <w:color w:val="000000"/>
                <w:sz w:val="22"/>
              </w:rPr>
              <w:t>30</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Pr="0084256A" w:rsidRDefault="0084256A" w:rsidP="0084256A">
            <w:pPr>
              <w:jc w:val="right"/>
              <w:textAlignment w:val="center"/>
              <w:rPr>
                <w:color w:val="000000"/>
                <w:sz w:val="22"/>
              </w:rPr>
            </w:pPr>
            <w:r w:rsidRPr="0084256A">
              <w:rPr>
                <w:color w:val="000000"/>
                <w:sz w:val="22"/>
              </w:rPr>
              <w:t xml:space="preserve">　</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Default="0084256A">
            <w:pPr>
              <w:rPr>
                <w:color w:val="000000"/>
                <w:sz w:val="20"/>
                <w:szCs w:val="20"/>
              </w:rPr>
            </w:pP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Default="0084256A">
            <w:pPr>
              <w:jc w:val="center"/>
              <w:textAlignment w:val="center"/>
              <w:rPr>
                <w:color w:val="000000"/>
                <w:sz w:val="22"/>
              </w:rPr>
            </w:pPr>
            <w:r>
              <w:rPr>
                <w:color w:val="000000"/>
                <w:sz w:val="22"/>
              </w:rPr>
              <w:t>61</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 xml:space="preserve">　</w:t>
            </w:r>
          </w:p>
        </w:tc>
      </w:tr>
      <w:tr w:rsidR="0084256A">
        <w:trPr>
          <w:trHeight w:val="308"/>
        </w:trPr>
        <w:tc>
          <w:tcPr>
            <w:tcW w:w="3896"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Default="0084256A">
            <w:pPr>
              <w:textAlignment w:val="center"/>
              <w:rPr>
                <w:b/>
                <w:color w:val="000000"/>
                <w:sz w:val="22"/>
              </w:rPr>
            </w:pPr>
            <w:r>
              <w:rPr>
                <w:b/>
                <w:color w:val="000000"/>
                <w:sz w:val="22"/>
              </w:rPr>
              <w:t>总计</w:t>
            </w:r>
          </w:p>
        </w:tc>
        <w:tc>
          <w:tcPr>
            <w:tcW w:w="1656" w:type="dxa"/>
            <w:tcBorders>
              <w:top w:val="nil"/>
              <w:left w:val="nil"/>
              <w:bottom w:val="single" w:sz="8" w:space="0" w:color="000000"/>
              <w:right w:val="single" w:sz="4" w:space="0" w:color="000000"/>
              <w:tl2br w:val="nil"/>
              <w:tr2bl w:val="nil"/>
            </w:tcBorders>
            <w:shd w:val="clear" w:color="FFFFFF" w:fill="C0C0C0"/>
            <w:noWrap/>
            <w:vAlign w:val="center"/>
          </w:tcPr>
          <w:p w:rsidR="0084256A" w:rsidRDefault="0084256A">
            <w:pPr>
              <w:jc w:val="center"/>
              <w:textAlignment w:val="center"/>
              <w:rPr>
                <w:color w:val="000000"/>
                <w:sz w:val="22"/>
              </w:rPr>
            </w:pPr>
            <w:r>
              <w:rPr>
                <w:color w:val="000000"/>
                <w:sz w:val="22"/>
              </w:rPr>
              <w:t>31</w:t>
            </w:r>
          </w:p>
        </w:tc>
        <w:tc>
          <w:tcPr>
            <w:tcW w:w="1872" w:type="dxa"/>
            <w:tcBorders>
              <w:top w:val="nil"/>
              <w:left w:val="nil"/>
              <w:bottom w:val="single" w:sz="4" w:space="0" w:color="000000"/>
              <w:right w:val="single" w:sz="4" w:space="0" w:color="000000"/>
              <w:tl2br w:val="nil"/>
              <w:tr2bl w:val="nil"/>
            </w:tcBorders>
            <w:shd w:val="clear" w:color="auto" w:fill="auto"/>
            <w:noWrap/>
            <w:vAlign w:val="center"/>
          </w:tcPr>
          <w:p w:rsidR="0084256A" w:rsidRPr="0084256A" w:rsidRDefault="0084256A" w:rsidP="0084256A">
            <w:pPr>
              <w:jc w:val="right"/>
              <w:textAlignment w:val="center"/>
              <w:rPr>
                <w:color w:val="000000"/>
                <w:sz w:val="22"/>
              </w:rPr>
            </w:pPr>
            <w:r w:rsidRPr="0084256A">
              <w:rPr>
                <w:color w:val="000000"/>
                <w:sz w:val="22"/>
              </w:rPr>
              <w:t>83,674.74</w:t>
            </w:r>
          </w:p>
        </w:tc>
        <w:tc>
          <w:tcPr>
            <w:tcW w:w="3984" w:type="dxa"/>
            <w:tcBorders>
              <w:top w:val="nil"/>
              <w:left w:val="nil"/>
              <w:bottom w:val="single" w:sz="4" w:space="0" w:color="000000"/>
              <w:right w:val="single" w:sz="4" w:space="0" w:color="000000"/>
              <w:tl2br w:val="nil"/>
              <w:tr2bl w:val="nil"/>
            </w:tcBorders>
            <w:shd w:val="clear" w:color="FFFFFF" w:fill="C0C0C0"/>
            <w:noWrap/>
            <w:vAlign w:val="center"/>
          </w:tcPr>
          <w:p w:rsidR="0084256A" w:rsidRDefault="0084256A">
            <w:pPr>
              <w:textAlignment w:val="center"/>
              <w:rPr>
                <w:b/>
                <w:color w:val="000000"/>
                <w:sz w:val="22"/>
              </w:rPr>
            </w:pPr>
            <w:r>
              <w:rPr>
                <w:b/>
                <w:color w:val="000000"/>
                <w:sz w:val="22"/>
              </w:rPr>
              <w:t>总计</w:t>
            </w:r>
          </w:p>
        </w:tc>
        <w:tc>
          <w:tcPr>
            <w:tcW w:w="1872" w:type="dxa"/>
            <w:tcBorders>
              <w:top w:val="nil"/>
              <w:left w:val="nil"/>
              <w:bottom w:val="single" w:sz="4" w:space="0" w:color="000000"/>
              <w:right w:val="single" w:sz="4" w:space="0" w:color="000000"/>
              <w:tl2br w:val="nil"/>
              <w:tr2bl w:val="nil"/>
            </w:tcBorders>
            <w:shd w:val="clear" w:color="FFFFFF" w:fill="C0C0C0"/>
            <w:noWrap/>
            <w:vAlign w:val="center"/>
          </w:tcPr>
          <w:p w:rsidR="0084256A" w:rsidRDefault="0084256A">
            <w:pPr>
              <w:jc w:val="center"/>
              <w:textAlignment w:val="center"/>
              <w:rPr>
                <w:color w:val="000000"/>
                <w:sz w:val="22"/>
              </w:rPr>
            </w:pPr>
            <w:r>
              <w:rPr>
                <w:color w:val="000000"/>
                <w:sz w:val="22"/>
              </w:rPr>
              <w:t>62</w:t>
            </w:r>
          </w:p>
        </w:tc>
        <w:tc>
          <w:tcPr>
            <w:tcW w:w="194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83,674.74</w:t>
            </w:r>
          </w:p>
        </w:tc>
      </w:tr>
      <w:tr w:rsidR="00B87C8A">
        <w:trPr>
          <w:trHeight w:val="308"/>
        </w:trPr>
        <w:tc>
          <w:tcPr>
            <w:tcW w:w="15224" w:type="dxa"/>
            <w:gridSpan w:val="6"/>
            <w:tcBorders>
              <w:top w:val="nil"/>
              <w:left w:val="nil"/>
              <w:bottom w:val="nil"/>
              <w:right w:val="nil"/>
              <w:tl2br w:val="nil"/>
              <w:tr2bl w:val="nil"/>
            </w:tcBorders>
            <w:noWrap/>
            <w:vAlign w:val="center"/>
          </w:tcPr>
          <w:p w:rsidR="00B87C8A" w:rsidRDefault="002D1C8A">
            <w:pPr>
              <w:textAlignment w:val="center"/>
              <w:rPr>
                <w:color w:val="000000"/>
                <w:sz w:val="22"/>
              </w:rPr>
            </w:pPr>
            <w:r>
              <w:rPr>
                <w:color w:val="000000"/>
                <w:sz w:val="22"/>
              </w:rPr>
              <w:t>注：本表反映部门本年度的总收支和年末结转结余情况。本套报表金额单位转换时可能存在尾数误差。</w:t>
            </w:r>
          </w:p>
          <w:p w:rsidR="00BA29D2" w:rsidRPr="00BA29D2" w:rsidRDefault="00BA29D2">
            <w:pPr>
              <w:textAlignment w:val="center"/>
              <w:rPr>
                <w:color w:val="000000"/>
                <w:sz w:val="22"/>
              </w:rPr>
            </w:pPr>
          </w:p>
        </w:tc>
      </w:tr>
    </w:tbl>
    <w:p w:rsidR="00B87C8A" w:rsidRPr="00BA29D2" w:rsidRDefault="00B87C8A">
      <w:pPr>
        <w:spacing w:line="600" w:lineRule="exact"/>
        <w:jc w:val="center"/>
        <w:rPr>
          <w:rFonts w:ascii="黑体" w:eastAsia="黑体" w:hAnsi="Times New Roman" w:cs="黑体"/>
          <w:sz w:val="32"/>
          <w:szCs w:val="32"/>
        </w:rPr>
        <w:sectPr w:rsidR="00B87C8A" w:rsidRPr="00BA29D2">
          <w:pgSz w:w="16838" w:h="11906" w:orient="landscape"/>
          <w:pgMar w:top="720" w:right="873" w:bottom="720" w:left="720" w:header="720" w:footer="720" w:gutter="0"/>
          <w:cols w:space="720"/>
        </w:sectPr>
      </w:pPr>
    </w:p>
    <w:tbl>
      <w:tblPr>
        <w:tblW w:w="15202" w:type="dxa"/>
        <w:tblInd w:w="96" w:type="dxa"/>
        <w:tblLayout w:type="fixed"/>
        <w:tblLook w:val="04A0"/>
      </w:tblPr>
      <w:tblGrid>
        <w:gridCol w:w="1468"/>
        <w:gridCol w:w="2928"/>
        <w:gridCol w:w="1608"/>
        <w:gridCol w:w="1464"/>
        <w:gridCol w:w="1560"/>
        <w:gridCol w:w="1440"/>
        <w:gridCol w:w="1320"/>
        <w:gridCol w:w="1656"/>
        <w:gridCol w:w="1698"/>
        <w:gridCol w:w="60"/>
      </w:tblGrid>
      <w:tr w:rsidR="00B87C8A">
        <w:trPr>
          <w:gridAfter w:val="1"/>
          <w:wAfter w:w="60" w:type="dxa"/>
          <w:trHeight w:val="384"/>
        </w:trPr>
        <w:tc>
          <w:tcPr>
            <w:tcW w:w="15142" w:type="dxa"/>
            <w:gridSpan w:val="9"/>
            <w:tcBorders>
              <w:top w:val="nil"/>
              <w:left w:val="nil"/>
              <w:bottom w:val="nil"/>
              <w:right w:val="nil"/>
              <w:tl2br w:val="nil"/>
              <w:tr2bl w:val="nil"/>
            </w:tcBorders>
            <w:noWrap/>
            <w:vAlign w:val="bottom"/>
          </w:tcPr>
          <w:p w:rsidR="00B87C8A" w:rsidRDefault="002D1C8A">
            <w:pPr>
              <w:tabs>
                <w:tab w:val="left" w:pos="1470"/>
              </w:tabs>
              <w:jc w:val="center"/>
              <w:textAlignment w:val="bottom"/>
              <w:rPr>
                <w:color w:val="000000"/>
                <w:sz w:val="30"/>
                <w:szCs w:val="30"/>
              </w:rPr>
            </w:pPr>
            <w:r>
              <w:rPr>
                <w:color w:val="000000"/>
                <w:sz w:val="30"/>
                <w:szCs w:val="30"/>
              </w:rPr>
              <w:lastRenderedPageBreak/>
              <w:t>二、收入决算表</w:t>
            </w:r>
          </w:p>
        </w:tc>
      </w:tr>
      <w:tr w:rsidR="00B87C8A">
        <w:trPr>
          <w:trHeight w:val="288"/>
        </w:trPr>
        <w:tc>
          <w:tcPr>
            <w:tcW w:w="1468"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2928"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608"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464"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560"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440"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320"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656"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758" w:type="dxa"/>
            <w:gridSpan w:val="2"/>
            <w:tcBorders>
              <w:top w:val="nil"/>
              <w:left w:val="nil"/>
              <w:bottom w:val="nil"/>
              <w:right w:val="nil"/>
              <w:tl2br w:val="nil"/>
              <w:tr2bl w:val="nil"/>
            </w:tcBorders>
            <w:noWrap/>
            <w:vAlign w:val="bottom"/>
          </w:tcPr>
          <w:p w:rsidR="00B87C8A" w:rsidRDefault="002D1C8A">
            <w:pPr>
              <w:jc w:val="center"/>
              <w:textAlignment w:val="bottom"/>
              <w:rPr>
                <w:color w:val="000000"/>
                <w:sz w:val="20"/>
                <w:szCs w:val="20"/>
              </w:rPr>
            </w:pPr>
            <w:r>
              <w:rPr>
                <w:color w:val="000000"/>
                <w:sz w:val="20"/>
                <w:szCs w:val="20"/>
              </w:rPr>
              <w:t>公开02表</w:t>
            </w:r>
          </w:p>
        </w:tc>
      </w:tr>
      <w:tr w:rsidR="00B87C8A">
        <w:trPr>
          <w:trHeight w:val="264"/>
        </w:trPr>
        <w:tc>
          <w:tcPr>
            <w:tcW w:w="4396" w:type="dxa"/>
            <w:gridSpan w:val="2"/>
            <w:tcBorders>
              <w:top w:val="nil"/>
              <w:left w:val="nil"/>
              <w:bottom w:val="nil"/>
              <w:right w:val="nil"/>
              <w:tl2br w:val="nil"/>
              <w:tr2bl w:val="nil"/>
            </w:tcBorders>
            <w:noWrap/>
            <w:vAlign w:val="bottom"/>
          </w:tcPr>
          <w:p w:rsidR="00B87C8A" w:rsidRDefault="002D1C8A">
            <w:pPr>
              <w:rPr>
                <w:rFonts w:ascii="Arial" w:hAnsi="Arial" w:cs="Arial"/>
                <w:color w:val="000000"/>
                <w:sz w:val="20"/>
                <w:szCs w:val="20"/>
              </w:rPr>
            </w:pPr>
            <w:r>
              <w:rPr>
                <w:color w:val="000000"/>
                <w:sz w:val="20"/>
                <w:szCs w:val="20"/>
              </w:rPr>
              <w:t>部门：吉首大学</w:t>
            </w:r>
          </w:p>
        </w:tc>
        <w:tc>
          <w:tcPr>
            <w:tcW w:w="1608"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464"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560"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440"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320"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656"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758" w:type="dxa"/>
            <w:gridSpan w:val="2"/>
            <w:tcBorders>
              <w:top w:val="nil"/>
              <w:left w:val="nil"/>
              <w:bottom w:val="nil"/>
              <w:right w:val="nil"/>
              <w:tl2br w:val="nil"/>
              <w:tr2bl w:val="nil"/>
            </w:tcBorders>
            <w:noWrap/>
            <w:vAlign w:val="bottom"/>
          </w:tcPr>
          <w:p w:rsidR="00B87C8A" w:rsidRDefault="002D1C8A">
            <w:pPr>
              <w:textAlignment w:val="bottom"/>
              <w:rPr>
                <w:color w:val="000000"/>
                <w:sz w:val="20"/>
                <w:szCs w:val="20"/>
              </w:rPr>
            </w:pPr>
            <w:r>
              <w:rPr>
                <w:color w:val="000000"/>
                <w:sz w:val="20"/>
                <w:szCs w:val="20"/>
              </w:rPr>
              <w:t>金额单位：万元</w:t>
            </w:r>
          </w:p>
        </w:tc>
      </w:tr>
      <w:tr w:rsidR="00B87C8A">
        <w:trPr>
          <w:trHeight w:val="308"/>
        </w:trPr>
        <w:tc>
          <w:tcPr>
            <w:tcW w:w="4396" w:type="dxa"/>
            <w:gridSpan w:val="2"/>
            <w:tcBorders>
              <w:top w:val="single" w:sz="4" w:space="0" w:color="000000"/>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2D1C8A">
            <w:pPr>
              <w:textAlignment w:val="center"/>
              <w:rPr>
                <w:color w:val="000000"/>
                <w:sz w:val="22"/>
              </w:rPr>
            </w:pPr>
            <w:r>
              <w:rPr>
                <w:color w:val="000000"/>
                <w:sz w:val="22"/>
              </w:rPr>
              <w:t>项目</w:t>
            </w:r>
          </w:p>
        </w:tc>
        <w:tc>
          <w:tcPr>
            <w:tcW w:w="1608" w:type="dxa"/>
            <w:vMerge w:val="restart"/>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2D1C8A">
            <w:pPr>
              <w:textAlignment w:val="center"/>
              <w:rPr>
                <w:color w:val="000000"/>
                <w:sz w:val="22"/>
              </w:rPr>
            </w:pPr>
            <w:r>
              <w:rPr>
                <w:color w:val="000000"/>
                <w:sz w:val="22"/>
              </w:rPr>
              <w:t>本年收入合计</w:t>
            </w:r>
          </w:p>
        </w:tc>
        <w:tc>
          <w:tcPr>
            <w:tcW w:w="1464" w:type="dxa"/>
            <w:vMerge w:val="restart"/>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2D1C8A">
            <w:pPr>
              <w:textAlignment w:val="center"/>
              <w:rPr>
                <w:color w:val="000000"/>
                <w:sz w:val="22"/>
              </w:rPr>
            </w:pPr>
            <w:r>
              <w:rPr>
                <w:color w:val="000000"/>
                <w:sz w:val="22"/>
              </w:rPr>
              <w:t>财政拨款收入</w:t>
            </w:r>
          </w:p>
        </w:tc>
        <w:tc>
          <w:tcPr>
            <w:tcW w:w="1560" w:type="dxa"/>
            <w:vMerge w:val="restart"/>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2D1C8A">
            <w:pPr>
              <w:textAlignment w:val="center"/>
              <w:rPr>
                <w:color w:val="000000"/>
                <w:sz w:val="22"/>
              </w:rPr>
            </w:pPr>
            <w:r>
              <w:rPr>
                <w:color w:val="000000"/>
                <w:sz w:val="22"/>
              </w:rPr>
              <w:t>上级补助收入</w:t>
            </w:r>
          </w:p>
        </w:tc>
        <w:tc>
          <w:tcPr>
            <w:tcW w:w="1440" w:type="dxa"/>
            <w:vMerge w:val="restart"/>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2D1C8A">
            <w:pPr>
              <w:textAlignment w:val="center"/>
              <w:rPr>
                <w:color w:val="000000"/>
                <w:sz w:val="22"/>
              </w:rPr>
            </w:pPr>
            <w:r>
              <w:rPr>
                <w:color w:val="000000"/>
                <w:sz w:val="22"/>
              </w:rPr>
              <w:t>事业收入</w:t>
            </w:r>
          </w:p>
        </w:tc>
        <w:tc>
          <w:tcPr>
            <w:tcW w:w="1320" w:type="dxa"/>
            <w:vMerge w:val="restart"/>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2D1C8A">
            <w:pPr>
              <w:textAlignment w:val="center"/>
              <w:rPr>
                <w:color w:val="000000"/>
                <w:sz w:val="22"/>
              </w:rPr>
            </w:pPr>
            <w:r>
              <w:rPr>
                <w:color w:val="000000"/>
                <w:sz w:val="22"/>
              </w:rPr>
              <w:t>经营收入</w:t>
            </w:r>
          </w:p>
        </w:tc>
        <w:tc>
          <w:tcPr>
            <w:tcW w:w="1656" w:type="dxa"/>
            <w:vMerge w:val="restart"/>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2D1C8A">
            <w:pPr>
              <w:textAlignment w:val="center"/>
              <w:rPr>
                <w:color w:val="000000"/>
                <w:sz w:val="22"/>
              </w:rPr>
            </w:pPr>
            <w:r>
              <w:rPr>
                <w:color w:val="000000"/>
                <w:sz w:val="22"/>
              </w:rPr>
              <w:t>附属单位上缴收入</w:t>
            </w:r>
          </w:p>
        </w:tc>
        <w:tc>
          <w:tcPr>
            <w:tcW w:w="1758" w:type="dxa"/>
            <w:gridSpan w:val="2"/>
            <w:vMerge w:val="restart"/>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其他收入</w:t>
            </w:r>
          </w:p>
        </w:tc>
      </w:tr>
      <w:tr w:rsidR="00B87C8A">
        <w:trPr>
          <w:trHeight w:val="308"/>
        </w:trPr>
        <w:tc>
          <w:tcPr>
            <w:tcW w:w="1468" w:type="dxa"/>
            <w:vMerge w:val="restart"/>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2D1C8A">
            <w:pPr>
              <w:textAlignment w:val="center"/>
              <w:rPr>
                <w:color w:val="000000"/>
                <w:sz w:val="22"/>
              </w:rPr>
            </w:pPr>
            <w:r>
              <w:rPr>
                <w:color w:val="000000"/>
                <w:sz w:val="22"/>
              </w:rPr>
              <w:t>功能分类科目编码</w:t>
            </w:r>
          </w:p>
        </w:tc>
        <w:tc>
          <w:tcPr>
            <w:tcW w:w="2928"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textAlignment w:val="center"/>
              <w:rPr>
                <w:color w:val="000000"/>
                <w:sz w:val="22"/>
              </w:rPr>
            </w:pPr>
            <w:r>
              <w:rPr>
                <w:color w:val="000000"/>
                <w:sz w:val="22"/>
              </w:rPr>
              <w:t>科目名称</w:t>
            </w:r>
          </w:p>
        </w:tc>
        <w:tc>
          <w:tcPr>
            <w:tcW w:w="1608"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464"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560"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440"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320"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656"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758" w:type="dxa"/>
            <w:gridSpan w:val="2"/>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r>
      <w:tr w:rsidR="00B87C8A">
        <w:trPr>
          <w:trHeight w:val="308"/>
        </w:trPr>
        <w:tc>
          <w:tcPr>
            <w:tcW w:w="1468" w:type="dxa"/>
            <w:vMerge/>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2928"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608"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464"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560"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440"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320"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656"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758" w:type="dxa"/>
            <w:gridSpan w:val="2"/>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r>
      <w:tr w:rsidR="00B87C8A">
        <w:trPr>
          <w:trHeight w:val="308"/>
        </w:trPr>
        <w:tc>
          <w:tcPr>
            <w:tcW w:w="1468" w:type="dxa"/>
            <w:vMerge/>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2928"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608"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464"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560"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440"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320"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656"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758" w:type="dxa"/>
            <w:gridSpan w:val="2"/>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r>
      <w:tr w:rsidR="00B87C8A">
        <w:trPr>
          <w:trHeight w:val="308"/>
        </w:trPr>
        <w:tc>
          <w:tcPr>
            <w:tcW w:w="4396" w:type="dxa"/>
            <w:gridSpan w:val="2"/>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栏次</w:t>
            </w:r>
          </w:p>
        </w:tc>
        <w:tc>
          <w:tcPr>
            <w:tcW w:w="1608"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1</w:t>
            </w:r>
          </w:p>
        </w:tc>
        <w:tc>
          <w:tcPr>
            <w:tcW w:w="1464"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2</w:t>
            </w:r>
          </w:p>
        </w:tc>
        <w:tc>
          <w:tcPr>
            <w:tcW w:w="1560"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3</w:t>
            </w:r>
          </w:p>
        </w:tc>
        <w:tc>
          <w:tcPr>
            <w:tcW w:w="1440"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4</w:t>
            </w:r>
          </w:p>
        </w:tc>
        <w:tc>
          <w:tcPr>
            <w:tcW w:w="1320"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5</w:t>
            </w:r>
          </w:p>
        </w:tc>
        <w:tc>
          <w:tcPr>
            <w:tcW w:w="1656"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6</w:t>
            </w:r>
          </w:p>
        </w:tc>
        <w:tc>
          <w:tcPr>
            <w:tcW w:w="1758" w:type="dxa"/>
            <w:gridSpan w:val="2"/>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7</w:t>
            </w:r>
          </w:p>
        </w:tc>
      </w:tr>
      <w:tr w:rsidR="0084256A">
        <w:trPr>
          <w:trHeight w:val="308"/>
        </w:trPr>
        <w:tc>
          <w:tcPr>
            <w:tcW w:w="4396" w:type="dxa"/>
            <w:gridSpan w:val="2"/>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84256A" w:rsidRDefault="0084256A">
            <w:pPr>
              <w:jc w:val="center"/>
              <w:textAlignment w:val="center"/>
              <w:rPr>
                <w:color w:val="000000"/>
                <w:sz w:val="22"/>
              </w:rPr>
            </w:pPr>
            <w:r>
              <w:rPr>
                <w:color w:val="000000"/>
                <w:sz w:val="22"/>
              </w:rPr>
              <w:t>合计</w:t>
            </w:r>
          </w:p>
        </w:tc>
        <w:tc>
          <w:tcPr>
            <w:tcW w:w="1608" w:type="dxa"/>
            <w:tcBorders>
              <w:top w:val="nil"/>
              <w:left w:val="nil"/>
              <w:bottom w:val="single" w:sz="4" w:space="0" w:color="000000"/>
              <w:right w:val="single" w:sz="4" w:space="0" w:color="000000"/>
              <w:tl2br w:val="nil"/>
              <w:tr2bl w:val="nil"/>
            </w:tcBorders>
            <w:noWrap/>
            <w:vAlign w:val="center"/>
          </w:tcPr>
          <w:p w:rsidR="0084256A" w:rsidRPr="00BB7447" w:rsidRDefault="0084256A" w:rsidP="0084256A">
            <w:pPr>
              <w:jc w:val="right"/>
              <w:textAlignment w:val="center"/>
              <w:rPr>
                <w:b/>
                <w:color w:val="000000"/>
                <w:sz w:val="22"/>
              </w:rPr>
            </w:pPr>
            <w:r w:rsidRPr="00BB7447">
              <w:rPr>
                <w:b/>
                <w:color w:val="000000"/>
                <w:sz w:val="22"/>
              </w:rPr>
              <w:t>66,019.59</w:t>
            </w:r>
          </w:p>
        </w:tc>
        <w:tc>
          <w:tcPr>
            <w:tcW w:w="1464" w:type="dxa"/>
            <w:tcBorders>
              <w:top w:val="nil"/>
              <w:left w:val="nil"/>
              <w:bottom w:val="single" w:sz="4" w:space="0" w:color="000000"/>
              <w:right w:val="single" w:sz="4" w:space="0" w:color="000000"/>
              <w:tl2br w:val="nil"/>
              <w:tr2bl w:val="nil"/>
            </w:tcBorders>
            <w:noWrap/>
            <w:vAlign w:val="center"/>
          </w:tcPr>
          <w:p w:rsidR="0084256A" w:rsidRPr="00BB7447" w:rsidRDefault="0084256A" w:rsidP="0084256A">
            <w:pPr>
              <w:jc w:val="right"/>
              <w:textAlignment w:val="center"/>
              <w:rPr>
                <w:b/>
                <w:color w:val="000000"/>
                <w:sz w:val="22"/>
              </w:rPr>
            </w:pPr>
            <w:r w:rsidRPr="00BB7447">
              <w:rPr>
                <w:b/>
                <w:color w:val="000000"/>
                <w:sz w:val="22"/>
              </w:rPr>
              <w:t>41,326.95</w:t>
            </w:r>
          </w:p>
        </w:tc>
        <w:tc>
          <w:tcPr>
            <w:tcW w:w="1560" w:type="dxa"/>
            <w:tcBorders>
              <w:top w:val="nil"/>
              <w:left w:val="nil"/>
              <w:bottom w:val="single" w:sz="4" w:space="0" w:color="000000"/>
              <w:right w:val="single" w:sz="4" w:space="0" w:color="000000"/>
              <w:tl2br w:val="nil"/>
              <w:tr2bl w:val="nil"/>
            </w:tcBorders>
            <w:noWrap/>
            <w:vAlign w:val="center"/>
          </w:tcPr>
          <w:p w:rsidR="0084256A" w:rsidRPr="00BB7447" w:rsidRDefault="0084256A" w:rsidP="0084256A">
            <w:pPr>
              <w:jc w:val="right"/>
              <w:textAlignment w:val="center"/>
              <w:rPr>
                <w:b/>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BB7447" w:rsidRDefault="0084256A" w:rsidP="0084256A">
            <w:pPr>
              <w:jc w:val="right"/>
              <w:textAlignment w:val="center"/>
              <w:rPr>
                <w:b/>
                <w:color w:val="000000"/>
                <w:sz w:val="22"/>
              </w:rPr>
            </w:pPr>
            <w:r w:rsidRPr="00BB7447">
              <w:rPr>
                <w:b/>
                <w:color w:val="000000"/>
                <w:sz w:val="22"/>
              </w:rPr>
              <w:t>22,026.96</w:t>
            </w:r>
          </w:p>
        </w:tc>
        <w:tc>
          <w:tcPr>
            <w:tcW w:w="1320" w:type="dxa"/>
            <w:tcBorders>
              <w:top w:val="nil"/>
              <w:left w:val="nil"/>
              <w:bottom w:val="single" w:sz="4" w:space="0" w:color="000000"/>
              <w:right w:val="single" w:sz="4" w:space="0" w:color="000000"/>
              <w:tl2br w:val="nil"/>
              <w:tr2bl w:val="nil"/>
            </w:tcBorders>
            <w:noWrap/>
            <w:vAlign w:val="center"/>
          </w:tcPr>
          <w:p w:rsidR="0084256A" w:rsidRPr="00BB7447" w:rsidRDefault="0084256A" w:rsidP="0084256A">
            <w:pPr>
              <w:jc w:val="right"/>
              <w:textAlignment w:val="center"/>
              <w:rPr>
                <w:b/>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BB7447" w:rsidRDefault="0084256A" w:rsidP="0084256A">
            <w:pPr>
              <w:jc w:val="right"/>
              <w:textAlignment w:val="center"/>
              <w:rPr>
                <w:b/>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BB7447" w:rsidRDefault="0084256A" w:rsidP="0084256A">
            <w:pPr>
              <w:jc w:val="right"/>
              <w:textAlignment w:val="center"/>
              <w:rPr>
                <w:b/>
                <w:color w:val="000000"/>
                <w:sz w:val="22"/>
              </w:rPr>
            </w:pPr>
            <w:r w:rsidRPr="00BB7447">
              <w:rPr>
                <w:b/>
                <w:color w:val="000000"/>
                <w:sz w:val="22"/>
              </w:rPr>
              <w:t>2,665.68</w:t>
            </w: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201</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一般公共服务支出</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93.50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93.50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20106</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财政事务</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2.50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2.50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2010699</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ind w:firstLineChars="100" w:firstLine="220"/>
              <w:textAlignment w:val="center"/>
              <w:rPr>
                <w:color w:val="000000"/>
                <w:sz w:val="22"/>
              </w:rPr>
            </w:pPr>
            <w:r w:rsidRPr="0084256A">
              <w:rPr>
                <w:color w:val="000000"/>
                <w:sz w:val="22"/>
              </w:rPr>
              <w:t>其他财政事务支出</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2.50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2.50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20114</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知识产权事务</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50.00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50.00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2011499</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ind w:firstLineChars="100" w:firstLine="220"/>
              <w:textAlignment w:val="center"/>
              <w:rPr>
                <w:color w:val="000000"/>
                <w:sz w:val="22"/>
              </w:rPr>
            </w:pPr>
            <w:r w:rsidRPr="0084256A">
              <w:rPr>
                <w:color w:val="000000"/>
                <w:sz w:val="22"/>
              </w:rPr>
              <w:t>其他知识产权事务支出</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50.00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50.00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20123</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民族事务</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36.00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36.00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2012304</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ind w:firstLineChars="100" w:firstLine="220"/>
              <w:textAlignment w:val="center"/>
              <w:rPr>
                <w:color w:val="000000"/>
                <w:sz w:val="22"/>
              </w:rPr>
            </w:pPr>
            <w:r w:rsidRPr="0084256A">
              <w:rPr>
                <w:color w:val="000000"/>
                <w:sz w:val="22"/>
              </w:rPr>
              <w:t>民族工作专项</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36.00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36.00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20129</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群众团体事务</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5.00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5.00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2012902</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ind w:firstLineChars="100" w:firstLine="220"/>
              <w:textAlignment w:val="center"/>
              <w:rPr>
                <w:color w:val="000000"/>
                <w:sz w:val="22"/>
              </w:rPr>
            </w:pPr>
            <w:r w:rsidRPr="0084256A">
              <w:rPr>
                <w:color w:val="000000"/>
                <w:sz w:val="22"/>
              </w:rPr>
              <w:t>一般行政管理事务</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5.00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5.00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205</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教育支出</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65,084.01</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40,391.37</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22,026.96</w:t>
            </w: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2,665.68</w:t>
            </w: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20502</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普通教育</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65,084.01</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40,391.37</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22,026.96</w:t>
            </w: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2,665.68</w:t>
            </w: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2050205</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ind w:firstLineChars="100" w:firstLine="220"/>
              <w:textAlignment w:val="center"/>
              <w:rPr>
                <w:color w:val="000000"/>
                <w:sz w:val="22"/>
              </w:rPr>
            </w:pPr>
            <w:r w:rsidRPr="0084256A">
              <w:rPr>
                <w:color w:val="000000"/>
                <w:sz w:val="22"/>
              </w:rPr>
              <w:t>高等教育</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65,084.01</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40,391.37</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22,026.96</w:t>
            </w: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2,665.68</w:t>
            </w: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206</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科学技术支出</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354.70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354.70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20602</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基础研究</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85.00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85.00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2060203</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ind w:firstLineChars="100" w:firstLine="220"/>
              <w:textAlignment w:val="center"/>
              <w:rPr>
                <w:color w:val="000000"/>
                <w:sz w:val="22"/>
              </w:rPr>
            </w:pPr>
            <w:r w:rsidRPr="0084256A">
              <w:rPr>
                <w:color w:val="000000"/>
                <w:sz w:val="22"/>
              </w:rPr>
              <w:t>自然科学基金</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85.00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85.00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20605</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科技条件与服务</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60.00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60.00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2060599</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ind w:firstLineChars="100" w:firstLine="220"/>
              <w:textAlignment w:val="center"/>
              <w:rPr>
                <w:color w:val="000000"/>
                <w:sz w:val="22"/>
              </w:rPr>
            </w:pPr>
            <w:r w:rsidRPr="0084256A">
              <w:rPr>
                <w:color w:val="000000"/>
                <w:sz w:val="22"/>
              </w:rPr>
              <w:t>其他科技条件与服务支出</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60.00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60.00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20606</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社会科学</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117.70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117.70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2060603</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ind w:firstLineChars="100" w:firstLine="220"/>
              <w:textAlignment w:val="center"/>
              <w:rPr>
                <w:color w:val="000000"/>
                <w:sz w:val="22"/>
              </w:rPr>
            </w:pPr>
            <w:r w:rsidRPr="0084256A">
              <w:rPr>
                <w:color w:val="000000"/>
                <w:sz w:val="22"/>
              </w:rPr>
              <w:t>社科基金支出</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48.20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48.20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2060699</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ind w:firstLineChars="100" w:firstLine="220"/>
              <w:textAlignment w:val="center"/>
              <w:rPr>
                <w:color w:val="000000"/>
                <w:sz w:val="22"/>
              </w:rPr>
            </w:pPr>
            <w:r w:rsidRPr="0084256A">
              <w:rPr>
                <w:color w:val="000000"/>
                <w:sz w:val="22"/>
              </w:rPr>
              <w:t>其他社会科学支出</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69.50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69.50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20607</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科学技术普及</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2060799</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ind w:firstLineChars="100" w:firstLine="220"/>
              <w:textAlignment w:val="center"/>
              <w:rPr>
                <w:color w:val="000000"/>
                <w:sz w:val="22"/>
              </w:rPr>
            </w:pPr>
            <w:r w:rsidRPr="0084256A">
              <w:rPr>
                <w:color w:val="000000"/>
                <w:sz w:val="22"/>
              </w:rPr>
              <w:t>其他科学技术普及支出</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auto"/>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20609</w:t>
            </w:r>
          </w:p>
        </w:tc>
        <w:tc>
          <w:tcPr>
            <w:tcW w:w="2928" w:type="dxa"/>
            <w:tcBorders>
              <w:top w:val="nil"/>
              <w:left w:val="nil"/>
              <w:bottom w:val="single" w:sz="4" w:space="0" w:color="auto"/>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科技重大项目</w:t>
            </w:r>
          </w:p>
        </w:tc>
        <w:tc>
          <w:tcPr>
            <w:tcW w:w="1608" w:type="dxa"/>
            <w:tcBorders>
              <w:top w:val="nil"/>
              <w:left w:val="nil"/>
              <w:bottom w:val="single" w:sz="4" w:space="0" w:color="auto"/>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50.00</w:t>
            </w:r>
          </w:p>
        </w:tc>
        <w:tc>
          <w:tcPr>
            <w:tcW w:w="1464" w:type="dxa"/>
            <w:tcBorders>
              <w:top w:val="nil"/>
              <w:left w:val="nil"/>
              <w:bottom w:val="single" w:sz="4" w:space="0" w:color="auto"/>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50.00</w:t>
            </w:r>
          </w:p>
        </w:tc>
        <w:tc>
          <w:tcPr>
            <w:tcW w:w="1560" w:type="dxa"/>
            <w:tcBorders>
              <w:top w:val="nil"/>
              <w:left w:val="nil"/>
              <w:bottom w:val="single" w:sz="4" w:space="0" w:color="auto"/>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auto"/>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auto"/>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auto"/>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auto"/>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single" w:sz="4" w:space="0" w:color="auto"/>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lastRenderedPageBreak/>
              <w:t>2060902</w:t>
            </w:r>
          </w:p>
        </w:tc>
        <w:tc>
          <w:tcPr>
            <w:tcW w:w="2928" w:type="dxa"/>
            <w:tcBorders>
              <w:top w:val="single" w:sz="4" w:space="0" w:color="auto"/>
              <w:left w:val="nil"/>
              <w:bottom w:val="single" w:sz="4" w:space="0" w:color="000000"/>
              <w:right w:val="single" w:sz="4" w:space="0" w:color="000000"/>
              <w:tl2br w:val="nil"/>
              <w:tr2bl w:val="nil"/>
            </w:tcBorders>
            <w:noWrap/>
            <w:vAlign w:val="center"/>
          </w:tcPr>
          <w:p w:rsidR="0084256A" w:rsidRPr="0084256A" w:rsidRDefault="0084256A" w:rsidP="0084256A">
            <w:pPr>
              <w:ind w:firstLineChars="100" w:firstLine="220"/>
              <w:textAlignment w:val="center"/>
              <w:rPr>
                <w:color w:val="000000"/>
                <w:sz w:val="22"/>
              </w:rPr>
            </w:pPr>
            <w:r w:rsidRPr="0084256A">
              <w:rPr>
                <w:color w:val="000000"/>
                <w:sz w:val="22"/>
              </w:rPr>
              <w:t>重点研发计划</w:t>
            </w:r>
          </w:p>
        </w:tc>
        <w:tc>
          <w:tcPr>
            <w:tcW w:w="1608" w:type="dxa"/>
            <w:tcBorders>
              <w:top w:val="single" w:sz="4" w:space="0" w:color="auto"/>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50.00</w:t>
            </w:r>
          </w:p>
        </w:tc>
        <w:tc>
          <w:tcPr>
            <w:tcW w:w="1464" w:type="dxa"/>
            <w:tcBorders>
              <w:top w:val="single" w:sz="4" w:space="0" w:color="auto"/>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50.00</w:t>
            </w:r>
          </w:p>
        </w:tc>
        <w:tc>
          <w:tcPr>
            <w:tcW w:w="1560" w:type="dxa"/>
            <w:tcBorders>
              <w:top w:val="single" w:sz="4" w:space="0" w:color="auto"/>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single" w:sz="4" w:space="0" w:color="auto"/>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single" w:sz="4" w:space="0" w:color="auto"/>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single" w:sz="4" w:space="0" w:color="auto"/>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single" w:sz="4" w:space="0" w:color="auto"/>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20699</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其他科学技术支出</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40.00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40.00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2069999</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ind w:firstLineChars="100" w:firstLine="220"/>
              <w:textAlignment w:val="center"/>
              <w:rPr>
                <w:color w:val="000000"/>
                <w:sz w:val="22"/>
              </w:rPr>
            </w:pPr>
            <w:r w:rsidRPr="0084256A">
              <w:rPr>
                <w:color w:val="000000"/>
                <w:sz w:val="22"/>
              </w:rPr>
              <w:t>其他科学技术支出</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40.00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40.00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207</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文化旅游体育与传媒支出</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50.00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50.00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20701</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文化和旅游</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50.00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50.00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2070111</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ind w:firstLineChars="100" w:firstLine="220"/>
              <w:textAlignment w:val="center"/>
              <w:rPr>
                <w:color w:val="000000"/>
                <w:sz w:val="22"/>
              </w:rPr>
            </w:pPr>
            <w:r w:rsidRPr="0084256A">
              <w:rPr>
                <w:color w:val="000000"/>
                <w:sz w:val="22"/>
              </w:rPr>
              <w:t>文化创作与保护</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50.00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50.00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208</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社会保障和就业支出</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19.38</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19.38</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20807</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就业补助</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18.40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18.40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2080799</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ind w:firstLineChars="100" w:firstLine="220"/>
              <w:textAlignment w:val="center"/>
              <w:rPr>
                <w:color w:val="000000"/>
                <w:sz w:val="22"/>
              </w:rPr>
            </w:pPr>
            <w:r w:rsidRPr="0084256A">
              <w:rPr>
                <w:color w:val="000000"/>
                <w:sz w:val="22"/>
              </w:rPr>
              <w:t>其他就业补助支出</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18.40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18.40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20899</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其他社会保障和就业支出</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0.98</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0.98</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2089999</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ind w:firstLineChars="100" w:firstLine="220"/>
              <w:textAlignment w:val="center"/>
              <w:rPr>
                <w:color w:val="000000"/>
                <w:sz w:val="22"/>
              </w:rPr>
            </w:pPr>
            <w:r w:rsidRPr="0084256A">
              <w:rPr>
                <w:color w:val="000000"/>
                <w:sz w:val="22"/>
              </w:rPr>
              <w:t>其他社会保障和就业支出</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0.98</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0.98</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210</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卫生健康支出</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398.00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398.00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21004</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公共卫生</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394.00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394.00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2100499</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ind w:firstLineChars="100" w:firstLine="220"/>
              <w:textAlignment w:val="center"/>
              <w:rPr>
                <w:color w:val="000000"/>
                <w:sz w:val="22"/>
              </w:rPr>
            </w:pPr>
            <w:r w:rsidRPr="0084256A">
              <w:rPr>
                <w:color w:val="000000"/>
                <w:sz w:val="22"/>
              </w:rPr>
              <w:t>其他公共卫生支出</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394.00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394.00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21006</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中医药</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2100601</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ind w:firstLineChars="100" w:firstLine="220"/>
              <w:textAlignment w:val="center"/>
              <w:rPr>
                <w:color w:val="000000"/>
                <w:sz w:val="22"/>
              </w:rPr>
            </w:pPr>
            <w:r w:rsidRPr="0084256A">
              <w:rPr>
                <w:color w:val="000000"/>
                <w:sz w:val="22"/>
              </w:rPr>
              <w:t>中医（民族医）药专项</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21099</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其他卫生健康支出</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2109999</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ind w:firstLineChars="100" w:firstLine="220"/>
              <w:textAlignment w:val="center"/>
              <w:rPr>
                <w:color w:val="000000"/>
                <w:sz w:val="22"/>
              </w:rPr>
            </w:pPr>
            <w:r w:rsidRPr="0084256A">
              <w:rPr>
                <w:color w:val="000000"/>
                <w:sz w:val="22"/>
              </w:rPr>
              <w:t>其他卫生健康支出</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213</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农林水支出</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20.00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20.00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21302</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林业和草原</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20.00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20.00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trHeight w:val="308"/>
        </w:trPr>
        <w:tc>
          <w:tcPr>
            <w:tcW w:w="1468" w:type="dxa"/>
            <w:tcBorders>
              <w:top w:val="nil"/>
              <w:left w:val="single" w:sz="4" w:space="0" w:color="000000"/>
              <w:bottom w:val="single" w:sz="4" w:space="0" w:color="000000"/>
              <w:right w:val="single" w:sz="4" w:space="0" w:color="000000"/>
              <w:tl2br w:val="nil"/>
              <w:tr2bl w:val="nil"/>
            </w:tcBorders>
            <w:noWrap/>
            <w:vAlign w:val="center"/>
          </w:tcPr>
          <w:p w:rsidR="0084256A" w:rsidRPr="0084256A" w:rsidRDefault="0084256A" w:rsidP="0084256A">
            <w:pPr>
              <w:textAlignment w:val="center"/>
              <w:rPr>
                <w:color w:val="000000"/>
                <w:sz w:val="22"/>
              </w:rPr>
            </w:pPr>
            <w:r w:rsidRPr="0084256A">
              <w:rPr>
                <w:color w:val="000000"/>
                <w:sz w:val="22"/>
              </w:rPr>
              <w:t>2130211</w:t>
            </w:r>
          </w:p>
        </w:tc>
        <w:tc>
          <w:tcPr>
            <w:tcW w:w="292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ind w:firstLineChars="100" w:firstLine="220"/>
              <w:textAlignment w:val="center"/>
              <w:rPr>
                <w:color w:val="000000"/>
                <w:sz w:val="22"/>
              </w:rPr>
            </w:pPr>
            <w:r w:rsidRPr="0084256A">
              <w:rPr>
                <w:color w:val="000000"/>
                <w:sz w:val="22"/>
              </w:rPr>
              <w:t>动植物保护</w:t>
            </w:r>
          </w:p>
        </w:tc>
        <w:tc>
          <w:tcPr>
            <w:tcW w:w="1608"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20.00</w:t>
            </w:r>
          </w:p>
        </w:tc>
        <w:tc>
          <w:tcPr>
            <w:tcW w:w="1464"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r w:rsidRPr="0084256A">
              <w:rPr>
                <w:color w:val="000000"/>
                <w:sz w:val="22"/>
              </w:rPr>
              <w:t>20.00</w:t>
            </w:r>
          </w:p>
        </w:tc>
        <w:tc>
          <w:tcPr>
            <w:tcW w:w="156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44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320"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656" w:type="dxa"/>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c>
          <w:tcPr>
            <w:tcW w:w="1758" w:type="dxa"/>
            <w:gridSpan w:val="2"/>
            <w:tcBorders>
              <w:top w:val="nil"/>
              <w:left w:val="nil"/>
              <w:bottom w:val="single" w:sz="4" w:space="0" w:color="000000"/>
              <w:right w:val="single" w:sz="4" w:space="0" w:color="000000"/>
              <w:tl2br w:val="nil"/>
              <w:tr2bl w:val="nil"/>
            </w:tcBorders>
            <w:noWrap/>
            <w:vAlign w:val="center"/>
          </w:tcPr>
          <w:p w:rsidR="0084256A" w:rsidRPr="0084256A" w:rsidRDefault="0084256A" w:rsidP="0084256A">
            <w:pPr>
              <w:jc w:val="right"/>
              <w:textAlignment w:val="center"/>
              <w:rPr>
                <w:color w:val="000000"/>
                <w:sz w:val="22"/>
              </w:rPr>
            </w:pPr>
          </w:p>
        </w:tc>
      </w:tr>
      <w:tr w:rsidR="0084256A">
        <w:trPr>
          <w:gridAfter w:val="1"/>
          <w:wAfter w:w="60" w:type="dxa"/>
          <w:trHeight w:val="308"/>
        </w:trPr>
        <w:tc>
          <w:tcPr>
            <w:tcW w:w="15142" w:type="dxa"/>
            <w:gridSpan w:val="9"/>
            <w:tcBorders>
              <w:top w:val="nil"/>
              <w:left w:val="nil"/>
              <w:bottom w:val="nil"/>
              <w:right w:val="nil"/>
              <w:tl2br w:val="nil"/>
              <w:tr2bl w:val="nil"/>
            </w:tcBorders>
            <w:noWrap/>
            <w:vAlign w:val="center"/>
          </w:tcPr>
          <w:p w:rsidR="0084256A" w:rsidRDefault="0084256A">
            <w:pPr>
              <w:textAlignment w:val="center"/>
              <w:rPr>
                <w:color w:val="000000"/>
                <w:sz w:val="22"/>
              </w:rPr>
            </w:pPr>
            <w:r>
              <w:rPr>
                <w:color w:val="000000"/>
                <w:sz w:val="22"/>
              </w:rPr>
              <w:t>注：本表反映部门本年度取得的各项收入情况。</w:t>
            </w:r>
          </w:p>
        </w:tc>
      </w:tr>
    </w:tbl>
    <w:p w:rsidR="00B87C8A" w:rsidRDefault="00B87C8A">
      <w:pPr>
        <w:spacing w:line="600" w:lineRule="exact"/>
        <w:jc w:val="center"/>
        <w:rPr>
          <w:rFonts w:ascii="黑体" w:eastAsia="黑体" w:hAnsi="Times New Roman" w:cs="黑体"/>
          <w:sz w:val="32"/>
          <w:szCs w:val="32"/>
        </w:rPr>
        <w:sectPr w:rsidR="00B87C8A">
          <w:pgSz w:w="16838" w:h="11906" w:orient="landscape"/>
          <w:pgMar w:top="720" w:right="873" w:bottom="720" w:left="720" w:header="720" w:footer="720" w:gutter="0"/>
          <w:cols w:space="720"/>
        </w:sectPr>
      </w:pPr>
    </w:p>
    <w:tbl>
      <w:tblPr>
        <w:tblW w:w="15222" w:type="dxa"/>
        <w:tblInd w:w="96" w:type="dxa"/>
        <w:tblLayout w:type="fixed"/>
        <w:tblLook w:val="04A0"/>
      </w:tblPr>
      <w:tblGrid>
        <w:gridCol w:w="1613"/>
        <w:gridCol w:w="236"/>
        <w:gridCol w:w="236"/>
        <w:gridCol w:w="3335"/>
        <w:gridCol w:w="1737"/>
        <w:gridCol w:w="1817"/>
        <w:gridCol w:w="1537"/>
        <w:gridCol w:w="1537"/>
        <w:gridCol w:w="1298"/>
        <w:gridCol w:w="1876"/>
      </w:tblGrid>
      <w:tr w:rsidR="00B87C8A">
        <w:trPr>
          <w:trHeight w:val="384"/>
        </w:trPr>
        <w:tc>
          <w:tcPr>
            <w:tcW w:w="15222" w:type="dxa"/>
            <w:gridSpan w:val="10"/>
            <w:tcBorders>
              <w:top w:val="nil"/>
              <w:left w:val="nil"/>
              <w:bottom w:val="nil"/>
              <w:right w:val="nil"/>
              <w:tl2br w:val="nil"/>
              <w:tr2bl w:val="nil"/>
            </w:tcBorders>
            <w:noWrap/>
            <w:vAlign w:val="bottom"/>
          </w:tcPr>
          <w:p w:rsidR="00B87C8A" w:rsidRDefault="002D1C8A">
            <w:pPr>
              <w:jc w:val="center"/>
              <w:textAlignment w:val="bottom"/>
              <w:rPr>
                <w:color w:val="000000"/>
                <w:sz w:val="30"/>
                <w:szCs w:val="30"/>
              </w:rPr>
            </w:pPr>
            <w:r>
              <w:rPr>
                <w:color w:val="000000"/>
                <w:sz w:val="30"/>
                <w:szCs w:val="30"/>
              </w:rPr>
              <w:lastRenderedPageBreak/>
              <w:t>三、支出决算表</w:t>
            </w:r>
          </w:p>
        </w:tc>
      </w:tr>
      <w:tr w:rsidR="00B87C8A" w:rsidTr="00143480">
        <w:trPr>
          <w:trHeight w:val="264"/>
        </w:trPr>
        <w:tc>
          <w:tcPr>
            <w:tcW w:w="1613"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236"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236"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3335"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737"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817"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537"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537"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298"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876" w:type="dxa"/>
            <w:tcBorders>
              <w:top w:val="nil"/>
              <w:left w:val="nil"/>
              <w:bottom w:val="nil"/>
              <w:right w:val="nil"/>
              <w:tl2br w:val="nil"/>
              <w:tr2bl w:val="nil"/>
            </w:tcBorders>
            <w:noWrap/>
            <w:vAlign w:val="bottom"/>
          </w:tcPr>
          <w:p w:rsidR="00B87C8A" w:rsidRDefault="002D1C8A">
            <w:pPr>
              <w:jc w:val="right"/>
              <w:textAlignment w:val="bottom"/>
              <w:rPr>
                <w:color w:val="000000"/>
                <w:sz w:val="20"/>
                <w:szCs w:val="20"/>
              </w:rPr>
            </w:pPr>
            <w:r>
              <w:rPr>
                <w:color w:val="000000"/>
                <w:sz w:val="20"/>
                <w:szCs w:val="20"/>
              </w:rPr>
              <w:t>公开03表</w:t>
            </w:r>
          </w:p>
        </w:tc>
      </w:tr>
      <w:tr w:rsidR="00B87C8A" w:rsidTr="00143480">
        <w:trPr>
          <w:trHeight w:val="264"/>
        </w:trPr>
        <w:tc>
          <w:tcPr>
            <w:tcW w:w="1613" w:type="dxa"/>
            <w:tcBorders>
              <w:top w:val="nil"/>
              <w:left w:val="nil"/>
              <w:bottom w:val="nil"/>
              <w:right w:val="nil"/>
              <w:tl2br w:val="nil"/>
              <w:tr2bl w:val="nil"/>
            </w:tcBorders>
            <w:noWrap/>
            <w:vAlign w:val="bottom"/>
          </w:tcPr>
          <w:p w:rsidR="00B87C8A" w:rsidRDefault="002D1C8A">
            <w:pPr>
              <w:textAlignment w:val="bottom"/>
              <w:rPr>
                <w:color w:val="000000"/>
                <w:sz w:val="20"/>
                <w:szCs w:val="20"/>
              </w:rPr>
            </w:pPr>
            <w:r>
              <w:rPr>
                <w:color w:val="000000"/>
                <w:sz w:val="20"/>
                <w:szCs w:val="20"/>
              </w:rPr>
              <w:t>部门：吉首大学</w:t>
            </w:r>
          </w:p>
        </w:tc>
        <w:tc>
          <w:tcPr>
            <w:tcW w:w="236"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236"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3335"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737"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817"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537"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537"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298"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876" w:type="dxa"/>
            <w:tcBorders>
              <w:top w:val="nil"/>
              <w:left w:val="nil"/>
              <w:bottom w:val="nil"/>
              <w:right w:val="nil"/>
              <w:tl2br w:val="nil"/>
              <w:tr2bl w:val="nil"/>
            </w:tcBorders>
            <w:noWrap/>
            <w:vAlign w:val="bottom"/>
          </w:tcPr>
          <w:p w:rsidR="00B87C8A" w:rsidRDefault="002D1C8A">
            <w:pPr>
              <w:jc w:val="right"/>
              <w:textAlignment w:val="bottom"/>
              <w:rPr>
                <w:color w:val="000000"/>
                <w:sz w:val="20"/>
                <w:szCs w:val="20"/>
              </w:rPr>
            </w:pPr>
            <w:r>
              <w:rPr>
                <w:color w:val="000000"/>
                <w:sz w:val="20"/>
                <w:szCs w:val="20"/>
              </w:rPr>
              <w:t>金额单位：万元</w:t>
            </w:r>
          </w:p>
        </w:tc>
      </w:tr>
      <w:tr w:rsidR="00B87C8A" w:rsidTr="00143480">
        <w:trPr>
          <w:trHeight w:val="308"/>
        </w:trPr>
        <w:tc>
          <w:tcPr>
            <w:tcW w:w="5420" w:type="dxa"/>
            <w:gridSpan w:val="4"/>
            <w:tcBorders>
              <w:top w:val="single" w:sz="4" w:space="0" w:color="000000"/>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项目</w:t>
            </w:r>
          </w:p>
        </w:tc>
        <w:tc>
          <w:tcPr>
            <w:tcW w:w="1737" w:type="dxa"/>
            <w:vMerge w:val="restart"/>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本年支出合计</w:t>
            </w:r>
          </w:p>
        </w:tc>
        <w:tc>
          <w:tcPr>
            <w:tcW w:w="1817" w:type="dxa"/>
            <w:vMerge w:val="restart"/>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基本支出</w:t>
            </w:r>
          </w:p>
        </w:tc>
        <w:tc>
          <w:tcPr>
            <w:tcW w:w="1537" w:type="dxa"/>
            <w:vMerge w:val="restart"/>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项目支出</w:t>
            </w:r>
          </w:p>
        </w:tc>
        <w:tc>
          <w:tcPr>
            <w:tcW w:w="1537" w:type="dxa"/>
            <w:vMerge w:val="restart"/>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上缴上级支出</w:t>
            </w:r>
          </w:p>
        </w:tc>
        <w:tc>
          <w:tcPr>
            <w:tcW w:w="1298" w:type="dxa"/>
            <w:vMerge w:val="restart"/>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经营支出</w:t>
            </w:r>
          </w:p>
        </w:tc>
        <w:tc>
          <w:tcPr>
            <w:tcW w:w="1876" w:type="dxa"/>
            <w:vMerge w:val="restart"/>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对附属单位补助支出</w:t>
            </w:r>
          </w:p>
        </w:tc>
      </w:tr>
      <w:tr w:rsidR="00B87C8A" w:rsidTr="00143480">
        <w:trPr>
          <w:trHeight w:val="308"/>
        </w:trPr>
        <w:tc>
          <w:tcPr>
            <w:tcW w:w="2085" w:type="dxa"/>
            <w:gridSpan w:val="3"/>
            <w:vMerge w:val="restart"/>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功能分类科目编码</w:t>
            </w:r>
          </w:p>
        </w:tc>
        <w:tc>
          <w:tcPr>
            <w:tcW w:w="3335"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科目名称</w:t>
            </w:r>
          </w:p>
        </w:tc>
        <w:tc>
          <w:tcPr>
            <w:tcW w:w="1737"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817"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537"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537"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298"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876"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r>
      <w:tr w:rsidR="00B87C8A" w:rsidTr="00143480">
        <w:trPr>
          <w:trHeight w:val="308"/>
        </w:trPr>
        <w:tc>
          <w:tcPr>
            <w:tcW w:w="2085" w:type="dxa"/>
            <w:gridSpan w:val="3"/>
            <w:vMerge/>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3335"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737"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817"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537"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537"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298"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876"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r>
      <w:tr w:rsidR="00B87C8A" w:rsidTr="00143480">
        <w:trPr>
          <w:trHeight w:val="312"/>
        </w:trPr>
        <w:tc>
          <w:tcPr>
            <w:tcW w:w="2085" w:type="dxa"/>
            <w:gridSpan w:val="3"/>
            <w:vMerge/>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3335"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737"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817"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537"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537"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298"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876"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r>
      <w:tr w:rsidR="00B87C8A" w:rsidTr="00143480">
        <w:trPr>
          <w:trHeight w:val="308"/>
        </w:trPr>
        <w:tc>
          <w:tcPr>
            <w:tcW w:w="5420" w:type="dxa"/>
            <w:gridSpan w:val="4"/>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栏次</w:t>
            </w:r>
          </w:p>
        </w:tc>
        <w:tc>
          <w:tcPr>
            <w:tcW w:w="1737"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1</w:t>
            </w:r>
          </w:p>
        </w:tc>
        <w:tc>
          <w:tcPr>
            <w:tcW w:w="1817"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2</w:t>
            </w:r>
          </w:p>
        </w:tc>
        <w:tc>
          <w:tcPr>
            <w:tcW w:w="1537"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3</w:t>
            </w:r>
          </w:p>
        </w:tc>
        <w:tc>
          <w:tcPr>
            <w:tcW w:w="1537"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4</w:t>
            </w:r>
          </w:p>
        </w:tc>
        <w:tc>
          <w:tcPr>
            <w:tcW w:w="1298"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5</w:t>
            </w:r>
          </w:p>
        </w:tc>
        <w:tc>
          <w:tcPr>
            <w:tcW w:w="1876"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6</w:t>
            </w:r>
          </w:p>
        </w:tc>
      </w:tr>
      <w:tr w:rsidR="00143480" w:rsidTr="00143480">
        <w:trPr>
          <w:trHeight w:val="308"/>
        </w:trPr>
        <w:tc>
          <w:tcPr>
            <w:tcW w:w="5420" w:type="dxa"/>
            <w:gridSpan w:val="4"/>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合计</w:t>
            </w:r>
          </w:p>
        </w:tc>
        <w:tc>
          <w:tcPr>
            <w:tcW w:w="1737"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b/>
                <w:color w:val="000000"/>
                <w:sz w:val="22"/>
              </w:rPr>
            </w:pPr>
            <w:r w:rsidRPr="00143480">
              <w:rPr>
                <w:b/>
                <w:color w:val="000000"/>
                <w:sz w:val="22"/>
              </w:rPr>
              <w:t>65,643.27</w:t>
            </w:r>
          </w:p>
        </w:tc>
        <w:tc>
          <w:tcPr>
            <w:tcW w:w="1817"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b/>
                <w:color w:val="000000"/>
                <w:sz w:val="22"/>
              </w:rPr>
            </w:pPr>
            <w:r w:rsidRPr="00143480">
              <w:rPr>
                <w:b/>
                <w:color w:val="000000"/>
                <w:sz w:val="22"/>
              </w:rPr>
              <w:t>39,628.18</w:t>
            </w:r>
          </w:p>
        </w:tc>
        <w:tc>
          <w:tcPr>
            <w:tcW w:w="1537"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b/>
                <w:color w:val="000000"/>
                <w:sz w:val="22"/>
              </w:rPr>
            </w:pPr>
            <w:r w:rsidRPr="00143480">
              <w:rPr>
                <w:b/>
                <w:color w:val="000000"/>
                <w:sz w:val="22"/>
              </w:rPr>
              <w:t>26,015.09</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201</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一般公共服务支出</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92.88</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92.88</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20106</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财政事务</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2.38</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2.38</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2010699</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ind w:firstLineChars="100" w:firstLine="220"/>
              <w:textAlignment w:val="center"/>
              <w:rPr>
                <w:color w:val="000000"/>
                <w:sz w:val="22"/>
              </w:rPr>
            </w:pPr>
            <w:r w:rsidRPr="0084256A">
              <w:rPr>
                <w:color w:val="000000"/>
                <w:sz w:val="22"/>
              </w:rPr>
              <w:t>其他财政事务支出</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2.38</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2.38</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20114</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知识产权事务</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49.50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49.50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2011499</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ind w:firstLineChars="100" w:firstLine="220"/>
              <w:textAlignment w:val="center"/>
              <w:rPr>
                <w:color w:val="000000"/>
                <w:sz w:val="22"/>
              </w:rPr>
            </w:pPr>
            <w:r w:rsidRPr="0084256A">
              <w:rPr>
                <w:color w:val="000000"/>
                <w:sz w:val="22"/>
              </w:rPr>
              <w:t>其他知识产权事务支出</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49.50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49.50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20123</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民族事务</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36.00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36.00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2012304</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ind w:firstLineChars="100" w:firstLine="220"/>
              <w:textAlignment w:val="center"/>
              <w:rPr>
                <w:color w:val="000000"/>
                <w:sz w:val="22"/>
              </w:rPr>
            </w:pPr>
            <w:r w:rsidRPr="0084256A">
              <w:rPr>
                <w:color w:val="000000"/>
                <w:sz w:val="22"/>
              </w:rPr>
              <w:t>民族工作专项</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36.00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36.00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20129</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群众团体事务</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5.00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5.00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2012902</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ind w:firstLineChars="100" w:firstLine="220"/>
              <w:textAlignment w:val="center"/>
              <w:rPr>
                <w:color w:val="000000"/>
                <w:sz w:val="22"/>
              </w:rPr>
            </w:pPr>
            <w:r w:rsidRPr="0084256A">
              <w:rPr>
                <w:color w:val="000000"/>
                <w:sz w:val="22"/>
              </w:rPr>
              <w:t>一般行政管理事务</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5.00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5.00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205</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教育支出</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64,631.12</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39,628.18</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25,002.94</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20502</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普通教育</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64,631.12</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39,628.18</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25,002.94</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2050205</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ind w:firstLineChars="100" w:firstLine="220"/>
              <w:textAlignment w:val="center"/>
              <w:rPr>
                <w:color w:val="000000"/>
                <w:sz w:val="22"/>
              </w:rPr>
            </w:pPr>
            <w:r w:rsidRPr="0084256A">
              <w:rPr>
                <w:color w:val="000000"/>
                <w:sz w:val="22"/>
              </w:rPr>
              <w:t>高等教育</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64,631.12</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39,628.18</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25,002.94</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206</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科学技术支出</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306.50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306.50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20602</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基础研究</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85.00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85.00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2060203</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ind w:firstLineChars="100" w:firstLine="220"/>
              <w:textAlignment w:val="center"/>
              <w:rPr>
                <w:color w:val="000000"/>
                <w:sz w:val="22"/>
              </w:rPr>
            </w:pPr>
            <w:r w:rsidRPr="0084256A">
              <w:rPr>
                <w:color w:val="000000"/>
                <w:sz w:val="22"/>
              </w:rPr>
              <w:t>自然科学基金</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85.00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85.00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20605</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科技条件与服务</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60.00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60.00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2060599</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ind w:firstLineChars="100" w:firstLine="220"/>
              <w:textAlignment w:val="center"/>
              <w:rPr>
                <w:color w:val="000000"/>
                <w:sz w:val="22"/>
              </w:rPr>
            </w:pPr>
            <w:r w:rsidRPr="0084256A">
              <w:rPr>
                <w:color w:val="000000"/>
                <w:sz w:val="22"/>
              </w:rPr>
              <w:t>其他科技条件与服务支出</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60.00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60.00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20606</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社会科学</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69.50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69.50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2060699</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ind w:firstLineChars="100" w:firstLine="220"/>
              <w:textAlignment w:val="center"/>
              <w:rPr>
                <w:color w:val="000000"/>
                <w:sz w:val="22"/>
              </w:rPr>
            </w:pPr>
            <w:r w:rsidRPr="0084256A">
              <w:rPr>
                <w:color w:val="000000"/>
                <w:sz w:val="22"/>
              </w:rPr>
              <w:t>其他社会科学支出</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69.50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69.50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20607</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科学技术普及</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2.00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2.00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2060799</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ind w:firstLineChars="100" w:firstLine="220"/>
              <w:textAlignment w:val="center"/>
              <w:rPr>
                <w:color w:val="000000"/>
                <w:sz w:val="22"/>
              </w:rPr>
            </w:pPr>
            <w:r w:rsidRPr="0084256A">
              <w:rPr>
                <w:color w:val="000000"/>
                <w:sz w:val="22"/>
              </w:rPr>
              <w:t>其他科学技术普及支出</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2.00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2.00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auto"/>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20609</w:t>
            </w:r>
          </w:p>
        </w:tc>
        <w:tc>
          <w:tcPr>
            <w:tcW w:w="3335" w:type="dxa"/>
            <w:tcBorders>
              <w:top w:val="nil"/>
              <w:left w:val="nil"/>
              <w:bottom w:val="single" w:sz="4" w:space="0" w:color="auto"/>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科技重大项目</w:t>
            </w:r>
          </w:p>
        </w:tc>
        <w:tc>
          <w:tcPr>
            <w:tcW w:w="1737" w:type="dxa"/>
            <w:tcBorders>
              <w:top w:val="nil"/>
              <w:left w:val="nil"/>
              <w:bottom w:val="single" w:sz="4" w:space="0" w:color="auto"/>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50.00</w:t>
            </w:r>
          </w:p>
        </w:tc>
        <w:tc>
          <w:tcPr>
            <w:tcW w:w="1817" w:type="dxa"/>
            <w:tcBorders>
              <w:top w:val="nil"/>
              <w:left w:val="nil"/>
              <w:bottom w:val="single" w:sz="4" w:space="0" w:color="auto"/>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auto"/>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50.00</w:t>
            </w:r>
          </w:p>
        </w:tc>
        <w:tc>
          <w:tcPr>
            <w:tcW w:w="1537" w:type="dxa"/>
            <w:tcBorders>
              <w:top w:val="nil"/>
              <w:left w:val="nil"/>
              <w:bottom w:val="single" w:sz="4" w:space="0" w:color="auto"/>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auto"/>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auto"/>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BB7447">
        <w:trPr>
          <w:trHeight w:val="308"/>
        </w:trPr>
        <w:tc>
          <w:tcPr>
            <w:tcW w:w="2085" w:type="dxa"/>
            <w:gridSpan w:val="3"/>
            <w:tcBorders>
              <w:top w:val="single" w:sz="4" w:space="0" w:color="auto"/>
              <w:left w:val="single" w:sz="4" w:space="0" w:color="000000"/>
              <w:bottom w:val="single" w:sz="4" w:space="0" w:color="auto"/>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2060902</w:t>
            </w:r>
          </w:p>
        </w:tc>
        <w:tc>
          <w:tcPr>
            <w:tcW w:w="3335" w:type="dxa"/>
            <w:tcBorders>
              <w:top w:val="single" w:sz="4" w:space="0" w:color="auto"/>
              <w:left w:val="nil"/>
              <w:bottom w:val="single" w:sz="4" w:space="0" w:color="auto"/>
              <w:right w:val="single" w:sz="4" w:space="0" w:color="000000"/>
              <w:tl2br w:val="nil"/>
              <w:tr2bl w:val="nil"/>
            </w:tcBorders>
            <w:noWrap/>
            <w:vAlign w:val="center"/>
          </w:tcPr>
          <w:p w:rsidR="00143480" w:rsidRPr="0084256A" w:rsidRDefault="00143480" w:rsidP="00143480">
            <w:pPr>
              <w:ind w:firstLineChars="100" w:firstLine="220"/>
              <w:textAlignment w:val="center"/>
              <w:rPr>
                <w:color w:val="000000"/>
                <w:sz w:val="22"/>
              </w:rPr>
            </w:pPr>
            <w:r w:rsidRPr="0084256A">
              <w:rPr>
                <w:color w:val="000000"/>
                <w:sz w:val="22"/>
              </w:rPr>
              <w:t>重点研发计划</w:t>
            </w:r>
          </w:p>
        </w:tc>
        <w:tc>
          <w:tcPr>
            <w:tcW w:w="1737" w:type="dxa"/>
            <w:tcBorders>
              <w:top w:val="single" w:sz="4" w:space="0" w:color="auto"/>
              <w:left w:val="nil"/>
              <w:bottom w:val="single" w:sz="4" w:space="0" w:color="auto"/>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50.00</w:t>
            </w:r>
          </w:p>
        </w:tc>
        <w:tc>
          <w:tcPr>
            <w:tcW w:w="1817" w:type="dxa"/>
            <w:tcBorders>
              <w:top w:val="single" w:sz="4" w:space="0" w:color="auto"/>
              <w:left w:val="nil"/>
              <w:bottom w:val="single" w:sz="4" w:space="0" w:color="auto"/>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single" w:sz="4" w:space="0" w:color="auto"/>
              <w:left w:val="nil"/>
              <w:bottom w:val="single" w:sz="4" w:space="0" w:color="auto"/>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50.00</w:t>
            </w:r>
          </w:p>
        </w:tc>
        <w:tc>
          <w:tcPr>
            <w:tcW w:w="1537" w:type="dxa"/>
            <w:tcBorders>
              <w:top w:val="single" w:sz="4" w:space="0" w:color="auto"/>
              <w:left w:val="nil"/>
              <w:bottom w:val="single" w:sz="4" w:space="0" w:color="auto"/>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single" w:sz="4" w:space="0" w:color="auto"/>
              <w:left w:val="nil"/>
              <w:bottom w:val="single" w:sz="4" w:space="0" w:color="auto"/>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single" w:sz="4" w:space="0" w:color="auto"/>
              <w:left w:val="nil"/>
              <w:bottom w:val="single" w:sz="4" w:space="0" w:color="auto"/>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BB7447">
        <w:trPr>
          <w:trHeight w:val="308"/>
        </w:trPr>
        <w:tc>
          <w:tcPr>
            <w:tcW w:w="2085" w:type="dxa"/>
            <w:gridSpan w:val="3"/>
            <w:tcBorders>
              <w:top w:val="single" w:sz="4" w:space="0" w:color="auto"/>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lastRenderedPageBreak/>
              <w:t>20699</w:t>
            </w:r>
          </w:p>
        </w:tc>
        <w:tc>
          <w:tcPr>
            <w:tcW w:w="3335" w:type="dxa"/>
            <w:tcBorders>
              <w:top w:val="single" w:sz="4" w:space="0" w:color="auto"/>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其他科学技术支出</w:t>
            </w:r>
          </w:p>
        </w:tc>
        <w:tc>
          <w:tcPr>
            <w:tcW w:w="1737" w:type="dxa"/>
            <w:tcBorders>
              <w:top w:val="single" w:sz="4" w:space="0" w:color="auto"/>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40.00</w:t>
            </w:r>
          </w:p>
        </w:tc>
        <w:tc>
          <w:tcPr>
            <w:tcW w:w="1817" w:type="dxa"/>
            <w:tcBorders>
              <w:top w:val="single" w:sz="4" w:space="0" w:color="auto"/>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single" w:sz="4" w:space="0" w:color="auto"/>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40.00</w:t>
            </w:r>
          </w:p>
        </w:tc>
        <w:tc>
          <w:tcPr>
            <w:tcW w:w="1537" w:type="dxa"/>
            <w:tcBorders>
              <w:top w:val="single" w:sz="4" w:space="0" w:color="auto"/>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single" w:sz="4" w:space="0" w:color="auto"/>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single" w:sz="4" w:space="0" w:color="auto"/>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2069999</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ind w:firstLineChars="100" w:firstLine="220"/>
              <w:textAlignment w:val="center"/>
              <w:rPr>
                <w:color w:val="000000"/>
                <w:sz w:val="22"/>
              </w:rPr>
            </w:pPr>
            <w:r w:rsidRPr="0084256A">
              <w:rPr>
                <w:color w:val="000000"/>
                <w:sz w:val="22"/>
              </w:rPr>
              <w:t>其他科学技术支出</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40.00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40.00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207</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文化旅游体育与传媒支出</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50.00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50.00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20701</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文化和旅游</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50.00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50.00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2070111</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ind w:firstLineChars="100" w:firstLine="220"/>
              <w:textAlignment w:val="center"/>
              <w:rPr>
                <w:color w:val="000000"/>
                <w:sz w:val="22"/>
              </w:rPr>
            </w:pPr>
            <w:r w:rsidRPr="0084256A">
              <w:rPr>
                <w:color w:val="000000"/>
                <w:sz w:val="22"/>
              </w:rPr>
              <w:t>文化创作与保护</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50.00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50.00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208</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社会保障和就业支出</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19.38</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19.38</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20807</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就业补助</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18.40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18.40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2080799</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ind w:firstLineChars="100" w:firstLine="220"/>
              <w:textAlignment w:val="center"/>
              <w:rPr>
                <w:color w:val="000000"/>
                <w:sz w:val="22"/>
              </w:rPr>
            </w:pPr>
            <w:r w:rsidRPr="0084256A">
              <w:rPr>
                <w:color w:val="000000"/>
                <w:sz w:val="22"/>
              </w:rPr>
              <w:t>其他就业补助支出</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18.40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18.40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20899</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其他社会保障和就业支出</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0.98</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0.98</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2089999</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ind w:firstLineChars="100" w:firstLine="220"/>
              <w:textAlignment w:val="center"/>
              <w:rPr>
                <w:color w:val="000000"/>
                <w:sz w:val="22"/>
              </w:rPr>
            </w:pPr>
            <w:r w:rsidRPr="0084256A">
              <w:rPr>
                <w:color w:val="000000"/>
                <w:sz w:val="22"/>
              </w:rPr>
              <w:t>其他社会保障和就业支出</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0.98</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0.98</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210</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卫生健康支出</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523.39</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523.39</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21004</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公共卫生</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519.39</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519.39</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2100499</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ind w:firstLineChars="100" w:firstLine="220"/>
              <w:textAlignment w:val="center"/>
              <w:rPr>
                <w:color w:val="000000"/>
                <w:sz w:val="22"/>
              </w:rPr>
            </w:pPr>
            <w:r w:rsidRPr="0084256A">
              <w:rPr>
                <w:color w:val="000000"/>
                <w:sz w:val="22"/>
              </w:rPr>
              <w:t>其他公共卫生支出</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519.39</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519.39</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21006</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中医药</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2.00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2.00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2100601</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ind w:firstLineChars="100" w:firstLine="220"/>
              <w:textAlignment w:val="center"/>
              <w:rPr>
                <w:color w:val="000000"/>
                <w:sz w:val="22"/>
              </w:rPr>
            </w:pPr>
            <w:r w:rsidRPr="0084256A">
              <w:rPr>
                <w:color w:val="000000"/>
                <w:sz w:val="22"/>
              </w:rPr>
              <w:t>中医（民族医）药专项</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2.00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2.00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21099</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其他卫生健康支出</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2.00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2.00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2109999</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ind w:firstLineChars="100" w:firstLine="220"/>
              <w:textAlignment w:val="center"/>
              <w:rPr>
                <w:color w:val="000000"/>
                <w:sz w:val="22"/>
              </w:rPr>
            </w:pPr>
            <w:r w:rsidRPr="0084256A">
              <w:rPr>
                <w:color w:val="000000"/>
                <w:sz w:val="22"/>
              </w:rPr>
              <w:t>其他卫生健康支出</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2.00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2.00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213</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农林水支出</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20.00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20.00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21302</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林业和草原</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20.00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20.00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143480" w:rsidTr="00143480">
        <w:trPr>
          <w:trHeight w:val="308"/>
        </w:trPr>
        <w:tc>
          <w:tcPr>
            <w:tcW w:w="2085" w:type="dxa"/>
            <w:gridSpan w:val="3"/>
            <w:tcBorders>
              <w:top w:val="nil"/>
              <w:left w:val="single" w:sz="4" w:space="0" w:color="000000"/>
              <w:bottom w:val="single" w:sz="4" w:space="0" w:color="000000"/>
              <w:right w:val="single" w:sz="4" w:space="0" w:color="000000"/>
              <w:tl2br w:val="nil"/>
              <w:tr2bl w:val="nil"/>
            </w:tcBorders>
            <w:noWrap/>
            <w:vAlign w:val="center"/>
          </w:tcPr>
          <w:p w:rsidR="00143480" w:rsidRPr="0084256A" w:rsidRDefault="00143480" w:rsidP="00143480">
            <w:pPr>
              <w:textAlignment w:val="center"/>
              <w:rPr>
                <w:color w:val="000000"/>
                <w:sz w:val="22"/>
              </w:rPr>
            </w:pPr>
            <w:r w:rsidRPr="0084256A">
              <w:rPr>
                <w:color w:val="000000"/>
                <w:sz w:val="22"/>
              </w:rPr>
              <w:t>2130211</w:t>
            </w:r>
          </w:p>
        </w:tc>
        <w:tc>
          <w:tcPr>
            <w:tcW w:w="3335" w:type="dxa"/>
            <w:tcBorders>
              <w:top w:val="nil"/>
              <w:left w:val="nil"/>
              <w:bottom w:val="single" w:sz="4" w:space="0" w:color="000000"/>
              <w:right w:val="single" w:sz="4" w:space="0" w:color="000000"/>
              <w:tl2br w:val="nil"/>
              <w:tr2bl w:val="nil"/>
            </w:tcBorders>
            <w:noWrap/>
            <w:vAlign w:val="center"/>
          </w:tcPr>
          <w:p w:rsidR="00143480" w:rsidRPr="0084256A" w:rsidRDefault="00143480" w:rsidP="00143480">
            <w:pPr>
              <w:ind w:firstLineChars="100" w:firstLine="220"/>
              <w:textAlignment w:val="center"/>
              <w:rPr>
                <w:color w:val="000000"/>
                <w:sz w:val="22"/>
              </w:rPr>
            </w:pPr>
            <w:r w:rsidRPr="0084256A">
              <w:rPr>
                <w:color w:val="000000"/>
                <w:sz w:val="22"/>
              </w:rPr>
              <w:t>动植物保护</w:t>
            </w:r>
          </w:p>
        </w:tc>
        <w:tc>
          <w:tcPr>
            <w:tcW w:w="17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20.00</w:t>
            </w:r>
          </w:p>
        </w:tc>
        <w:tc>
          <w:tcPr>
            <w:tcW w:w="181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r w:rsidRPr="00BB7447">
              <w:rPr>
                <w:color w:val="000000"/>
                <w:sz w:val="22"/>
              </w:rPr>
              <w:t>20.00</w:t>
            </w:r>
          </w:p>
        </w:tc>
        <w:tc>
          <w:tcPr>
            <w:tcW w:w="1537"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298"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c>
          <w:tcPr>
            <w:tcW w:w="1876" w:type="dxa"/>
            <w:tcBorders>
              <w:top w:val="nil"/>
              <w:left w:val="nil"/>
              <w:bottom w:val="single" w:sz="4" w:space="0" w:color="000000"/>
              <w:right w:val="single" w:sz="4" w:space="0" w:color="000000"/>
              <w:tl2br w:val="nil"/>
              <w:tr2bl w:val="nil"/>
            </w:tcBorders>
            <w:noWrap/>
            <w:vAlign w:val="center"/>
          </w:tcPr>
          <w:p w:rsidR="00143480" w:rsidRPr="00BB7447" w:rsidRDefault="00143480" w:rsidP="00143480">
            <w:pPr>
              <w:jc w:val="right"/>
              <w:textAlignment w:val="center"/>
              <w:rPr>
                <w:color w:val="000000"/>
                <w:sz w:val="22"/>
              </w:rPr>
            </w:pPr>
          </w:p>
        </w:tc>
      </w:tr>
      <w:tr w:rsidR="00B87C8A">
        <w:trPr>
          <w:trHeight w:val="308"/>
        </w:trPr>
        <w:tc>
          <w:tcPr>
            <w:tcW w:w="15222" w:type="dxa"/>
            <w:gridSpan w:val="10"/>
            <w:tcBorders>
              <w:top w:val="nil"/>
              <w:left w:val="nil"/>
              <w:bottom w:val="nil"/>
              <w:right w:val="nil"/>
              <w:tl2br w:val="nil"/>
              <w:tr2bl w:val="nil"/>
            </w:tcBorders>
            <w:noWrap/>
            <w:vAlign w:val="center"/>
          </w:tcPr>
          <w:p w:rsidR="00B87C8A" w:rsidRDefault="002D1C8A">
            <w:pPr>
              <w:textAlignment w:val="center"/>
              <w:rPr>
                <w:color w:val="000000"/>
                <w:sz w:val="22"/>
              </w:rPr>
            </w:pPr>
            <w:r>
              <w:rPr>
                <w:color w:val="000000"/>
                <w:sz w:val="22"/>
              </w:rPr>
              <w:t>注：本表反映部门本年度各项支出情况。</w:t>
            </w:r>
          </w:p>
        </w:tc>
      </w:tr>
    </w:tbl>
    <w:p w:rsidR="00B87C8A" w:rsidRDefault="00B87C8A">
      <w:pPr>
        <w:spacing w:line="600" w:lineRule="exact"/>
        <w:jc w:val="center"/>
        <w:rPr>
          <w:rFonts w:ascii="黑体" w:eastAsia="黑体" w:hAnsi="Times New Roman" w:cs="黑体"/>
          <w:sz w:val="32"/>
          <w:szCs w:val="32"/>
        </w:rPr>
        <w:sectPr w:rsidR="00B87C8A">
          <w:pgSz w:w="16838" w:h="11906" w:orient="landscape"/>
          <w:pgMar w:top="720" w:right="873" w:bottom="720" w:left="720" w:header="720" w:footer="720" w:gutter="0"/>
          <w:cols w:space="720"/>
        </w:sectPr>
      </w:pPr>
    </w:p>
    <w:tbl>
      <w:tblPr>
        <w:tblW w:w="15282" w:type="dxa"/>
        <w:tblInd w:w="96" w:type="dxa"/>
        <w:tblLayout w:type="fixed"/>
        <w:tblLook w:val="04A0"/>
      </w:tblPr>
      <w:tblGrid>
        <w:gridCol w:w="3102"/>
        <w:gridCol w:w="800"/>
        <w:gridCol w:w="1360"/>
        <w:gridCol w:w="3420"/>
        <w:gridCol w:w="800"/>
        <w:gridCol w:w="1320"/>
        <w:gridCol w:w="1420"/>
        <w:gridCol w:w="1541"/>
        <w:gridCol w:w="1519"/>
      </w:tblGrid>
      <w:tr w:rsidR="00B87C8A">
        <w:trPr>
          <w:trHeight w:val="384"/>
        </w:trPr>
        <w:tc>
          <w:tcPr>
            <w:tcW w:w="15282" w:type="dxa"/>
            <w:gridSpan w:val="9"/>
            <w:tcBorders>
              <w:top w:val="nil"/>
              <w:left w:val="nil"/>
              <w:bottom w:val="nil"/>
              <w:right w:val="nil"/>
              <w:tl2br w:val="nil"/>
              <w:tr2bl w:val="nil"/>
            </w:tcBorders>
            <w:noWrap/>
            <w:vAlign w:val="bottom"/>
          </w:tcPr>
          <w:p w:rsidR="00B87C8A" w:rsidRDefault="002D1C8A">
            <w:pPr>
              <w:jc w:val="center"/>
              <w:textAlignment w:val="bottom"/>
              <w:rPr>
                <w:color w:val="000000"/>
                <w:sz w:val="30"/>
                <w:szCs w:val="30"/>
              </w:rPr>
            </w:pPr>
            <w:r>
              <w:rPr>
                <w:color w:val="000000"/>
                <w:sz w:val="30"/>
                <w:szCs w:val="30"/>
              </w:rPr>
              <w:lastRenderedPageBreak/>
              <w:t>四、财政拨款收入支出决算总表</w:t>
            </w:r>
          </w:p>
        </w:tc>
      </w:tr>
      <w:tr w:rsidR="00B87C8A">
        <w:trPr>
          <w:trHeight w:val="264"/>
        </w:trPr>
        <w:tc>
          <w:tcPr>
            <w:tcW w:w="3102"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800"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360"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3420"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800"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320"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420"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541"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519" w:type="dxa"/>
            <w:tcBorders>
              <w:top w:val="nil"/>
              <w:left w:val="nil"/>
              <w:bottom w:val="nil"/>
              <w:right w:val="nil"/>
              <w:tl2br w:val="nil"/>
              <w:tr2bl w:val="nil"/>
            </w:tcBorders>
            <w:noWrap/>
            <w:vAlign w:val="bottom"/>
          </w:tcPr>
          <w:p w:rsidR="00B87C8A" w:rsidRDefault="002D1C8A">
            <w:pPr>
              <w:jc w:val="right"/>
              <w:textAlignment w:val="bottom"/>
              <w:rPr>
                <w:color w:val="000000"/>
                <w:sz w:val="20"/>
                <w:szCs w:val="20"/>
              </w:rPr>
            </w:pPr>
            <w:r>
              <w:rPr>
                <w:color w:val="000000"/>
                <w:sz w:val="20"/>
                <w:szCs w:val="20"/>
              </w:rPr>
              <w:t>公开04表</w:t>
            </w:r>
          </w:p>
        </w:tc>
      </w:tr>
      <w:tr w:rsidR="00B87C8A">
        <w:trPr>
          <w:trHeight w:val="264"/>
        </w:trPr>
        <w:tc>
          <w:tcPr>
            <w:tcW w:w="3102" w:type="dxa"/>
            <w:tcBorders>
              <w:top w:val="nil"/>
              <w:left w:val="nil"/>
              <w:bottom w:val="nil"/>
              <w:right w:val="nil"/>
              <w:tl2br w:val="nil"/>
              <w:tr2bl w:val="nil"/>
            </w:tcBorders>
            <w:noWrap/>
            <w:vAlign w:val="bottom"/>
          </w:tcPr>
          <w:p w:rsidR="00B87C8A" w:rsidRDefault="002D1C8A">
            <w:pPr>
              <w:textAlignment w:val="bottom"/>
              <w:rPr>
                <w:color w:val="000000"/>
                <w:sz w:val="20"/>
                <w:szCs w:val="20"/>
              </w:rPr>
            </w:pPr>
            <w:r>
              <w:rPr>
                <w:color w:val="000000"/>
                <w:sz w:val="20"/>
                <w:szCs w:val="20"/>
              </w:rPr>
              <w:t>部门：吉首大学</w:t>
            </w:r>
          </w:p>
        </w:tc>
        <w:tc>
          <w:tcPr>
            <w:tcW w:w="800"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360"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3420"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800"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320"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420"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541"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519" w:type="dxa"/>
            <w:tcBorders>
              <w:top w:val="nil"/>
              <w:left w:val="nil"/>
              <w:bottom w:val="nil"/>
              <w:right w:val="nil"/>
              <w:tl2br w:val="nil"/>
              <w:tr2bl w:val="nil"/>
            </w:tcBorders>
            <w:noWrap/>
            <w:vAlign w:val="bottom"/>
          </w:tcPr>
          <w:p w:rsidR="00B87C8A" w:rsidRDefault="002D1C8A">
            <w:pPr>
              <w:jc w:val="right"/>
              <w:textAlignment w:val="bottom"/>
              <w:rPr>
                <w:color w:val="000000"/>
                <w:sz w:val="20"/>
                <w:szCs w:val="20"/>
              </w:rPr>
            </w:pPr>
            <w:r>
              <w:rPr>
                <w:color w:val="000000"/>
                <w:sz w:val="20"/>
                <w:szCs w:val="20"/>
              </w:rPr>
              <w:t>金额单位：万元</w:t>
            </w:r>
          </w:p>
        </w:tc>
      </w:tr>
      <w:tr w:rsidR="00B87C8A">
        <w:trPr>
          <w:trHeight w:val="308"/>
        </w:trPr>
        <w:tc>
          <w:tcPr>
            <w:tcW w:w="5262" w:type="dxa"/>
            <w:gridSpan w:val="3"/>
            <w:tcBorders>
              <w:top w:val="single" w:sz="4" w:space="0" w:color="000000"/>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收     入</w:t>
            </w:r>
          </w:p>
        </w:tc>
        <w:tc>
          <w:tcPr>
            <w:tcW w:w="10020" w:type="dxa"/>
            <w:gridSpan w:val="6"/>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支     出</w:t>
            </w:r>
          </w:p>
        </w:tc>
      </w:tr>
      <w:tr w:rsidR="00B87C8A">
        <w:trPr>
          <w:trHeight w:val="293"/>
        </w:trPr>
        <w:tc>
          <w:tcPr>
            <w:tcW w:w="3102" w:type="dxa"/>
            <w:vMerge w:val="restart"/>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项目</w:t>
            </w:r>
          </w:p>
        </w:tc>
        <w:tc>
          <w:tcPr>
            <w:tcW w:w="800"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行次</w:t>
            </w:r>
          </w:p>
        </w:tc>
        <w:tc>
          <w:tcPr>
            <w:tcW w:w="1360"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金额</w:t>
            </w:r>
          </w:p>
        </w:tc>
        <w:tc>
          <w:tcPr>
            <w:tcW w:w="3420"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项目</w:t>
            </w:r>
          </w:p>
        </w:tc>
        <w:tc>
          <w:tcPr>
            <w:tcW w:w="800"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行次</w:t>
            </w:r>
          </w:p>
        </w:tc>
        <w:tc>
          <w:tcPr>
            <w:tcW w:w="1320"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合计</w:t>
            </w:r>
          </w:p>
        </w:tc>
        <w:tc>
          <w:tcPr>
            <w:tcW w:w="1420"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一般公共预算财政拨款</w:t>
            </w:r>
          </w:p>
        </w:tc>
        <w:tc>
          <w:tcPr>
            <w:tcW w:w="1541"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政府性基金预算财政拨款</w:t>
            </w:r>
          </w:p>
        </w:tc>
        <w:tc>
          <w:tcPr>
            <w:tcW w:w="1519"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国有资本经营预算财政拨款</w:t>
            </w:r>
          </w:p>
        </w:tc>
      </w:tr>
      <w:tr w:rsidR="00B87C8A">
        <w:trPr>
          <w:trHeight w:val="615"/>
        </w:trPr>
        <w:tc>
          <w:tcPr>
            <w:tcW w:w="3102" w:type="dxa"/>
            <w:vMerge/>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800"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360"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3420"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800"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320"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420"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541"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519"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r>
      <w:tr w:rsidR="00B87C8A">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栏次</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360"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1</w:t>
            </w: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栏次</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1320"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2</w:t>
            </w:r>
          </w:p>
        </w:tc>
        <w:tc>
          <w:tcPr>
            <w:tcW w:w="1420"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3</w:t>
            </w:r>
          </w:p>
        </w:tc>
        <w:tc>
          <w:tcPr>
            <w:tcW w:w="1541"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4</w:t>
            </w:r>
          </w:p>
        </w:tc>
        <w:tc>
          <w:tcPr>
            <w:tcW w:w="1519"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5</w:t>
            </w: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textAlignment w:val="center"/>
              <w:rPr>
                <w:color w:val="000000"/>
                <w:sz w:val="22"/>
              </w:rPr>
            </w:pPr>
            <w:r>
              <w:rPr>
                <w:color w:val="000000"/>
                <w:sz w:val="22"/>
              </w:rPr>
              <w:t>一、一般公共预算财政拨款</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1</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Pr="00143480" w:rsidRDefault="00143480" w:rsidP="00143480">
            <w:pPr>
              <w:jc w:val="right"/>
              <w:textAlignment w:val="center"/>
              <w:rPr>
                <w:color w:val="000000"/>
                <w:sz w:val="22"/>
              </w:rPr>
            </w:pPr>
            <w:r w:rsidRPr="00143480">
              <w:rPr>
                <w:color w:val="000000"/>
                <w:sz w:val="22"/>
              </w:rPr>
              <w:t>41,326.95</w:t>
            </w: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一、一般公共服务支出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33</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92.88</w:t>
            </w: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92.88</w:t>
            </w: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textAlignment w:val="center"/>
              <w:rPr>
                <w:color w:val="000000"/>
                <w:sz w:val="22"/>
              </w:rPr>
            </w:pPr>
            <w:r>
              <w:rPr>
                <w:color w:val="000000"/>
                <w:sz w:val="22"/>
              </w:rPr>
              <w:t>二、政府性基金预算财政拨款</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2</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Pr="00143480" w:rsidRDefault="00143480" w:rsidP="00143480">
            <w:pPr>
              <w:jc w:val="right"/>
              <w:textAlignment w:val="center"/>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二、外交支出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34</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textAlignment w:val="center"/>
              <w:rPr>
                <w:color w:val="000000"/>
                <w:sz w:val="22"/>
              </w:rPr>
            </w:pPr>
            <w:r>
              <w:rPr>
                <w:color w:val="000000"/>
                <w:sz w:val="22"/>
              </w:rPr>
              <w:t>三、国有资本经营财政拨款</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3</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Pr="00143480" w:rsidRDefault="00143480" w:rsidP="00143480">
            <w:pPr>
              <w:jc w:val="right"/>
              <w:textAlignment w:val="center"/>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三、国防支出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35</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2"/>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4</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Default="00143480">
            <w:pPr>
              <w:jc w:val="right"/>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四、公共安全支出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36</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2"/>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5</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Default="00143480">
            <w:pPr>
              <w:jc w:val="right"/>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五、教育支出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37</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43,446.28</w:t>
            </w: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43,446.28</w:t>
            </w: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2"/>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6</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Default="00143480">
            <w:pPr>
              <w:jc w:val="right"/>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六、科学技术支出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38</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306.50</w:t>
            </w: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306.50</w:t>
            </w: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2"/>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7</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Default="00143480">
            <w:pPr>
              <w:jc w:val="right"/>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七、文化旅游体育与传媒支出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39</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50.00</w:t>
            </w: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50.00</w:t>
            </w: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2"/>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8</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Default="00143480">
            <w:pPr>
              <w:jc w:val="right"/>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八、社会保障和就业支出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40</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19.38</w:t>
            </w: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19.38</w:t>
            </w: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2"/>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9</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Default="00143480">
            <w:pPr>
              <w:jc w:val="right"/>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九、卫生健康支出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41</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523.39</w:t>
            </w: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523.39</w:t>
            </w: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2"/>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10</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Default="00143480">
            <w:pPr>
              <w:jc w:val="right"/>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十、节能环保支出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42</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2"/>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11</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Default="00143480">
            <w:pPr>
              <w:jc w:val="right"/>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十一、城乡社区支出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43</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2"/>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12</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Default="00143480">
            <w:pPr>
              <w:jc w:val="right"/>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十二、农林水支出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44</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20.00</w:t>
            </w: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20.00</w:t>
            </w: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2"/>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13</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Default="00143480">
            <w:pPr>
              <w:jc w:val="right"/>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十三、交通运输支出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45</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2"/>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14</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Default="00143480">
            <w:pPr>
              <w:jc w:val="right"/>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十四、资源勘探工业信息等支出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46</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2"/>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15</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Default="00143480">
            <w:pPr>
              <w:jc w:val="right"/>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十五、商业服务业等支出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47</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2"/>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16</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Default="00143480">
            <w:pPr>
              <w:jc w:val="right"/>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十六、金融支出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48</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2"/>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17</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Default="00143480">
            <w:pPr>
              <w:jc w:val="right"/>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十七、援助其他地区支出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49</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2"/>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18</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Default="00143480">
            <w:pPr>
              <w:jc w:val="right"/>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十八、自然资源海洋气象等支出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50</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2"/>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19</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Default="00143480">
            <w:pPr>
              <w:jc w:val="right"/>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十九、住房保障支出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51</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2"/>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20</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Default="00143480">
            <w:pPr>
              <w:jc w:val="right"/>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二十、粮油物资储备支出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52</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2"/>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21</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Default="00143480">
            <w:pPr>
              <w:jc w:val="right"/>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二十一、国有资本经营预算支出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53</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2"/>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22</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Default="00143480">
            <w:pPr>
              <w:jc w:val="right"/>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二十二、灾害防治及应急管理支出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54</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2"/>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23</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Default="00143480">
            <w:pPr>
              <w:jc w:val="right"/>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二十三、其他支出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55</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jc w:val="center"/>
              <w:rPr>
                <w:b/>
                <w:color w:val="000000"/>
                <w:sz w:val="22"/>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24</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Default="00143480">
            <w:pPr>
              <w:jc w:val="right"/>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二十四、债务还本支出</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56</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rsidTr="00BB7447">
        <w:trPr>
          <w:trHeight w:val="308"/>
        </w:trPr>
        <w:tc>
          <w:tcPr>
            <w:tcW w:w="3102" w:type="dxa"/>
            <w:tcBorders>
              <w:top w:val="nil"/>
              <w:left w:val="single" w:sz="4" w:space="0" w:color="000000"/>
              <w:bottom w:val="single" w:sz="4" w:space="0" w:color="auto"/>
              <w:right w:val="single" w:sz="4" w:space="0" w:color="000000"/>
              <w:tl2br w:val="nil"/>
              <w:tr2bl w:val="nil"/>
            </w:tcBorders>
            <w:shd w:val="clear" w:color="FFFFFF" w:fill="C0C0C0"/>
            <w:noWrap/>
            <w:vAlign w:val="center"/>
          </w:tcPr>
          <w:p w:rsidR="00143480" w:rsidRDefault="00143480">
            <w:pPr>
              <w:rPr>
                <w:color w:val="000000"/>
                <w:sz w:val="22"/>
              </w:rPr>
            </w:pPr>
          </w:p>
        </w:tc>
        <w:tc>
          <w:tcPr>
            <w:tcW w:w="800" w:type="dxa"/>
            <w:tcBorders>
              <w:top w:val="nil"/>
              <w:left w:val="nil"/>
              <w:bottom w:val="single" w:sz="4" w:space="0" w:color="auto"/>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25</w:t>
            </w:r>
          </w:p>
        </w:tc>
        <w:tc>
          <w:tcPr>
            <w:tcW w:w="1360" w:type="dxa"/>
            <w:tcBorders>
              <w:top w:val="nil"/>
              <w:left w:val="nil"/>
              <w:bottom w:val="single" w:sz="4" w:space="0" w:color="auto"/>
              <w:right w:val="single" w:sz="4" w:space="0" w:color="000000"/>
              <w:tl2br w:val="nil"/>
              <w:tr2bl w:val="nil"/>
            </w:tcBorders>
            <w:shd w:val="clear" w:color="auto" w:fill="auto"/>
            <w:noWrap/>
            <w:vAlign w:val="center"/>
          </w:tcPr>
          <w:p w:rsidR="00143480" w:rsidRDefault="00143480">
            <w:pPr>
              <w:jc w:val="right"/>
              <w:rPr>
                <w:color w:val="000000"/>
                <w:sz w:val="22"/>
              </w:rPr>
            </w:pPr>
          </w:p>
        </w:tc>
        <w:tc>
          <w:tcPr>
            <w:tcW w:w="3420" w:type="dxa"/>
            <w:tcBorders>
              <w:top w:val="nil"/>
              <w:left w:val="nil"/>
              <w:bottom w:val="single" w:sz="4" w:space="0" w:color="auto"/>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二十五、债务付息支出</w:t>
            </w:r>
          </w:p>
        </w:tc>
        <w:tc>
          <w:tcPr>
            <w:tcW w:w="800" w:type="dxa"/>
            <w:tcBorders>
              <w:top w:val="nil"/>
              <w:left w:val="nil"/>
              <w:bottom w:val="single" w:sz="4" w:space="0" w:color="auto"/>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57</w:t>
            </w:r>
          </w:p>
        </w:tc>
        <w:tc>
          <w:tcPr>
            <w:tcW w:w="1320" w:type="dxa"/>
            <w:tcBorders>
              <w:top w:val="nil"/>
              <w:left w:val="nil"/>
              <w:bottom w:val="single" w:sz="4" w:space="0" w:color="auto"/>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420" w:type="dxa"/>
            <w:tcBorders>
              <w:top w:val="nil"/>
              <w:left w:val="nil"/>
              <w:bottom w:val="single" w:sz="4" w:space="0" w:color="auto"/>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41" w:type="dxa"/>
            <w:tcBorders>
              <w:top w:val="nil"/>
              <w:left w:val="nil"/>
              <w:bottom w:val="single" w:sz="4" w:space="0" w:color="auto"/>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auto"/>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rsidTr="00BB7447">
        <w:trPr>
          <w:trHeight w:val="308"/>
        </w:trPr>
        <w:tc>
          <w:tcPr>
            <w:tcW w:w="3102" w:type="dxa"/>
            <w:tcBorders>
              <w:top w:val="single" w:sz="4" w:space="0" w:color="auto"/>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2"/>
              </w:rPr>
            </w:pPr>
          </w:p>
        </w:tc>
        <w:tc>
          <w:tcPr>
            <w:tcW w:w="800" w:type="dxa"/>
            <w:tcBorders>
              <w:top w:val="single" w:sz="4" w:space="0" w:color="auto"/>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26</w:t>
            </w:r>
          </w:p>
        </w:tc>
        <w:tc>
          <w:tcPr>
            <w:tcW w:w="1360" w:type="dxa"/>
            <w:tcBorders>
              <w:top w:val="single" w:sz="4" w:space="0" w:color="auto"/>
              <w:left w:val="nil"/>
              <w:bottom w:val="single" w:sz="4" w:space="0" w:color="000000"/>
              <w:right w:val="single" w:sz="4" w:space="0" w:color="000000"/>
              <w:tl2br w:val="nil"/>
              <w:tr2bl w:val="nil"/>
            </w:tcBorders>
            <w:shd w:val="clear" w:color="auto" w:fill="auto"/>
            <w:noWrap/>
            <w:vAlign w:val="center"/>
          </w:tcPr>
          <w:p w:rsidR="00143480" w:rsidRDefault="00143480">
            <w:pPr>
              <w:jc w:val="right"/>
              <w:rPr>
                <w:color w:val="000000"/>
                <w:sz w:val="22"/>
              </w:rPr>
            </w:pPr>
          </w:p>
        </w:tc>
        <w:tc>
          <w:tcPr>
            <w:tcW w:w="3420" w:type="dxa"/>
            <w:tcBorders>
              <w:top w:val="single" w:sz="4" w:space="0" w:color="auto"/>
              <w:left w:val="nil"/>
              <w:bottom w:val="single" w:sz="4" w:space="0" w:color="000000"/>
              <w:right w:val="single" w:sz="4" w:space="0" w:color="000000"/>
              <w:tl2br w:val="nil"/>
              <w:tr2bl w:val="nil"/>
            </w:tcBorders>
            <w:shd w:val="clear" w:color="FFFFFF" w:fill="C0C0C0"/>
            <w:noWrap/>
            <w:vAlign w:val="center"/>
          </w:tcPr>
          <w:p w:rsidR="00143480" w:rsidRPr="00143480" w:rsidRDefault="00143480" w:rsidP="00143480">
            <w:pPr>
              <w:textAlignment w:val="center"/>
              <w:rPr>
                <w:color w:val="000000"/>
                <w:sz w:val="22"/>
              </w:rPr>
            </w:pPr>
            <w:r w:rsidRPr="00143480">
              <w:rPr>
                <w:color w:val="000000"/>
                <w:sz w:val="22"/>
              </w:rPr>
              <w:t>二十六、抗疫特别国债安排的支出</w:t>
            </w:r>
          </w:p>
        </w:tc>
        <w:tc>
          <w:tcPr>
            <w:tcW w:w="800" w:type="dxa"/>
            <w:tcBorders>
              <w:top w:val="single" w:sz="4" w:space="0" w:color="auto"/>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58</w:t>
            </w:r>
          </w:p>
        </w:tc>
        <w:tc>
          <w:tcPr>
            <w:tcW w:w="1320" w:type="dxa"/>
            <w:tcBorders>
              <w:top w:val="single" w:sz="4" w:space="0" w:color="auto"/>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420" w:type="dxa"/>
            <w:tcBorders>
              <w:top w:val="single" w:sz="4" w:space="0" w:color="auto"/>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41" w:type="dxa"/>
            <w:tcBorders>
              <w:top w:val="single" w:sz="4" w:space="0" w:color="auto"/>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single" w:sz="4" w:space="0" w:color="auto"/>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b/>
                <w:color w:val="000000"/>
                <w:sz w:val="22"/>
              </w:rPr>
            </w:pPr>
            <w:r>
              <w:rPr>
                <w:b/>
                <w:color w:val="000000"/>
                <w:sz w:val="22"/>
              </w:rPr>
              <w:t>本年收入合计</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27</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Pr="00143480" w:rsidRDefault="00143480" w:rsidP="00143480">
            <w:pPr>
              <w:jc w:val="right"/>
              <w:textAlignment w:val="center"/>
              <w:rPr>
                <w:color w:val="000000"/>
                <w:sz w:val="22"/>
              </w:rPr>
            </w:pPr>
            <w:r w:rsidRPr="00143480">
              <w:rPr>
                <w:color w:val="000000"/>
                <w:sz w:val="22"/>
              </w:rPr>
              <w:t>41,326.95</w:t>
            </w: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b/>
                <w:color w:val="000000"/>
                <w:sz w:val="22"/>
              </w:rPr>
            </w:pPr>
            <w:r>
              <w:rPr>
                <w:b/>
                <w:color w:val="000000"/>
                <w:sz w:val="22"/>
              </w:rPr>
              <w:t>本年支出合计</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59</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44,458.42</w:t>
            </w: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44,458.42</w:t>
            </w: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textAlignment w:val="center"/>
              <w:rPr>
                <w:color w:val="000000"/>
                <w:sz w:val="22"/>
              </w:rPr>
            </w:pPr>
            <w:r>
              <w:rPr>
                <w:color w:val="000000"/>
                <w:sz w:val="22"/>
              </w:rPr>
              <w:t>年初财政拨款结转和结余</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28</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Pr="00143480" w:rsidRDefault="00143480" w:rsidP="00143480">
            <w:pPr>
              <w:jc w:val="right"/>
              <w:textAlignment w:val="center"/>
              <w:rPr>
                <w:color w:val="000000"/>
                <w:sz w:val="22"/>
              </w:rPr>
            </w:pPr>
            <w:r w:rsidRPr="00143480">
              <w:rPr>
                <w:color w:val="000000"/>
                <w:sz w:val="22"/>
              </w:rPr>
              <w:t>17,655.15</w:t>
            </w: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textAlignment w:val="center"/>
              <w:rPr>
                <w:color w:val="000000"/>
                <w:sz w:val="22"/>
              </w:rPr>
            </w:pPr>
            <w:r>
              <w:rPr>
                <w:color w:val="000000"/>
                <w:sz w:val="22"/>
              </w:rPr>
              <w:t>年末财政拨款结转和结余</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60</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14,523.68</w:t>
            </w: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14,523.68</w:t>
            </w: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textAlignment w:val="center"/>
              <w:rPr>
                <w:color w:val="000000"/>
                <w:sz w:val="22"/>
              </w:rPr>
            </w:pPr>
            <w:r>
              <w:rPr>
                <w:color w:val="000000"/>
                <w:sz w:val="22"/>
              </w:rPr>
              <w:t xml:space="preserve">  一般公共预算财政拨款</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29</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Pr="00143480" w:rsidRDefault="00143480" w:rsidP="00143480">
            <w:pPr>
              <w:jc w:val="right"/>
              <w:textAlignment w:val="center"/>
              <w:rPr>
                <w:color w:val="000000"/>
                <w:sz w:val="22"/>
              </w:rPr>
            </w:pPr>
            <w:r w:rsidRPr="00143480">
              <w:rPr>
                <w:color w:val="000000"/>
                <w:sz w:val="22"/>
              </w:rPr>
              <w:t>17,655.15</w:t>
            </w: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0"/>
                <w:szCs w:val="20"/>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61</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 xml:space="preserve">　</w:t>
            </w: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 xml:space="preserve">　</w:t>
            </w: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 xml:space="preserve">　</w:t>
            </w: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 xml:space="preserve">　</w:t>
            </w: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textAlignment w:val="center"/>
              <w:rPr>
                <w:color w:val="000000"/>
                <w:sz w:val="22"/>
              </w:rPr>
            </w:pPr>
            <w:r>
              <w:rPr>
                <w:color w:val="000000"/>
                <w:sz w:val="22"/>
              </w:rPr>
              <w:t xml:space="preserve">  政府性基金预算财政拨款</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30</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Pr="00143480" w:rsidRDefault="00143480" w:rsidP="00143480">
            <w:pPr>
              <w:jc w:val="right"/>
              <w:textAlignment w:val="center"/>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0"/>
                <w:szCs w:val="20"/>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62</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 xml:space="preserve">　</w:t>
            </w: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 xml:space="preserve">　</w:t>
            </w: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 xml:space="preserve">　</w:t>
            </w: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 xml:space="preserve">　</w:t>
            </w: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textAlignment w:val="center"/>
              <w:rPr>
                <w:color w:val="000000"/>
                <w:sz w:val="22"/>
              </w:rPr>
            </w:pPr>
            <w:r>
              <w:rPr>
                <w:color w:val="000000"/>
                <w:sz w:val="22"/>
              </w:rPr>
              <w:t xml:space="preserve">  国有资本经营预算财政拨款</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31</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Pr="00143480" w:rsidRDefault="00143480" w:rsidP="00143480">
            <w:pPr>
              <w:jc w:val="right"/>
              <w:textAlignment w:val="center"/>
              <w:rPr>
                <w:color w:val="000000"/>
                <w:sz w:val="22"/>
              </w:rPr>
            </w:pP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rPr>
                <w:color w:val="000000"/>
                <w:sz w:val="22"/>
              </w:rPr>
            </w:pP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63</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 xml:space="preserve">　</w:t>
            </w: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 xml:space="preserve">　</w:t>
            </w: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 xml:space="preserve">　</w:t>
            </w: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 xml:space="preserve">　</w:t>
            </w:r>
          </w:p>
        </w:tc>
      </w:tr>
      <w:tr w:rsidR="00143480">
        <w:trPr>
          <w:trHeight w:val="308"/>
        </w:trPr>
        <w:tc>
          <w:tcPr>
            <w:tcW w:w="3102"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b/>
                <w:color w:val="000000"/>
                <w:sz w:val="22"/>
              </w:rPr>
            </w:pPr>
            <w:r>
              <w:rPr>
                <w:b/>
                <w:color w:val="000000"/>
                <w:sz w:val="22"/>
              </w:rPr>
              <w:t>总计</w:t>
            </w:r>
          </w:p>
        </w:tc>
        <w:tc>
          <w:tcPr>
            <w:tcW w:w="800" w:type="dxa"/>
            <w:tcBorders>
              <w:top w:val="nil"/>
              <w:left w:val="nil"/>
              <w:bottom w:val="single" w:sz="8"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32</w:t>
            </w:r>
          </w:p>
        </w:tc>
        <w:tc>
          <w:tcPr>
            <w:tcW w:w="1360" w:type="dxa"/>
            <w:tcBorders>
              <w:top w:val="nil"/>
              <w:left w:val="nil"/>
              <w:bottom w:val="single" w:sz="4" w:space="0" w:color="000000"/>
              <w:right w:val="single" w:sz="4" w:space="0" w:color="000000"/>
              <w:tl2br w:val="nil"/>
              <w:tr2bl w:val="nil"/>
            </w:tcBorders>
            <w:shd w:val="clear" w:color="auto" w:fill="auto"/>
            <w:noWrap/>
            <w:vAlign w:val="center"/>
          </w:tcPr>
          <w:p w:rsidR="00143480" w:rsidRPr="00143480" w:rsidRDefault="00143480" w:rsidP="00143480">
            <w:pPr>
              <w:jc w:val="right"/>
              <w:textAlignment w:val="center"/>
              <w:rPr>
                <w:color w:val="000000"/>
                <w:sz w:val="22"/>
              </w:rPr>
            </w:pPr>
            <w:r w:rsidRPr="00143480">
              <w:rPr>
                <w:color w:val="000000"/>
                <w:sz w:val="22"/>
              </w:rPr>
              <w:t>58,982.10</w:t>
            </w:r>
          </w:p>
        </w:tc>
        <w:tc>
          <w:tcPr>
            <w:tcW w:w="342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b/>
                <w:color w:val="000000"/>
                <w:sz w:val="22"/>
              </w:rPr>
            </w:pPr>
            <w:r>
              <w:rPr>
                <w:b/>
                <w:color w:val="000000"/>
                <w:sz w:val="22"/>
              </w:rPr>
              <w:t>总计</w:t>
            </w:r>
          </w:p>
        </w:tc>
        <w:tc>
          <w:tcPr>
            <w:tcW w:w="800" w:type="dxa"/>
            <w:tcBorders>
              <w:top w:val="nil"/>
              <w:left w:val="nil"/>
              <w:bottom w:val="single" w:sz="4" w:space="0" w:color="000000"/>
              <w:right w:val="single" w:sz="4" w:space="0" w:color="000000"/>
              <w:tl2br w:val="nil"/>
              <w:tr2bl w:val="nil"/>
            </w:tcBorders>
            <w:shd w:val="clear" w:color="FFFFFF" w:fill="C0C0C0"/>
            <w:noWrap/>
            <w:vAlign w:val="center"/>
          </w:tcPr>
          <w:p w:rsidR="00143480" w:rsidRDefault="00143480">
            <w:pPr>
              <w:jc w:val="center"/>
              <w:textAlignment w:val="center"/>
              <w:rPr>
                <w:color w:val="000000"/>
                <w:sz w:val="22"/>
              </w:rPr>
            </w:pPr>
            <w:r>
              <w:rPr>
                <w:color w:val="000000"/>
                <w:sz w:val="22"/>
              </w:rPr>
              <w:t>64</w:t>
            </w:r>
          </w:p>
        </w:tc>
        <w:tc>
          <w:tcPr>
            <w:tcW w:w="13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58,982.10</w:t>
            </w:r>
          </w:p>
        </w:tc>
        <w:tc>
          <w:tcPr>
            <w:tcW w:w="1420"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r w:rsidRPr="00143480">
              <w:rPr>
                <w:color w:val="000000"/>
                <w:sz w:val="22"/>
              </w:rPr>
              <w:t>58,982.10</w:t>
            </w:r>
          </w:p>
        </w:tc>
        <w:tc>
          <w:tcPr>
            <w:tcW w:w="1541"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c>
          <w:tcPr>
            <w:tcW w:w="1519" w:type="dxa"/>
            <w:tcBorders>
              <w:top w:val="nil"/>
              <w:left w:val="nil"/>
              <w:bottom w:val="single" w:sz="4" w:space="0" w:color="000000"/>
              <w:right w:val="single" w:sz="4" w:space="0" w:color="000000"/>
              <w:tl2br w:val="nil"/>
              <w:tr2bl w:val="nil"/>
            </w:tcBorders>
            <w:noWrap/>
            <w:vAlign w:val="center"/>
          </w:tcPr>
          <w:p w:rsidR="00143480" w:rsidRPr="00143480" w:rsidRDefault="00143480" w:rsidP="00143480">
            <w:pPr>
              <w:jc w:val="right"/>
              <w:textAlignment w:val="center"/>
              <w:rPr>
                <w:color w:val="000000"/>
                <w:sz w:val="22"/>
              </w:rPr>
            </w:pPr>
          </w:p>
        </w:tc>
      </w:tr>
      <w:tr w:rsidR="00B87C8A">
        <w:trPr>
          <w:trHeight w:val="308"/>
        </w:trPr>
        <w:tc>
          <w:tcPr>
            <w:tcW w:w="15282" w:type="dxa"/>
            <w:gridSpan w:val="9"/>
            <w:vMerge w:val="restart"/>
            <w:tcBorders>
              <w:top w:val="nil"/>
              <w:left w:val="nil"/>
              <w:bottom w:val="nil"/>
              <w:right w:val="nil"/>
              <w:tl2br w:val="nil"/>
              <w:tr2bl w:val="nil"/>
            </w:tcBorders>
            <w:noWrap/>
            <w:vAlign w:val="center"/>
          </w:tcPr>
          <w:p w:rsidR="00B87C8A" w:rsidRDefault="002D1C8A">
            <w:pPr>
              <w:textAlignment w:val="center"/>
              <w:rPr>
                <w:color w:val="000000"/>
                <w:sz w:val="22"/>
              </w:rPr>
            </w:pPr>
            <w:r>
              <w:rPr>
                <w:color w:val="000000"/>
                <w:sz w:val="22"/>
              </w:rPr>
              <w:t>注：本表反映部门本年度一般公共预算财政拨款、政府性基金预算财政拨款和国有资本经营预算财政拨款的总收支和年末结转结余情况。</w:t>
            </w:r>
          </w:p>
        </w:tc>
      </w:tr>
      <w:tr w:rsidR="00B87C8A">
        <w:trPr>
          <w:trHeight w:val="353"/>
        </w:trPr>
        <w:tc>
          <w:tcPr>
            <w:tcW w:w="15282" w:type="dxa"/>
            <w:gridSpan w:val="9"/>
            <w:vMerge/>
            <w:tcBorders>
              <w:top w:val="nil"/>
              <w:left w:val="nil"/>
              <w:bottom w:val="nil"/>
              <w:right w:val="nil"/>
              <w:tl2br w:val="nil"/>
              <w:tr2bl w:val="nil"/>
            </w:tcBorders>
            <w:noWrap/>
            <w:vAlign w:val="center"/>
          </w:tcPr>
          <w:p w:rsidR="00B87C8A" w:rsidRDefault="00B87C8A">
            <w:pPr>
              <w:rPr>
                <w:color w:val="000000"/>
                <w:sz w:val="22"/>
              </w:rPr>
            </w:pPr>
          </w:p>
        </w:tc>
      </w:tr>
    </w:tbl>
    <w:p w:rsidR="00B87C8A" w:rsidRDefault="00B87C8A">
      <w:pPr>
        <w:spacing w:line="600" w:lineRule="exact"/>
        <w:jc w:val="center"/>
        <w:rPr>
          <w:rFonts w:ascii="黑体" w:eastAsia="黑体" w:hAnsi="Times New Roman" w:cs="黑体"/>
          <w:sz w:val="32"/>
          <w:szCs w:val="32"/>
        </w:rPr>
        <w:sectPr w:rsidR="00B87C8A">
          <w:pgSz w:w="16838" w:h="11906" w:orient="landscape"/>
          <w:pgMar w:top="720" w:right="873" w:bottom="720" w:left="720" w:header="720" w:footer="720" w:gutter="0"/>
          <w:cols w:space="720"/>
        </w:sectPr>
      </w:pPr>
    </w:p>
    <w:tbl>
      <w:tblPr>
        <w:tblW w:w="15282" w:type="dxa"/>
        <w:tblInd w:w="96" w:type="dxa"/>
        <w:tblLayout w:type="fixed"/>
        <w:tblLook w:val="04A0"/>
      </w:tblPr>
      <w:tblGrid>
        <w:gridCol w:w="1614"/>
        <w:gridCol w:w="236"/>
        <w:gridCol w:w="723"/>
        <w:gridCol w:w="4196"/>
        <w:gridCol w:w="2538"/>
        <w:gridCol w:w="2458"/>
        <w:gridCol w:w="3517"/>
      </w:tblGrid>
      <w:tr w:rsidR="00B87C8A">
        <w:trPr>
          <w:trHeight w:val="384"/>
        </w:trPr>
        <w:tc>
          <w:tcPr>
            <w:tcW w:w="15282" w:type="dxa"/>
            <w:gridSpan w:val="7"/>
            <w:tcBorders>
              <w:top w:val="nil"/>
              <w:left w:val="nil"/>
              <w:bottom w:val="nil"/>
              <w:right w:val="nil"/>
              <w:tl2br w:val="nil"/>
              <w:tr2bl w:val="nil"/>
            </w:tcBorders>
            <w:noWrap/>
            <w:vAlign w:val="bottom"/>
          </w:tcPr>
          <w:p w:rsidR="00B87C8A" w:rsidRDefault="002D1C8A">
            <w:pPr>
              <w:jc w:val="center"/>
              <w:textAlignment w:val="bottom"/>
              <w:rPr>
                <w:color w:val="000000"/>
                <w:sz w:val="30"/>
                <w:szCs w:val="30"/>
              </w:rPr>
            </w:pPr>
            <w:r>
              <w:rPr>
                <w:color w:val="000000"/>
                <w:sz w:val="30"/>
                <w:szCs w:val="30"/>
              </w:rPr>
              <w:lastRenderedPageBreak/>
              <w:t>五、一般公共预算财政拨款支出决算表</w:t>
            </w:r>
          </w:p>
        </w:tc>
      </w:tr>
      <w:tr w:rsidR="00B87C8A" w:rsidTr="00143480">
        <w:trPr>
          <w:trHeight w:val="264"/>
        </w:trPr>
        <w:tc>
          <w:tcPr>
            <w:tcW w:w="1614"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236"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723"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4196"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2538"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2458"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3517" w:type="dxa"/>
            <w:tcBorders>
              <w:top w:val="nil"/>
              <w:left w:val="nil"/>
              <w:bottom w:val="nil"/>
              <w:right w:val="nil"/>
              <w:tl2br w:val="nil"/>
              <w:tr2bl w:val="nil"/>
            </w:tcBorders>
            <w:noWrap/>
            <w:vAlign w:val="bottom"/>
          </w:tcPr>
          <w:p w:rsidR="00B87C8A" w:rsidRDefault="002D1C8A">
            <w:pPr>
              <w:jc w:val="right"/>
              <w:textAlignment w:val="bottom"/>
              <w:rPr>
                <w:color w:val="000000"/>
                <w:sz w:val="20"/>
                <w:szCs w:val="20"/>
              </w:rPr>
            </w:pPr>
            <w:r>
              <w:rPr>
                <w:color w:val="000000"/>
                <w:sz w:val="20"/>
                <w:szCs w:val="20"/>
              </w:rPr>
              <w:t>公开05表</w:t>
            </w:r>
          </w:p>
        </w:tc>
      </w:tr>
      <w:tr w:rsidR="00B87C8A" w:rsidTr="00143480">
        <w:trPr>
          <w:trHeight w:val="264"/>
        </w:trPr>
        <w:tc>
          <w:tcPr>
            <w:tcW w:w="1614" w:type="dxa"/>
            <w:tcBorders>
              <w:top w:val="nil"/>
              <w:left w:val="nil"/>
              <w:bottom w:val="nil"/>
              <w:right w:val="nil"/>
              <w:tl2br w:val="nil"/>
              <w:tr2bl w:val="nil"/>
            </w:tcBorders>
            <w:noWrap/>
            <w:vAlign w:val="bottom"/>
          </w:tcPr>
          <w:p w:rsidR="00B87C8A" w:rsidRDefault="002D1C8A">
            <w:pPr>
              <w:textAlignment w:val="bottom"/>
              <w:rPr>
                <w:color w:val="000000"/>
                <w:sz w:val="20"/>
                <w:szCs w:val="20"/>
              </w:rPr>
            </w:pPr>
            <w:r>
              <w:rPr>
                <w:color w:val="000000"/>
                <w:sz w:val="20"/>
                <w:szCs w:val="20"/>
              </w:rPr>
              <w:t>部门：吉首大学</w:t>
            </w:r>
          </w:p>
        </w:tc>
        <w:tc>
          <w:tcPr>
            <w:tcW w:w="236"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723"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4196"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2538"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2458"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3517" w:type="dxa"/>
            <w:tcBorders>
              <w:top w:val="nil"/>
              <w:left w:val="nil"/>
              <w:bottom w:val="nil"/>
              <w:right w:val="nil"/>
              <w:tl2br w:val="nil"/>
              <w:tr2bl w:val="nil"/>
            </w:tcBorders>
            <w:noWrap/>
            <w:vAlign w:val="bottom"/>
          </w:tcPr>
          <w:p w:rsidR="00B87C8A" w:rsidRDefault="002D1C8A">
            <w:pPr>
              <w:jc w:val="right"/>
              <w:textAlignment w:val="bottom"/>
              <w:rPr>
                <w:color w:val="000000"/>
                <w:sz w:val="20"/>
                <w:szCs w:val="20"/>
              </w:rPr>
            </w:pPr>
            <w:r>
              <w:rPr>
                <w:color w:val="000000"/>
                <w:sz w:val="20"/>
                <w:szCs w:val="20"/>
              </w:rPr>
              <w:t>金额单位：万元</w:t>
            </w:r>
          </w:p>
        </w:tc>
      </w:tr>
      <w:tr w:rsidR="00B87C8A" w:rsidTr="00143480">
        <w:trPr>
          <w:trHeight w:val="308"/>
        </w:trPr>
        <w:tc>
          <w:tcPr>
            <w:tcW w:w="6769" w:type="dxa"/>
            <w:gridSpan w:val="4"/>
            <w:tcBorders>
              <w:top w:val="single" w:sz="4" w:space="0" w:color="000000"/>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项目</w:t>
            </w:r>
          </w:p>
        </w:tc>
        <w:tc>
          <w:tcPr>
            <w:tcW w:w="8513" w:type="dxa"/>
            <w:gridSpan w:val="3"/>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本年支出</w:t>
            </w:r>
          </w:p>
        </w:tc>
      </w:tr>
      <w:tr w:rsidR="00B87C8A" w:rsidTr="00143480">
        <w:trPr>
          <w:trHeight w:val="308"/>
        </w:trPr>
        <w:tc>
          <w:tcPr>
            <w:tcW w:w="2573" w:type="dxa"/>
            <w:gridSpan w:val="3"/>
            <w:vMerge w:val="restart"/>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功能分类科目编码</w:t>
            </w:r>
          </w:p>
        </w:tc>
        <w:tc>
          <w:tcPr>
            <w:tcW w:w="4196"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科目名称</w:t>
            </w:r>
          </w:p>
        </w:tc>
        <w:tc>
          <w:tcPr>
            <w:tcW w:w="2538"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小计</w:t>
            </w:r>
          </w:p>
        </w:tc>
        <w:tc>
          <w:tcPr>
            <w:tcW w:w="2458"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基本支出</w:t>
            </w:r>
          </w:p>
        </w:tc>
        <w:tc>
          <w:tcPr>
            <w:tcW w:w="3517"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项目支出</w:t>
            </w:r>
          </w:p>
        </w:tc>
      </w:tr>
      <w:tr w:rsidR="00B87C8A" w:rsidTr="00143480">
        <w:trPr>
          <w:trHeight w:val="285"/>
        </w:trPr>
        <w:tc>
          <w:tcPr>
            <w:tcW w:w="2573" w:type="dxa"/>
            <w:gridSpan w:val="3"/>
            <w:vMerge/>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4196"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2538"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2458"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3517"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r>
      <w:tr w:rsidR="00B87C8A" w:rsidTr="00143480">
        <w:trPr>
          <w:trHeight w:val="615"/>
        </w:trPr>
        <w:tc>
          <w:tcPr>
            <w:tcW w:w="2573" w:type="dxa"/>
            <w:gridSpan w:val="3"/>
            <w:vMerge/>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4196"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2538"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2458"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c>
          <w:tcPr>
            <w:tcW w:w="3517"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jc w:val="center"/>
              <w:rPr>
                <w:color w:val="000000"/>
                <w:sz w:val="22"/>
              </w:rPr>
            </w:pPr>
          </w:p>
        </w:tc>
      </w:tr>
      <w:tr w:rsidR="00B87C8A" w:rsidTr="00143480">
        <w:trPr>
          <w:trHeight w:val="308"/>
        </w:trPr>
        <w:tc>
          <w:tcPr>
            <w:tcW w:w="6769" w:type="dxa"/>
            <w:gridSpan w:val="4"/>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栏次</w:t>
            </w:r>
          </w:p>
        </w:tc>
        <w:tc>
          <w:tcPr>
            <w:tcW w:w="2538"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1</w:t>
            </w:r>
          </w:p>
        </w:tc>
        <w:tc>
          <w:tcPr>
            <w:tcW w:w="2458"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2</w:t>
            </w:r>
          </w:p>
        </w:tc>
        <w:tc>
          <w:tcPr>
            <w:tcW w:w="3517"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3</w:t>
            </w:r>
          </w:p>
        </w:tc>
      </w:tr>
      <w:tr w:rsidR="00483D14" w:rsidTr="00143480">
        <w:trPr>
          <w:trHeight w:val="308"/>
        </w:trPr>
        <w:tc>
          <w:tcPr>
            <w:tcW w:w="6769" w:type="dxa"/>
            <w:gridSpan w:val="4"/>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483D14" w:rsidRDefault="00483D14">
            <w:pPr>
              <w:jc w:val="center"/>
              <w:textAlignment w:val="center"/>
              <w:rPr>
                <w:color w:val="000000"/>
                <w:sz w:val="22"/>
              </w:rPr>
            </w:pPr>
            <w:r>
              <w:rPr>
                <w:color w:val="000000"/>
                <w:sz w:val="22"/>
              </w:rPr>
              <w:t>合计</w:t>
            </w:r>
          </w:p>
        </w:tc>
        <w:tc>
          <w:tcPr>
            <w:tcW w:w="2538" w:type="dxa"/>
            <w:tcBorders>
              <w:top w:val="nil"/>
              <w:left w:val="nil"/>
              <w:bottom w:val="single" w:sz="4" w:space="0" w:color="000000"/>
              <w:right w:val="single" w:sz="4" w:space="0" w:color="000000"/>
              <w:tl2br w:val="nil"/>
              <w:tr2bl w:val="nil"/>
            </w:tcBorders>
            <w:noWrap/>
            <w:vAlign w:val="center"/>
          </w:tcPr>
          <w:p w:rsidR="00483D14" w:rsidRPr="00483D14" w:rsidRDefault="00483D14" w:rsidP="00483D14">
            <w:pPr>
              <w:jc w:val="right"/>
              <w:textAlignment w:val="center"/>
              <w:rPr>
                <w:b/>
                <w:color w:val="000000"/>
                <w:sz w:val="22"/>
              </w:rPr>
            </w:pPr>
            <w:r w:rsidRPr="00483D14">
              <w:rPr>
                <w:rFonts w:hint="eastAsia"/>
                <w:b/>
                <w:color w:val="000000"/>
                <w:sz w:val="22"/>
              </w:rPr>
              <w:t>44,458.42</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b/>
                <w:bCs/>
                <w:color w:val="000000"/>
                <w:sz w:val="22"/>
                <w:szCs w:val="22"/>
              </w:rPr>
            </w:pPr>
            <w:r>
              <w:rPr>
                <w:rFonts w:hint="eastAsia"/>
                <w:b/>
                <w:bCs/>
                <w:color w:val="000000"/>
                <w:sz w:val="22"/>
                <w:szCs w:val="22"/>
              </w:rPr>
              <w:t>25,661.85</w:t>
            </w: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b/>
                <w:bCs/>
                <w:color w:val="000000"/>
                <w:sz w:val="22"/>
                <w:szCs w:val="22"/>
              </w:rPr>
            </w:pPr>
            <w:r>
              <w:rPr>
                <w:rFonts w:hint="eastAsia"/>
                <w:b/>
                <w:bCs/>
                <w:color w:val="000000"/>
                <w:sz w:val="22"/>
                <w:szCs w:val="22"/>
              </w:rPr>
              <w:t>18,796.57</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201</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一般公共服务支出</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92.88</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92.88</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20106</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财政事务</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2.38</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2.38</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2010699</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483D14">
            <w:pPr>
              <w:ind w:firstLineChars="100" w:firstLine="220"/>
              <w:textAlignment w:val="center"/>
              <w:rPr>
                <w:color w:val="000000"/>
                <w:sz w:val="22"/>
              </w:rPr>
            </w:pPr>
            <w:r w:rsidRPr="00143480">
              <w:rPr>
                <w:color w:val="000000"/>
                <w:sz w:val="22"/>
              </w:rPr>
              <w:t>其他财政事务支出</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2.38</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2.38</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20114</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知识产权事务</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49.50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49.50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2011499</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483D14">
            <w:pPr>
              <w:ind w:firstLineChars="100" w:firstLine="220"/>
              <w:textAlignment w:val="center"/>
              <w:rPr>
                <w:color w:val="000000"/>
                <w:sz w:val="22"/>
              </w:rPr>
            </w:pPr>
            <w:r w:rsidRPr="00143480">
              <w:rPr>
                <w:color w:val="000000"/>
                <w:sz w:val="22"/>
              </w:rPr>
              <w:t>其他知识产权事务支出</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49.50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49.50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20123</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民族事务</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36.00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36.00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2012304</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483D14">
            <w:pPr>
              <w:ind w:firstLineChars="100" w:firstLine="220"/>
              <w:textAlignment w:val="center"/>
              <w:rPr>
                <w:color w:val="000000"/>
                <w:sz w:val="22"/>
              </w:rPr>
            </w:pPr>
            <w:r w:rsidRPr="00143480">
              <w:rPr>
                <w:color w:val="000000"/>
                <w:sz w:val="22"/>
              </w:rPr>
              <w:t>民族工作专项</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36.00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36.00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20129</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群众团体事务</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5.00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5.00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2012902</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483D14">
            <w:pPr>
              <w:ind w:firstLineChars="100" w:firstLine="220"/>
              <w:textAlignment w:val="center"/>
              <w:rPr>
                <w:color w:val="000000"/>
                <w:sz w:val="22"/>
              </w:rPr>
            </w:pPr>
            <w:r w:rsidRPr="00143480">
              <w:rPr>
                <w:color w:val="000000"/>
                <w:sz w:val="22"/>
              </w:rPr>
              <w:t>一般行政管理事务</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5.00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5.00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205</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教育支出</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43,446.28</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25,661.85</w:t>
            </w: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17,784.42</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20502</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普通教育</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43,446.28</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25,661.85</w:t>
            </w: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17,784.42</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2050205</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483D14">
            <w:pPr>
              <w:ind w:firstLineChars="100" w:firstLine="220"/>
              <w:textAlignment w:val="center"/>
              <w:rPr>
                <w:color w:val="000000"/>
                <w:sz w:val="22"/>
              </w:rPr>
            </w:pPr>
            <w:r w:rsidRPr="00143480">
              <w:rPr>
                <w:color w:val="000000"/>
                <w:sz w:val="22"/>
              </w:rPr>
              <w:t>高等教育</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43,446.28</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25,661.85</w:t>
            </w: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17,784.42</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206</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科学技术支出</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306.50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306.50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20602</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基础研究</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85.00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85.00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2060203</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483D14">
            <w:pPr>
              <w:ind w:firstLineChars="100" w:firstLine="220"/>
              <w:textAlignment w:val="center"/>
              <w:rPr>
                <w:color w:val="000000"/>
                <w:sz w:val="22"/>
              </w:rPr>
            </w:pPr>
            <w:r w:rsidRPr="00143480">
              <w:rPr>
                <w:color w:val="000000"/>
                <w:sz w:val="22"/>
              </w:rPr>
              <w:t>自然科学基金</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85.00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85.00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20605</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科技条件与服务</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60.00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60.00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2060599</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483D14">
            <w:pPr>
              <w:ind w:firstLineChars="100" w:firstLine="220"/>
              <w:textAlignment w:val="center"/>
              <w:rPr>
                <w:color w:val="000000"/>
                <w:sz w:val="22"/>
              </w:rPr>
            </w:pPr>
            <w:r w:rsidRPr="00143480">
              <w:rPr>
                <w:color w:val="000000"/>
                <w:sz w:val="22"/>
              </w:rPr>
              <w:t>其他科技条件与服务支出</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60.00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60.00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20606</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社会科学</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69.50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69.50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2060699</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483D14">
            <w:pPr>
              <w:ind w:firstLineChars="100" w:firstLine="220"/>
              <w:textAlignment w:val="center"/>
              <w:rPr>
                <w:color w:val="000000"/>
                <w:sz w:val="22"/>
              </w:rPr>
            </w:pPr>
            <w:r w:rsidRPr="00143480">
              <w:rPr>
                <w:color w:val="000000"/>
                <w:sz w:val="22"/>
              </w:rPr>
              <w:t>其他社会科学支出</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69.50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69.50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20607</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科学技术普及</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2.00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2.00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2060799</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483D14">
            <w:pPr>
              <w:ind w:firstLineChars="100" w:firstLine="220"/>
              <w:textAlignment w:val="center"/>
              <w:rPr>
                <w:color w:val="000000"/>
                <w:sz w:val="22"/>
              </w:rPr>
            </w:pPr>
            <w:r w:rsidRPr="00143480">
              <w:rPr>
                <w:color w:val="000000"/>
                <w:sz w:val="22"/>
              </w:rPr>
              <w:t>其他科学技术普及支出</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2.00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2.00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20609</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科技重大项目</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50.00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50.00</w:t>
            </w:r>
          </w:p>
        </w:tc>
      </w:tr>
      <w:tr w:rsidR="00483D14" w:rsidTr="00F46DBB">
        <w:trPr>
          <w:trHeight w:val="308"/>
        </w:trPr>
        <w:tc>
          <w:tcPr>
            <w:tcW w:w="2573" w:type="dxa"/>
            <w:gridSpan w:val="3"/>
            <w:tcBorders>
              <w:top w:val="nil"/>
              <w:left w:val="single" w:sz="4" w:space="0" w:color="000000"/>
              <w:bottom w:val="single" w:sz="4" w:space="0" w:color="auto"/>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2060902</w:t>
            </w:r>
          </w:p>
        </w:tc>
        <w:tc>
          <w:tcPr>
            <w:tcW w:w="4196" w:type="dxa"/>
            <w:tcBorders>
              <w:top w:val="nil"/>
              <w:left w:val="nil"/>
              <w:bottom w:val="single" w:sz="4" w:space="0" w:color="auto"/>
              <w:right w:val="single" w:sz="4" w:space="0" w:color="000000"/>
              <w:tl2br w:val="nil"/>
              <w:tr2bl w:val="nil"/>
            </w:tcBorders>
            <w:noWrap/>
            <w:vAlign w:val="center"/>
          </w:tcPr>
          <w:p w:rsidR="00483D14" w:rsidRPr="00143480" w:rsidRDefault="00483D14" w:rsidP="00483D14">
            <w:pPr>
              <w:ind w:firstLineChars="100" w:firstLine="220"/>
              <w:textAlignment w:val="center"/>
              <w:rPr>
                <w:color w:val="000000"/>
                <w:sz w:val="22"/>
              </w:rPr>
            </w:pPr>
            <w:r w:rsidRPr="00143480">
              <w:rPr>
                <w:color w:val="000000"/>
                <w:sz w:val="22"/>
              </w:rPr>
              <w:t>重点研发计划</w:t>
            </w:r>
          </w:p>
        </w:tc>
        <w:tc>
          <w:tcPr>
            <w:tcW w:w="2538" w:type="dxa"/>
            <w:tcBorders>
              <w:top w:val="nil"/>
              <w:left w:val="nil"/>
              <w:bottom w:val="single" w:sz="4" w:space="0" w:color="auto"/>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50.00</w:t>
            </w:r>
          </w:p>
        </w:tc>
        <w:tc>
          <w:tcPr>
            <w:tcW w:w="2458" w:type="dxa"/>
            <w:tcBorders>
              <w:top w:val="nil"/>
              <w:left w:val="nil"/>
              <w:bottom w:val="single" w:sz="4" w:space="0" w:color="auto"/>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auto"/>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50.00</w:t>
            </w:r>
          </w:p>
        </w:tc>
      </w:tr>
      <w:tr w:rsidR="00483D14" w:rsidTr="00F46DBB">
        <w:trPr>
          <w:trHeight w:val="308"/>
        </w:trPr>
        <w:tc>
          <w:tcPr>
            <w:tcW w:w="2573" w:type="dxa"/>
            <w:gridSpan w:val="3"/>
            <w:tcBorders>
              <w:top w:val="single" w:sz="4" w:space="0" w:color="auto"/>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lastRenderedPageBreak/>
              <w:t>20699</w:t>
            </w:r>
          </w:p>
        </w:tc>
        <w:tc>
          <w:tcPr>
            <w:tcW w:w="4196" w:type="dxa"/>
            <w:tcBorders>
              <w:top w:val="single" w:sz="4" w:space="0" w:color="auto"/>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其他科学技术支出</w:t>
            </w:r>
          </w:p>
        </w:tc>
        <w:tc>
          <w:tcPr>
            <w:tcW w:w="2538" w:type="dxa"/>
            <w:tcBorders>
              <w:top w:val="single" w:sz="4" w:space="0" w:color="auto"/>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40.00</w:t>
            </w:r>
          </w:p>
        </w:tc>
        <w:tc>
          <w:tcPr>
            <w:tcW w:w="2458" w:type="dxa"/>
            <w:tcBorders>
              <w:top w:val="single" w:sz="4" w:space="0" w:color="auto"/>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single" w:sz="4" w:space="0" w:color="auto"/>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40.00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2069999</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483D14">
            <w:pPr>
              <w:ind w:firstLineChars="100" w:firstLine="220"/>
              <w:textAlignment w:val="center"/>
              <w:rPr>
                <w:color w:val="000000"/>
                <w:sz w:val="22"/>
              </w:rPr>
            </w:pPr>
            <w:r w:rsidRPr="00143480">
              <w:rPr>
                <w:color w:val="000000"/>
                <w:sz w:val="22"/>
              </w:rPr>
              <w:t>其他科学技术支出</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40.00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40.00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207</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文化旅游体育与传媒支出</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50.00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50.00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20701</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文化和旅游</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50.00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50.00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2070111</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483D14">
            <w:pPr>
              <w:ind w:firstLineChars="100" w:firstLine="220"/>
              <w:textAlignment w:val="center"/>
              <w:rPr>
                <w:color w:val="000000"/>
                <w:sz w:val="22"/>
              </w:rPr>
            </w:pPr>
            <w:r w:rsidRPr="00143480">
              <w:rPr>
                <w:color w:val="000000"/>
                <w:sz w:val="22"/>
              </w:rPr>
              <w:t>文化创作与保护</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50.00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50.00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208</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社会保障和就业支出</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19.38</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19.38</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20807</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就业补助</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18.40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18.40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2080799</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483D14">
            <w:pPr>
              <w:ind w:firstLineChars="100" w:firstLine="220"/>
              <w:textAlignment w:val="center"/>
              <w:rPr>
                <w:color w:val="000000"/>
                <w:sz w:val="22"/>
              </w:rPr>
            </w:pPr>
            <w:r w:rsidRPr="00143480">
              <w:rPr>
                <w:color w:val="000000"/>
                <w:sz w:val="22"/>
              </w:rPr>
              <w:t>其他就业补助支出</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18.40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18.40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20899</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其他社会保障和就业支出</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0.98</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0.98</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2089999</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483D14">
            <w:pPr>
              <w:ind w:firstLineChars="100" w:firstLine="220"/>
              <w:textAlignment w:val="center"/>
              <w:rPr>
                <w:color w:val="000000"/>
                <w:sz w:val="22"/>
              </w:rPr>
            </w:pPr>
            <w:r w:rsidRPr="00143480">
              <w:rPr>
                <w:color w:val="000000"/>
                <w:sz w:val="22"/>
              </w:rPr>
              <w:t>其他社会保障和就业支出</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0.98</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0.98</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210</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卫生健康支出</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523.39</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523.39</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21004</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公共卫生</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519.39</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519.39</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2100499</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483D14">
            <w:pPr>
              <w:ind w:firstLineChars="100" w:firstLine="220"/>
              <w:textAlignment w:val="center"/>
              <w:rPr>
                <w:color w:val="000000"/>
                <w:sz w:val="22"/>
              </w:rPr>
            </w:pPr>
            <w:r w:rsidRPr="00143480">
              <w:rPr>
                <w:color w:val="000000"/>
                <w:sz w:val="22"/>
              </w:rPr>
              <w:t>其他公共卫生支出</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519.39</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519.39</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21006</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中医药</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2.00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2.00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2100601</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483D14">
            <w:pPr>
              <w:ind w:firstLineChars="100" w:firstLine="220"/>
              <w:textAlignment w:val="center"/>
              <w:rPr>
                <w:color w:val="000000"/>
                <w:sz w:val="22"/>
              </w:rPr>
            </w:pPr>
            <w:r w:rsidRPr="00143480">
              <w:rPr>
                <w:color w:val="000000"/>
                <w:sz w:val="22"/>
              </w:rPr>
              <w:t>中医（民族医）药专项</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2.00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2.00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21099</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其他卫生健康支出</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2.00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2.00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2109999</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483D14">
            <w:pPr>
              <w:ind w:firstLineChars="100" w:firstLine="220"/>
              <w:textAlignment w:val="center"/>
              <w:rPr>
                <w:color w:val="000000"/>
                <w:sz w:val="22"/>
              </w:rPr>
            </w:pPr>
            <w:r w:rsidRPr="00143480">
              <w:rPr>
                <w:color w:val="000000"/>
                <w:sz w:val="22"/>
              </w:rPr>
              <w:t>其他卫生健康支出</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2.00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2.00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213</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农林水支出</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20.00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20.00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21302</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林业和草原</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20.00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20.00</w:t>
            </w:r>
          </w:p>
        </w:tc>
      </w:tr>
      <w:tr w:rsidR="00483D14" w:rsidTr="00143480">
        <w:trPr>
          <w:trHeight w:val="308"/>
        </w:trPr>
        <w:tc>
          <w:tcPr>
            <w:tcW w:w="2573" w:type="dxa"/>
            <w:gridSpan w:val="3"/>
            <w:tcBorders>
              <w:top w:val="nil"/>
              <w:left w:val="single" w:sz="4" w:space="0" w:color="000000"/>
              <w:bottom w:val="single" w:sz="4" w:space="0" w:color="000000"/>
              <w:right w:val="single" w:sz="4" w:space="0" w:color="000000"/>
              <w:tl2br w:val="nil"/>
              <w:tr2bl w:val="nil"/>
            </w:tcBorders>
            <w:noWrap/>
            <w:vAlign w:val="center"/>
          </w:tcPr>
          <w:p w:rsidR="00483D14" w:rsidRPr="00143480" w:rsidRDefault="00483D14" w:rsidP="00143480">
            <w:pPr>
              <w:textAlignment w:val="center"/>
              <w:rPr>
                <w:color w:val="000000"/>
                <w:sz w:val="22"/>
              </w:rPr>
            </w:pPr>
            <w:r w:rsidRPr="00143480">
              <w:rPr>
                <w:color w:val="000000"/>
                <w:sz w:val="22"/>
              </w:rPr>
              <w:t>2130211</w:t>
            </w:r>
          </w:p>
        </w:tc>
        <w:tc>
          <w:tcPr>
            <w:tcW w:w="4196" w:type="dxa"/>
            <w:tcBorders>
              <w:top w:val="nil"/>
              <w:left w:val="nil"/>
              <w:bottom w:val="single" w:sz="4" w:space="0" w:color="000000"/>
              <w:right w:val="single" w:sz="4" w:space="0" w:color="000000"/>
              <w:tl2br w:val="nil"/>
              <w:tr2bl w:val="nil"/>
            </w:tcBorders>
            <w:noWrap/>
            <w:vAlign w:val="center"/>
          </w:tcPr>
          <w:p w:rsidR="00483D14" w:rsidRPr="00143480" w:rsidRDefault="00483D14" w:rsidP="00483D14">
            <w:pPr>
              <w:ind w:firstLineChars="100" w:firstLine="220"/>
              <w:textAlignment w:val="center"/>
              <w:rPr>
                <w:color w:val="000000"/>
                <w:sz w:val="22"/>
              </w:rPr>
            </w:pPr>
            <w:r w:rsidRPr="00143480">
              <w:rPr>
                <w:color w:val="000000"/>
                <w:sz w:val="22"/>
              </w:rPr>
              <w:t>动植物保护</w:t>
            </w:r>
          </w:p>
        </w:tc>
        <w:tc>
          <w:tcPr>
            <w:tcW w:w="253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20.00</w:t>
            </w:r>
          </w:p>
        </w:tc>
        <w:tc>
          <w:tcPr>
            <w:tcW w:w="2458"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p>
        </w:tc>
        <w:tc>
          <w:tcPr>
            <w:tcW w:w="3517" w:type="dxa"/>
            <w:tcBorders>
              <w:top w:val="nil"/>
              <w:left w:val="nil"/>
              <w:bottom w:val="single" w:sz="4" w:space="0" w:color="000000"/>
              <w:right w:val="single" w:sz="4" w:space="0" w:color="000000"/>
              <w:tl2br w:val="nil"/>
              <w:tr2bl w:val="nil"/>
            </w:tcBorders>
            <w:noWrap/>
            <w:vAlign w:val="center"/>
          </w:tcPr>
          <w:p w:rsidR="00483D14" w:rsidRDefault="00483D14">
            <w:pPr>
              <w:jc w:val="right"/>
              <w:rPr>
                <w:color w:val="000000"/>
                <w:sz w:val="22"/>
                <w:szCs w:val="22"/>
              </w:rPr>
            </w:pPr>
            <w:r>
              <w:rPr>
                <w:rFonts w:hint="eastAsia"/>
                <w:color w:val="000000"/>
                <w:sz w:val="22"/>
                <w:szCs w:val="22"/>
              </w:rPr>
              <w:t>20.00</w:t>
            </w:r>
          </w:p>
        </w:tc>
      </w:tr>
      <w:tr w:rsidR="00B87C8A">
        <w:trPr>
          <w:trHeight w:val="308"/>
        </w:trPr>
        <w:tc>
          <w:tcPr>
            <w:tcW w:w="15282" w:type="dxa"/>
            <w:gridSpan w:val="7"/>
            <w:tcBorders>
              <w:top w:val="nil"/>
              <w:left w:val="nil"/>
              <w:bottom w:val="nil"/>
              <w:right w:val="nil"/>
              <w:tl2br w:val="nil"/>
              <w:tr2bl w:val="nil"/>
            </w:tcBorders>
            <w:noWrap/>
            <w:vAlign w:val="center"/>
          </w:tcPr>
          <w:p w:rsidR="00B87C8A" w:rsidRDefault="002D1C8A">
            <w:pPr>
              <w:textAlignment w:val="center"/>
              <w:rPr>
                <w:color w:val="000000"/>
                <w:sz w:val="22"/>
              </w:rPr>
            </w:pPr>
            <w:r>
              <w:rPr>
                <w:color w:val="000000"/>
                <w:sz w:val="22"/>
              </w:rPr>
              <w:t>注：本表反映部门本年度一般公共预算财政拨款支出情况。</w:t>
            </w:r>
          </w:p>
        </w:tc>
      </w:tr>
    </w:tbl>
    <w:p w:rsidR="00B87C8A" w:rsidRDefault="00B87C8A">
      <w:pPr>
        <w:spacing w:line="600" w:lineRule="exact"/>
        <w:jc w:val="center"/>
        <w:rPr>
          <w:rFonts w:ascii="黑体" w:eastAsia="黑体" w:hAnsi="Times New Roman" w:cs="黑体"/>
          <w:sz w:val="32"/>
          <w:szCs w:val="32"/>
        </w:rPr>
        <w:sectPr w:rsidR="00B87C8A">
          <w:pgSz w:w="16838" w:h="11906" w:orient="landscape"/>
          <w:pgMar w:top="720" w:right="873" w:bottom="720" w:left="720" w:header="720" w:footer="720" w:gutter="0"/>
          <w:cols w:space="720"/>
        </w:sectPr>
      </w:pPr>
    </w:p>
    <w:tbl>
      <w:tblPr>
        <w:tblW w:w="23320" w:type="dxa"/>
        <w:tblInd w:w="96" w:type="dxa"/>
        <w:tblLayout w:type="fixed"/>
        <w:tblLook w:val="04A0"/>
      </w:tblPr>
      <w:tblGrid>
        <w:gridCol w:w="1204"/>
        <w:gridCol w:w="2688"/>
        <w:gridCol w:w="1224"/>
        <w:gridCol w:w="1176"/>
        <w:gridCol w:w="2328"/>
        <w:gridCol w:w="1200"/>
        <w:gridCol w:w="1272"/>
        <w:gridCol w:w="2208"/>
        <w:gridCol w:w="1920"/>
        <w:gridCol w:w="1620"/>
        <w:gridCol w:w="1620"/>
        <w:gridCol w:w="1620"/>
        <w:gridCol w:w="1620"/>
        <w:gridCol w:w="1620"/>
      </w:tblGrid>
      <w:tr w:rsidR="00B87C8A" w:rsidTr="007A4732">
        <w:trPr>
          <w:gridAfter w:val="5"/>
          <w:wAfter w:w="8100" w:type="dxa"/>
          <w:trHeight w:val="384"/>
        </w:trPr>
        <w:tc>
          <w:tcPr>
            <w:tcW w:w="15220" w:type="dxa"/>
            <w:gridSpan w:val="9"/>
            <w:tcBorders>
              <w:top w:val="nil"/>
              <w:left w:val="nil"/>
              <w:bottom w:val="nil"/>
              <w:right w:val="nil"/>
              <w:tl2br w:val="nil"/>
              <w:tr2bl w:val="nil"/>
            </w:tcBorders>
            <w:noWrap/>
            <w:vAlign w:val="bottom"/>
          </w:tcPr>
          <w:p w:rsidR="00B87C8A" w:rsidRDefault="002D1C8A">
            <w:pPr>
              <w:jc w:val="center"/>
              <w:textAlignment w:val="bottom"/>
              <w:rPr>
                <w:color w:val="000000"/>
                <w:sz w:val="30"/>
                <w:szCs w:val="30"/>
              </w:rPr>
            </w:pPr>
            <w:r>
              <w:rPr>
                <w:color w:val="000000"/>
                <w:sz w:val="30"/>
                <w:szCs w:val="30"/>
              </w:rPr>
              <w:lastRenderedPageBreak/>
              <w:t>六、一般公共预算财政拨款基本支出决算表</w:t>
            </w:r>
          </w:p>
        </w:tc>
      </w:tr>
      <w:tr w:rsidR="00B87C8A" w:rsidTr="007A4732">
        <w:trPr>
          <w:gridAfter w:val="5"/>
          <w:wAfter w:w="8100" w:type="dxa"/>
          <w:trHeight w:val="90"/>
        </w:trPr>
        <w:tc>
          <w:tcPr>
            <w:tcW w:w="1204"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2688"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224"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176"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2328"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200"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272"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2208"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920" w:type="dxa"/>
            <w:tcBorders>
              <w:top w:val="nil"/>
              <w:left w:val="nil"/>
              <w:bottom w:val="nil"/>
              <w:right w:val="nil"/>
              <w:tl2br w:val="nil"/>
              <w:tr2bl w:val="nil"/>
            </w:tcBorders>
            <w:noWrap/>
            <w:vAlign w:val="bottom"/>
          </w:tcPr>
          <w:p w:rsidR="00B87C8A" w:rsidRDefault="002D1C8A">
            <w:pPr>
              <w:jc w:val="right"/>
              <w:textAlignment w:val="bottom"/>
              <w:rPr>
                <w:color w:val="000000"/>
                <w:sz w:val="20"/>
                <w:szCs w:val="20"/>
              </w:rPr>
            </w:pPr>
            <w:r>
              <w:rPr>
                <w:color w:val="000000"/>
                <w:sz w:val="20"/>
                <w:szCs w:val="20"/>
              </w:rPr>
              <w:t>公开06表</w:t>
            </w:r>
          </w:p>
        </w:tc>
      </w:tr>
      <w:tr w:rsidR="00B87C8A" w:rsidTr="007A4732">
        <w:trPr>
          <w:gridAfter w:val="5"/>
          <w:wAfter w:w="8100" w:type="dxa"/>
          <w:trHeight w:val="264"/>
        </w:trPr>
        <w:tc>
          <w:tcPr>
            <w:tcW w:w="3892" w:type="dxa"/>
            <w:gridSpan w:val="2"/>
            <w:tcBorders>
              <w:top w:val="nil"/>
              <w:left w:val="nil"/>
              <w:bottom w:val="nil"/>
              <w:right w:val="nil"/>
              <w:tl2br w:val="nil"/>
              <w:tr2bl w:val="nil"/>
            </w:tcBorders>
            <w:noWrap/>
            <w:vAlign w:val="bottom"/>
          </w:tcPr>
          <w:p w:rsidR="00B87C8A" w:rsidRDefault="002D1C8A">
            <w:pPr>
              <w:rPr>
                <w:rFonts w:ascii="Arial" w:hAnsi="Arial" w:cs="Arial"/>
                <w:color w:val="000000"/>
                <w:sz w:val="20"/>
                <w:szCs w:val="20"/>
              </w:rPr>
            </w:pPr>
            <w:r>
              <w:rPr>
                <w:color w:val="000000"/>
                <w:sz w:val="20"/>
                <w:szCs w:val="20"/>
              </w:rPr>
              <w:t>部门：吉首大学</w:t>
            </w:r>
          </w:p>
        </w:tc>
        <w:tc>
          <w:tcPr>
            <w:tcW w:w="1224"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176"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2328"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200"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272"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2208" w:type="dxa"/>
            <w:tcBorders>
              <w:top w:val="nil"/>
              <w:left w:val="nil"/>
              <w:bottom w:val="nil"/>
              <w:right w:val="nil"/>
              <w:tl2br w:val="nil"/>
              <w:tr2bl w:val="nil"/>
            </w:tcBorders>
            <w:noWrap/>
            <w:vAlign w:val="bottom"/>
          </w:tcPr>
          <w:p w:rsidR="00B87C8A" w:rsidRDefault="00B87C8A">
            <w:pPr>
              <w:rPr>
                <w:rFonts w:ascii="Arial" w:hAnsi="Arial" w:cs="Arial"/>
                <w:color w:val="000000"/>
                <w:sz w:val="20"/>
                <w:szCs w:val="20"/>
              </w:rPr>
            </w:pPr>
          </w:p>
        </w:tc>
        <w:tc>
          <w:tcPr>
            <w:tcW w:w="1920" w:type="dxa"/>
            <w:tcBorders>
              <w:top w:val="nil"/>
              <w:left w:val="nil"/>
              <w:bottom w:val="nil"/>
              <w:right w:val="nil"/>
              <w:tl2br w:val="nil"/>
              <w:tr2bl w:val="nil"/>
            </w:tcBorders>
            <w:noWrap/>
            <w:vAlign w:val="bottom"/>
          </w:tcPr>
          <w:p w:rsidR="00B87C8A" w:rsidRDefault="002D1C8A">
            <w:pPr>
              <w:jc w:val="right"/>
              <w:textAlignment w:val="bottom"/>
              <w:rPr>
                <w:color w:val="000000"/>
                <w:sz w:val="20"/>
                <w:szCs w:val="20"/>
              </w:rPr>
            </w:pPr>
            <w:r>
              <w:rPr>
                <w:color w:val="000000"/>
                <w:sz w:val="20"/>
                <w:szCs w:val="20"/>
              </w:rPr>
              <w:t>金额单位：万元</w:t>
            </w:r>
          </w:p>
        </w:tc>
      </w:tr>
      <w:tr w:rsidR="00B87C8A" w:rsidTr="007A4732">
        <w:trPr>
          <w:gridAfter w:val="5"/>
          <w:wAfter w:w="8100" w:type="dxa"/>
          <w:trHeight w:val="308"/>
        </w:trPr>
        <w:tc>
          <w:tcPr>
            <w:tcW w:w="5116" w:type="dxa"/>
            <w:gridSpan w:val="3"/>
            <w:tcBorders>
              <w:top w:val="single" w:sz="4" w:space="0" w:color="000000"/>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人员经费</w:t>
            </w:r>
          </w:p>
        </w:tc>
        <w:tc>
          <w:tcPr>
            <w:tcW w:w="10104" w:type="dxa"/>
            <w:gridSpan w:val="6"/>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2D1C8A">
            <w:pPr>
              <w:tabs>
                <w:tab w:val="left" w:pos="10116"/>
              </w:tabs>
              <w:jc w:val="center"/>
              <w:textAlignment w:val="center"/>
              <w:rPr>
                <w:color w:val="000000"/>
                <w:sz w:val="22"/>
              </w:rPr>
            </w:pPr>
            <w:r>
              <w:rPr>
                <w:color w:val="000000"/>
                <w:sz w:val="22"/>
              </w:rPr>
              <w:t>公用经费</w:t>
            </w:r>
          </w:p>
        </w:tc>
      </w:tr>
      <w:tr w:rsidR="00B87C8A" w:rsidTr="007A4732">
        <w:trPr>
          <w:gridAfter w:val="5"/>
          <w:wAfter w:w="8100" w:type="dxa"/>
          <w:trHeight w:val="308"/>
        </w:trPr>
        <w:tc>
          <w:tcPr>
            <w:tcW w:w="1204" w:type="dxa"/>
            <w:vMerge w:val="restart"/>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2D1C8A">
            <w:pPr>
              <w:textAlignment w:val="center"/>
              <w:rPr>
                <w:color w:val="000000"/>
                <w:sz w:val="22"/>
              </w:rPr>
            </w:pPr>
            <w:r>
              <w:rPr>
                <w:color w:val="000000"/>
                <w:sz w:val="22"/>
              </w:rPr>
              <w:t>经济分类科目编码</w:t>
            </w:r>
          </w:p>
        </w:tc>
        <w:tc>
          <w:tcPr>
            <w:tcW w:w="2688"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textAlignment w:val="center"/>
              <w:rPr>
                <w:color w:val="000000"/>
                <w:sz w:val="22"/>
              </w:rPr>
            </w:pPr>
            <w:r>
              <w:rPr>
                <w:color w:val="000000"/>
                <w:sz w:val="22"/>
              </w:rPr>
              <w:t>科目名称</w:t>
            </w:r>
          </w:p>
        </w:tc>
        <w:tc>
          <w:tcPr>
            <w:tcW w:w="1224"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textAlignment w:val="center"/>
              <w:rPr>
                <w:color w:val="000000"/>
                <w:sz w:val="22"/>
              </w:rPr>
            </w:pPr>
            <w:r>
              <w:rPr>
                <w:color w:val="000000"/>
                <w:sz w:val="22"/>
              </w:rPr>
              <w:t>决算数</w:t>
            </w:r>
          </w:p>
        </w:tc>
        <w:tc>
          <w:tcPr>
            <w:tcW w:w="1176"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textAlignment w:val="center"/>
              <w:rPr>
                <w:color w:val="000000"/>
                <w:sz w:val="22"/>
              </w:rPr>
            </w:pPr>
            <w:r>
              <w:rPr>
                <w:color w:val="000000"/>
                <w:sz w:val="22"/>
              </w:rPr>
              <w:t>经济分类科目编码</w:t>
            </w:r>
          </w:p>
        </w:tc>
        <w:tc>
          <w:tcPr>
            <w:tcW w:w="2328"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textAlignment w:val="center"/>
              <w:rPr>
                <w:color w:val="000000"/>
                <w:sz w:val="22"/>
              </w:rPr>
            </w:pPr>
            <w:r>
              <w:rPr>
                <w:color w:val="000000"/>
                <w:sz w:val="22"/>
              </w:rPr>
              <w:t>科目名称</w:t>
            </w:r>
          </w:p>
        </w:tc>
        <w:tc>
          <w:tcPr>
            <w:tcW w:w="1200"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textAlignment w:val="center"/>
              <w:rPr>
                <w:color w:val="000000"/>
                <w:sz w:val="22"/>
              </w:rPr>
            </w:pPr>
            <w:r>
              <w:rPr>
                <w:color w:val="000000"/>
                <w:sz w:val="22"/>
              </w:rPr>
              <w:t>决算数</w:t>
            </w:r>
          </w:p>
        </w:tc>
        <w:tc>
          <w:tcPr>
            <w:tcW w:w="1272"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textAlignment w:val="center"/>
              <w:rPr>
                <w:color w:val="000000"/>
                <w:sz w:val="22"/>
              </w:rPr>
            </w:pPr>
            <w:r>
              <w:rPr>
                <w:color w:val="000000"/>
                <w:sz w:val="22"/>
              </w:rPr>
              <w:t>经济分类科目编码</w:t>
            </w:r>
          </w:p>
        </w:tc>
        <w:tc>
          <w:tcPr>
            <w:tcW w:w="2208"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textAlignment w:val="center"/>
              <w:rPr>
                <w:color w:val="000000"/>
                <w:sz w:val="22"/>
              </w:rPr>
            </w:pPr>
            <w:r>
              <w:rPr>
                <w:color w:val="000000"/>
                <w:sz w:val="22"/>
              </w:rPr>
              <w:t>科目名称</w:t>
            </w:r>
          </w:p>
        </w:tc>
        <w:tc>
          <w:tcPr>
            <w:tcW w:w="1920"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textAlignment w:val="center"/>
              <w:rPr>
                <w:color w:val="000000"/>
                <w:sz w:val="22"/>
              </w:rPr>
            </w:pPr>
            <w:r>
              <w:rPr>
                <w:color w:val="000000"/>
                <w:sz w:val="22"/>
              </w:rPr>
              <w:t>决算数</w:t>
            </w:r>
          </w:p>
        </w:tc>
      </w:tr>
      <w:tr w:rsidR="00B87C8A" w:rsidTr="007A4732">
        <w:trPr>
          <w:gridAfter w:val="5"/>
          <w:wAfter w:w="8100" w:type="dxa"/>
          <w:trHeight w:val="308"/>
        </w:trPr>
        <w:tc>
          <w:tcPr>
            <w:tcW w:w="1204" w:type="dxa"/>
            <w:vMerge/>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B87C8A">
            <w:pPr>
              <w:rPr>
                <w:color w:val="000000"/>
                <w:sz w:val="22"/>
              </w:rPr>
            </w:pPr>
          </w:p>
        </w:tc>
        <w:tc>
          <w:tcPr>
            <w:tcW w:w="2688"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rPr>
                <w:color w:val="000000"/>
                <w:sz w:val="22"/>
              </w:rPr>
            </w:pPr>
          </w:p>
        </w:tc>
        <w:tc>
          <w:tcPr>
            <w:tcW w:w="1224"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rPr>
                <w:color w:val="000000"/>
                <w:sz w:val="22"/>
              </w:rPr>
            </w:pPr>
          </w:p>
        </w:tc>
        <w:tc>
          <w:tcPr>
            <w:tcW w:w="1176"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rPr>
                <w:color w:val="000000"/>
                <w:sz w:val="22"/>
              </w:rPr>
            </w:pPr>
          </w:p>
        </w:tc>
        <w:tc>
          <w:tcPr>
            <w:tcW w:w="2328"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rPr>
                <w:color w:val="000000"/>
                <w:sz w:val="22"/>
              </w:rPr>
            </w:pPr>
          </w:p>
        </w:tc>
        <w:tc>
          <w:tcPr>
            <w:tcW w:w="1200"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rPr>
                <w:color w:val="000000"/>
                <w:sz w:val="22"/>
              </w:rPr>
            </w:pPr>
          </w:p>
        </w:tc>
        <w:tc>
          <w:tcPr>
            <w:tcW w:w="1272"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rPr>
                <w:color w:val="000000"/>
                <w:sz w:val="22"/>
              </w:rPr>
            </w:pPr>
          </w:p>
        </w:tc>
        <w:tc>
          <w:tcPr>
            <w:tcW w:w="2208"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rPr>
                <w:color w:val="000000"/>
                <w:sz w:val="22"/>
              </w:rPr>
            </w:pPr>
          </w:p>
        </w:tc>
        <w:tc>
          <w:tcPr>
            <w:tcW w:w="1920"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301</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工资福利支出</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Default="007A4732" w:rsidP="000300E3">
            <w:pPr>
              <w:textAlignment w:val="center"/>
              <w:rPr>
                <w:color w:val="000000"/>
                <w:sz w:val="22"/>
                <w:szCs w:val="22"/>
              </w:rPr>
            </w:pPr>
            <w:r w:rsidRPr="000300E3">
              <w:rPr>
                <w:rFonts w:hint="eastAsia"/>
                <w:color w:val="000000"/>
                <w:sz w:val="22"/>
              </w:rPr>
              <w:t>23,099.89</w:t>
            </w: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商品和服务支出</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4A4DC4">
            <w:pPr>
              <w:textAlignment w:val="center"/>
              <w:rPr>
                <w:color w:val="000000"/>
                <w:sz w:val="22"/>
              </w:rPr>
            </w:pPr>
            <w:r w:rsidRPr="004A4DC4">
              <w:rPr>
                <w:rFonts w:hint="eastAsia"/>
                <w:color w:val="000000"/>
                <w:sz w:val="22"/>
              </w:rPr>
              <w:t>1,774.11</w:t>
            </w: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307</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债务利息及费用支出</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30101</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基本工资</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6,159.80</w:t>
            </w: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30201</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办公费</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180.63</w:t>
            </w: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30701</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国内债务付息</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30102</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津贴补贴</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525.02</w:t>
            </w: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30202</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印刷费</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91.65</w:t>
            </w: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30702</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国外债务付息</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30103</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奖金</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30203</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咨询费</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310</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资本性支出</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30106</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伙食补助费</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22.82</w:t>
            </w: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30204</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手续费</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0.03</w:t>
            </w: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31001</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房屋建筑物购建</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30107</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绩效工资</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10,768.22</w:t>
            </w: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30205</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水费</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76.00</w:t>
            </w: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31002</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办公设备购置</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30108</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机关事业单位基本养老保险缴费</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3,200.00</w:t>
            </w: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30206</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电费</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492.00</w:t>
            </w: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31003</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专用设备购置</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30109</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职业年金缴费</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30207</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邮电费</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15.70</w:t>
            </w: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31005</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基础设施建设</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30110</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职工基本医疗保险缴费</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30208</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取暖费</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31006</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大型修缮</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30111</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公务员医疗补助缴费</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30209</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物业管理费</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196.37</w:t>
            </w: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31007</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信息网络及软件购置更新</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30112</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其他社会保障缴费</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30211</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差旅费</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80.00</w:t>
            </w: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31008</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物资储备</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30113</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住房公积金</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2,115.00</w:t>
            </w: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30212</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因公出国（境）费用</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31009</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土地补偿</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30114</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医疗费</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30213</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维修（护）费</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31010</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安置补助</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30199</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其他工资福利支出</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309.03</w:t>
            </w: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30214</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租赁费</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31011</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地上附着物和青苗补偿</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303</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对个人和家庭的补助</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787.85</w:t>
            </w: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30215</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会议费</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31012</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拆迁补偿</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30301</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离休费</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14.66</w:t>
            </w: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30216</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培训费</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31013</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公务用车购置</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30302</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退休费</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30217</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公务接待费</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25.26</w:t>
            </w: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31019</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其他交通工具购置</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30303</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退职（役）费</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30218</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专用材料费</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400.00</w:t>
            </w: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31021</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文物和陈列品购置</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30304</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抚恤金</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7.22</w:t>
            </w: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30224</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被装购置费</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31022</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无形资产购置</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30305</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生活补助</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760.88</w:t>
            </w: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30225</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专用燃料费</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31099</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其他资本性支出</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30306</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救济费</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30226</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劳务费</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60.69</w:t>
            </w: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399</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其他支出</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30307</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医疗费补助</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5.08</w:t>
            </w: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30227</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委托业务费</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129.92</w:t>
            </w: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39907</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国家赔偿费用支出</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30308</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助学金</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30228</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工会经费</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39908</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对民间非营利组织和群众性自治组织补</w:t>
            </w:r>
            <w:r>
              <w:rPr>
                <w:color w:val="000000"/>
                <w:sz w:val="22"/>
              </w:rPr>
              <w:lastRenderedPageBreak/>
              <w:t>贴</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lastRenderedPageBreak/>
              <w:t>30309</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奖励金</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30229</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福利费</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rFonts w:hint="eastAsia"/>
                <w:color w:val="000000"/>
                <w:sz w:val="22"/>
              </w:rPr>
              <w:t>39909</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Pr="00F3533C" w:rsidRDefault="007A4732" w:rsidP="00F3533C">
            <w:pPr>
              <w:rPr>
                <w:color w:val="000000"/>
                <w:sz w:val="22"/>
                <w:szCs w:val="22"/>
              </w:rPr>
            </w:pPr>
            <w:r>
              <w:rPr>
                <w:rFonts w:hint="eastAsia"/>
                <w:color w:val="000000"/>
                <w:sz w:val="22"/>
                <w:szCs w:val="22"/>
              </w:rPr>
              <w:t xml:space="preserve">  经常性赠与</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30310</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个人农业生产补贴</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30231</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公务用车运行维护费</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rPr>
                <w:color w:val="000000"/>
                <w:sz w:val="22"/>
              </w:rPr>
            </w:pPr>
            <w:r>
              <w:rPr>
                <w:rFonts w:hint="eastAsia"/>
                <w:color w:val="000000"/>
                <w:sz w:val="22"/>
              </w:rPr>
              <w:t>39910</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rsidP="00F3533C">
            <w:pPr>
              <w:ind w:firstLineChars="100" w:firstLine="220"/>
              <w:rPr>
                <w:color w:val="000000"/>
                <w:sz w:val="22"/>
              </w:rPr>
            </w:pPr>
            <w:r>
              <w:rPr>
                <w:rFonts w:hint="eastAsia"/>
                <w:color w:val="000000"/>
                <w:sz w:val="22"/>
              </w:rPr>
              <w:t>资本性赠与</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30311</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代缴社会保险费</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30239</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其他交通费用</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19.96</w:t>
            </w: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rsidP="007479CE">
            <w:pPr>
              <w:textAlignment w:val="center"/>
              <w:rPr>
                <w:color w:val="000000"/>
                <w:sz w:val="22"/>
              </w:rPr>
            </w:pPr>
            <w:r>
              <w:rPr>
                <w:color w:val="000000"/>
                <w:sz w:val="22"/>
              </w:rPr>
              <w:t>39999</w:t>
            </w: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rsidP="007479CE">
            <w:pPr>
              <w:textAlignment w:val="center"/>
              <w:rPr>
                <w:color w:val="000000"/>
                <w:sz w:val="22"/>
              </w:rPr>
            </w:pPr>
            <w:r>
              <w:rPr>
                <w:color w:val="000000"/>
                <w:sz w:val="22"/>
              </w:rPr>
              <w:t xml:space="preserve">  其他支出</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30399</w:t>
            </w: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其他对个人和家庭的补助</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30240</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税金及附加费用</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rPr>
                <w:color w:val="000000"/>
                <w:sz w:val="22"/>
              </w:rPr>
            </w:pP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rPr>
                <w:color w:val="000000"/>
                <w:sz w:val="22"/>
              </w:rPr>
            </w:pP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r w:rsidRPr="004A4DC4">
              <w:rPr>
                <w:rFonts w:hint="eastAsia"/>
                <w:color w:val="000000"/>
                <w:sz w:val="22"/>
              </w:rPr>
              <w:t xml:space="preserve">　</w:t>
            </w:r>
          </w:p>
        </w:tc>
      </w:tr>
      <w:tr w:rsidR="007A4732" w:rsidTr="007A4732">
        <w:trPr>
          <w:gridAfter w:val="5"/>
          <w:wAfter w:w="8100" w:type="dxa"/>
          <w:trHeight w:val="308"/>
        </w:trPr>
        <w:tc>
          <w:tcPr>
            <w:tcW w:w="1204"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rPr>
                <w:color w:val="000000"/>
                <w:sz w:val="22"/>
              </w:rPr>
            </w:pPr>
          </w:p>
        </w:tc>
        <w:tc>
          <w:tcPr>
            <w:tcW w:w="268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rPr>
                <w:color w:val="000000"/>
                <w:sz w:val="22"/>
              </w:rPr>
            </w:pP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 xml:space="preserve">　</w:t>
            </w: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30299</w:t>
            </w:r>
          </w:p>
        </w:tc>
        <w:tc>
          <w:tcPr>
            <w:tcW w:w="232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 xml:space="preserve">  其他商品和服务支出</w:t>
            </w:r>
          </w:p>
        </w:tc>
        <w:tc>
          <w:tcPr>
            <w:tcW w:w="1200"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5.91</w:t>
            </w:r>
          </w:p>
        </w:tc>
        <w:tc>
          <w:tcPr>
            <w:tcW w:w="1272"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rPr>
                <w:color w:val="000000"/>
                <w:sz w:val="22"/>
              </w:rPr>
            </w:pPr>
          </w:p>
        </w:tc>
        <w:tc>
          <w:tcPr>
            <w:tcW w:w="2208" w:type="dxa"/>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pPr>
              <w:rPr>
                <w:color w:val="000000"/>
                <w:sz w:val="22"/>
              </w:rPr>
            </w:pP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r w:rsidRPr="004A4DC4">
              <w:rPr>
                <w:rFonts w:hint="eastAsia"/>
                <w:color w:val="000000"/>
                <w:sz w:val="22"/>
              </w:rPr>
              <w:t xml:space="preserve">　</w:t>
            </w:r>
          </w:p>
        </w:tc>
      </w:tr>
      <w:tr w:rsidR="007A4732" w:rsidTr="007A4732">
        <w:trPr>
          <w:trHeight w:val="308"/>
        </w:trPr>
        <w:tc>
          <w:tcPr>
            <w:tcW w:w="3892" w:type="dxa"/>
            <w:gridSpan w:val="2"/>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7A4732" w:rsidRDefault="007A4732">
            <w:pPr>
              <w:textAlignment w:val="center"/>
              <w:rPr>
                <w:color w:val="000000"/>
                <w:sz w:val="22"/>
              </w:rPr>
            </w:pPr>
            <w:r>
              <w:rPr>
                <w:color w:val="000000"/>
                <w:sz w:val="22"/>
              </w:rPr>
              <w:t>人员经费合计</w:t>
            </w:r>
          </w:p>
        </w:tc>
        <w:tc>
          <w:tcPr>
            <w:tcW w:w="1224" w:type="dxa"/>
            <w:tcBorders>
              <w:top w:val="nil"/>
              <w:left w:val="nil"/>
              <w:bottom w:val="single" w:sz="4" w:space="0" w:color="000000"/>
              <w:right w:val="single" w:sz="4" w:space="0" w:color="000000"/>
              <w:tl2br w:val="nil"/>
              <w:tr2bl w:val="nil"/>
            </w:tcBorders>
            <w:shd w:val="clear" w:color="auto" w:fill="auto"/>
            <w:noWrap/>
            <w:vAlign w:val="center"/>
          </w:tcPr>
          <w:p w:rsidR="007A4732" w:rsidRPr="00F3533C" w:rsidRDefault="007A4732" w:rsidP="00F3533C">
            <w:pPr>
              <w:textAlignment w:val="center"/>
              <w:rPr>
                <w:color w:val="000000"/>
                <w:sz w:val="22"/>
              </w:rPr>
            </w:pPr>
            <w:r w:rsidRPr="00F3533C">
              <w:rPr>
                <w:rFonts w:hint="eastAsia"/>
                <w:color w:val="000000"/>
                <w:sz w:val="22"/>
              </w:rPr>
              <w:t>23,887.74</w:t>
            </w:r>
          </w:p>
        </w:tc>
        <w:tc>
          <w:tcPr>
            <w:tcW w:w="8184" w:type="dxa"/>
            <w:gridSpan w:val="5"/>
            <w:tcBorders>
              <w:top w:val="nil"/>
              <w:left w:val="nil"/>
              <w:bottom w:val="single" w:sz="4" w:space="0" w:color="000000"/>
              <w:right w:val="single" w:sz="4" w:space="0" w:color="000000"/>
              <w:tl2br w:val="nil"/>
              <w:tr2bl w:val="nil"/>
            </w:tcBorders>
            <w:shd w:val="clear" w:color="FFFFFF" w:fill="C0C0C0"/>
            <w:noWrap/>
            <w:vAlign w:val="center"/>
          </w:tcPr>
          <w:p w:rsidR="007A4732" w:rsidRDefault="007A4732" w:rsidP="007A4732">
            <w:pPr>
              <w:textAlignment w:val="center"/>
              <w:rPr>
                <w:color w:val="000000"/>
                <w:sz w:val="22"/>
                <w:szCs w:val="22"/>
              </w:rPr>
            </w:pPr>
            <w:r w:rsidRPr="007A4732">
              <w:rPr>
                <w:rFonts w:hint="eastAsia"/>
                <w:color w:val="000000"/>
                <w:sz w:val="22"/>
              </w:rPr>
              <w:t>公用经费合计</w:t>
            </w:r>
          </w:p>
        </w:tc>
        <w:tc>
          <w:tcPr>
            <w:tcW w:w="1920" w:type="dxa"/>
            <w:tcBorders>
              <w:top w:val="nil"/>
              <w:left w:val="nil"/>
              <w:bottom w:val="single" w:sz="4" w:space="0" w:color="000000"/>
              <w:right w:val="single" w:sz="4" w:space="0" w:color="000000"/>
              <w:tl2br w:val="nil"/>
              <w:tr2bl w:val="nil"/>
            </w:tcBorders>
            <w:noWrap/>
            <w:vAlign w:val="center"/>
          </w:tcPr>
          <w:p w:rsidR="007A4732" w:rsidRPr="004A4DC4" w:rsidRDefault="007A4732" w:rsidP="004A4DC4">
            <w:pPr>
              <w:textAlignment w:val="center"/>
              <w:rPr>
                <w:color w:val="000000"/>
                <w:sz w:val="22"/>
              </w:rPr>
            </w:pPr>
            <w:r w:rsidRPr="004A4DC4">
              <w:rPr>
                <w:rFonts w:hint="eastAsia"/>
                <w:color w:val="000000"/>
                <w:sz w:val="22"/>
              </w:rPr>
              <w:t>1,774.11</w:t>
            </w:r>
          </w:p>
        </w:tc>
        <w:tc>
          <w:tcPr>
            <w:tcW w:w="1620" w:type="dxa"/>
          </w:tcPr>
          <w:p w:rsidR="007A4732" w:rsidRDefault="007A4732"/>
        </w:tc>
        <w:tc>
          <w:tcPr>
            <w:tcW w:w="1620" w:type="dxa"/>
          </w:tcPr>
          <w:p w:rsidR="007A4732" w:rsidRDefault="007A4732"/>
        </w:tc>
        <w:tc>
          <w:tcPr>
            <w:tcW w:w="1620" w:type="dxa"/>
          </w:tcPr>
          <w:p w:rsidR="007A4732" w:rsidRDefault="007A4732"/>
        </w:tc>
        <w:tc>
          <w:tcPr>
            <w:tcW w:w="1620" w:type="dxa"/>
          </w:tcPr>
          <w:p w:rsidR="007A4732" w:rsidRDefault="007A4732"/>
        </w:tc>
        <w:tc>
          <w:tcPr>
            <w:tcW w:w="1620" w:type="dxa"/>
            <w:vAlign w:val="center"/>
          </w:tcPr>
          <w:p w:rsidR="007A4732" w:rsidRDefault="007A4732">
            <w:pPr>
              <w:jc w:val="right"/>
              <w:rPr>
                <w:color w:val="000000"/>
                <w:sz w:val="22"/>
                <w:szCs w:val="22"/>
              </w:rPr>
            </w:pPr>
            <w:r>
              <w:rPr>
                <w:rFonts w:hint="eastAsia"/>
                <w:color w:val="000000"/>
                <w:sz w:val="22"/>
                <w:szCs w:val="22"/>
              </w:rPr>
              <w:t>1,774.11</w:t>
            </w:r>
          </w:p>
        </w:tc>
      </w:tr>
    </w:tbl>
    <w:p w:rsidR="00FD5607" w:rsidRDefault="00FD5607">
      <w:pPr>
        <w:textAlignment w:val="center"/>
        <w:rPr>
          <w:color w:val="000000"/>
          <w:sz w:val="22"/>
        </w:rPr>
        <w:sectPr w:rsidR="00FD5607">
          <w:pgSz w:w="16838" w:h="11906" w:orient="landscape"/>
          <w:pgMar w:top="720" w:right="873" w:bottom="720" w:left="720" w:header="720" w:footer="720" w:gutter="0"/>
          <w:cols w:space="720"/>
        </w:sectPr>
      </w:pPr>
    </w:p>
    <w:tbl>
      <w:tblPr>
        <w:tblW w:w="15365" w:type="dxa"/>
        <w:tblInd w:w="96" w:type="dxa"/>
        <w:tblLook w:val="04A0"/>
      </w:tblPr>
      <w:tblGrid>
        <w:gridCol w:w="1675"/>
        <w:gridCol w:w="231"/>
        <w:gridCol w:w="231"/>
        <w:gridCol w:w="2835"/>
        <w:gridCol w:w="1923"/>
        <w:gridCol w:w="1543"/>
        <w:gridCol w:w="1733"/>
        <w:gridCol w:w="1733"/>
        <w:gridCol w:w="1733"/>
        <w:gridCol w:w="1728"/>
      </w:tblGrid>
      <w:tr w:rsidR="00FD5607" w:rsidTr="00FD5607">
        <w:trPr>
          <w:trHeight w:val="384"/>
        </w:trPr>
        <w:tc>
          <w:tcPr>
            <w:tcW w:w="15365" w:type="dxa"/>
            <w:gridSpan w:val="10"/>
            <w:tcBorders>
              <w:top w:val="nil"/>
              <w:left w:val="nil"/>
              <w:bottom w:val="nil"/>
              <w:right w:val="nil"/>
              <w:tl2br w:val="nil"/>
              <w:tr2bl w:val="nil"/>
            </w:tcBorders>
            <w:noWrap/>
            <w:vAlign w:val="bottom"/>
          </w:tcPr>
          <w:p w:rsidR="00FD5607" w:rsidRDefault="00FD5607" w:rsidP="007479CE">
            <w:pPr>
              <w:jc w:val="center"/>
              <w:textAlignment w:val="bottom"/>
              <w:rPr>
                <w:color w:val="000000"/>
                <w:sz w:val="30"/>
                <w:szCs w:val="30"/>
              </w:rPr>
            </w:pPr>
            <w:r>
              <w:rPr>
                <w:rFonts w:hint="eastAsia"/>
                <w:color w:val="000000"/>
                <w:sz w:val="30"/>
                <w:szCs w:val="30"/>
              </w:rPr>
              <w:lastRenderedPageBreak/>
              <w:t>七</w:t>
            </w:r>
            <w:r>
              <w:rPr>
                <w:color w:val="000000"/>
                <w:sz w:val="30"/>
                <w:szCs w:val="30"/>
              </w:rPr>
              <w:t>、政府性基金预算财政拨款收入支出决算表</w:t>
            </w:r>
          </w:p>
        </w:tc>
      </w:tr>
      <w:tr w:rsidR="00FD5607" w:rsidTr="00FD5607">
        <w:trPr>
          <w:trHeight w:val="264"/>
        </w:trPr>
        <w:tc>
          <w:tcPr>
            <w:tcW w:w="0" w:type="auto"/>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0" w:type="auto"/>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0" w:type="auto"/>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0" w:type="auto"/>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1926" w:type="dxa"/>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1545" w:type="dxa"/>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0" w:type="auto"/>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0" w:type="auto"/>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0" w:type="auto"/>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1731" w:type="dxa"/>
            <w:tcBorders>
              <w:top w:val="nil"/>
              <w:left w:val="nil"/>
              <w:bottom w:val="nil"/>
              <w:right w:val="nil"/>
              <w:tl2br w:val="nil"/>
              <w:tr2bl w:val="nil"/>
            </w:tcBorders>
            <w:noWrap/>
            <w:vAlign w:val="bottom"/>
          </w:tcPr>
          <w:p w:rsidR="00FD5607" w:rsidRDefault="00FD5607" w:rsidP="007479CE">
            <w:pPr>
              <w:jc w:val="right"/>
              <w:textAlignment w:val="bottom"/>
              <w:rPr>
                <w:color w:val="000000"/>
                <w:sz w:val="20"/>
                <w:szCs w:val="20"/>
              </w:rPr>
            </w:pPr>
            <w:r>
              <w:rPr>
                <w:color w:val="000000"/>
                <w:sz w:val="20"/>
                <w:szCs w:val="20"/>
              </w:rPr>
              <w:t>公开08表</w:t>
            </w:r>
          </w:p>
        </w:tc>
      </w:tr>
      <w:tr w:rsidR="00FD5607" w:rsidTr="00FD5607">
        <w:trPr>
          <w:trHeight w:val="264"/>
        </w:trPr>
        <w:tc>
          <w:tcPr>
            <w:tcW w:w="0" w:type="auto"/>
            <w:tcBorders>
              <w:top w:val="nil"/>
              <w:left w:val="nil"/>
              <w:bottom w:val="nil"/>
              <w:right w:val="nil"/>
              <w:tl2br w:val="nil"/>
              <w:tr2bl w:val="nil"/>
            </w:tcBorders>
            <w:noWrap/>
            <w:vAlign w:val="bottom"/>
          </w:tcPr>
          <w:p w:rsidR="00FD5607" w:rsidRDefault="00FD5607" w:rsidP="007479CE">
            <w:pPr>
              <w:textAlignment w:val="bottom"/>
              <w:rPr>
                <w:color w:val="000000"/>
                <w:sz w:val="20"/>
                <w:szCs w:val="20"/>
              </w:rPr>
            </w:pPr>
            <w:r>
              <w:rPr>
                <w:color w:val="000000"/>
                <w:sz w:val="20"/>
                <w:szCs w:val="20"/>
              </w:rPr>
              <w:t>部门：吉首大学</w:t>
            </w:r>
          </w:p>
        </w:tc>
        <w:tc>
          <w:tcPr>
            <w:tcW w:w="0" w:type="auto"/>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0" w:type="auto"/>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0" w:type="auto"/>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1926" w:type="dxa"/>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1545" w:type="dxa"/>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0" w:type="auto"/>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0" w:type="auto"/>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0" w:type="auto"/>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1731" w:type="dxa"/>
            <w:tcBorders>
              <w:top w:val="nil"/>
              <w:left w:val="nil"/>
              <w:bottom w:val="nil"/>
              <w:right w:val="nil"/>
              <w:tl2br w:val="nil"/>
              <w:tr2bl w:val="nil"/>
            </w:tcBorders>
            <w:noWrap/>
            <w:vAlign w:val="bottom"/>
          </w:tcPr>
          <w:p w:rsidR="00FD5607" w:rsidRDefault="00FD5607" w:rsidP="007479CE">
            <w:pPr>
              <w:jc w:val="right"/>
              <w:textAlignment w:val="bottom"/>
              <w:rPr>
                <w:color w:val="000000"/>
                <w:sz w:val="20"/>
                <w:szCs w:val="20"/>
              </w:rPr>
            </w:pPr>
            <w:r>
              <w:rPr>
                <w:color w:val="000000"/>
                <w:sz w:val="20"/>
                <w:szCs w:val="20"/>
              </w:rPr>
              <w:t>金额单位：万元</w:t>
            </w:r>
          </w:p>
        </w:tc>
      </w:tr>
      <w:tr w:rsidR="00FD5607" w:rsidTr="00FD5607">
        <w:trPr>
          <w:trHeight w:val="308"/>
        </w:trPr>
        <w:tc>
          <w:tcPr>
            <w:tcW w:w="4955" w:type="dxa"/>
            <w:gridSpan w:val="4"/>
            <w:tcBorders>
              <w:top w:val="single" w:sz="4" w:space="0" w:color="000000"/>
              <w:left w:val="single" w:sz="4" w:space="0" w:color="000000"/>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项     目</w:t>
            </w:r>
          </w:p>
        </w:tc>
        <w:tc>
          <w:tcPr>
            <w:tcW w:w="1926" w:type="dxa"/>
            <w:vMerge w:val="restart"/>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年初结转和结余</w:t>
            </w:r>
          </w:p>
        </w:tc>
        <w:tc>
          <w:tcPr>
            <w:tcW w:w="1545" w:type="dxa"/>
            <w:vMerge w:val="restart"/>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本年收入</w:t>
            </w:r>
          </w:p>
        </w:tc>
        <w:tc>
          <w:tcPr>
            <w:tcW w:w="5208" w:type="dxa"/>
            <w:gridSpan w:val="3"/>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本年支出</w:t>
            </w:r>
          </w:p>
        </w:tc>
        <w:tc>
          <w:tcPr>
            <w:tcW w:w="1731" w:type="dxa"/>
            <w:vMerge w:val="restart"/>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年末结转和结余</w:t>
            </w:r>
          </w:p>
        </w:tc>
      </w:tr>
      <w:tr w:rsidR="00FD5607" w:rsidTr="00FD5607">
        <w:trPr>
          <w:trHeight w:val="848"/>
        </w:trPr>
        <w:tc>
          <w:tcPr>
            <w:tcW w:w="2150" w:type="dxa"/>
            <w:gridSpan w:val="3"/>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功能分类科目编码</w:t>
            </w:r>
          </w:p>
        </w:tc>
        <w:tc>
          <w:tcPr>
            <w:tcW w:w="2805" w:type="dxa"/>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科目名称</w:t>
            </w:r>
          </w:p>
        </w:tc>
        <w:tc>
          <w:tcPr>
            <w:tcW w:w="1926"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rPr>
                <w:color w:val="000000"/>
                <w:sz w:val="22"/>
              </w:rPr>
            </w:pPr>
          </w:p>
        </w:tc>
        <w:tc>
          <w:tcPr>
            <w:tcW w:w="1545"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rPr>
                <w:color w:val="000000"/>
                <w:sz w:val="22"/>
              </w:rPr>
            </w:pPr>
          </w:p>
        </w:tc>
        <w:tc>
          <w:tcPr>
            <w:tcW w:w="1736" w:type="dxa"/>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小计</w:t>
            </w:r>
          </w:p>
        </w:tc>
        <w:tc>
          <w:tcPr>
            <w:tcW w:w="1736" w:type="dxa"/>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基本支出</w:t>
            </w:r>
          </w:p>
        </w:tc>
        <w:tc>
          <w:tcPr>
            <w:tcW w:w="1736" w:type="dxa"/>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项目支出</w:t>
            </w:r>
          </w:p>
        </w:tc>
        <w:tc>
          <w:tcPr>
            <w:tcW w:w="1731" w:type="dxa"/>
            <w:vMerge/>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rPr>
                <w:color w:val="000000"/>
                <w:sz w:val="22"/>
              </w:rPr>
            </w:pPr>
          </w:p>
        </w:tc>
      </w:tr>
      <w:tr w:rsidR="00FD5607" w:rsidTr="00FD5607">
        <w:trPr>
          <w:trHeight w:val="308"/>
        </w:trPr>
        <w:tc>
          <w:tcPr>
            <w:tcW w:w="4955" w:type="dxa"/>
            <w:gridSpan w:val="4"/>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栏  次</w:t>
            </w:r>
          </w:p>
        </w:tc>
        <w:tc>
          <w:tcPr>
            <w:tcW w:w="1926" w:type="dxa"/>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1</w:t>
            </w:r>
          </w:p>
        </w:tc>
        <w:tc>
          <w:tcPr>
            <w:tcW w:w="1545" w:type="dxa"/>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2</w:t>
            </w:r>
          </w:p>
        </w:tc>
        <w:tc>
          <w:tcPr>
            <w:tcW w:w="0" w:type="auto"/>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3</w:t>
            </w:r>
          </w:p>
        </w:tc>
        <w:tc>
          <w:tcPr>
            <w:tcW w:w="0" w:type="auto"/>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4</w:t>
            </w:r>
          </w:p>
        </w:tc>
        <w:tc>
          <w:tcPr>
            <w:tcW w:w="0" w:type="auto"/>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5</w:t>
            </w:r>
          </w:p>
        </w:tc>
        <w:tc>
          <w:tcPr>
            <w:tcW w:w="1731" w:type="dxa"/>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6</w:t>
            </w:r>
          </w:p>
        </w:tc>
      </w:tr>
      <w:tr w:rsidR="00FD5607" w:rsidTr="00FD5607">
        <w:trPr>
          <w:trHeight w:val="308"/>
        </w:trPr>
        <w:tc>
          <w:tcPr>
            <w:tcW w:w="4955" w:type="dxa"/>
            <w:gridSpan w:val="4"/>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合  计</w:t>
            </w:r>
          </w:p>
        </w:tc>
        <w:tc>
          <w:tcPr>
            <w:tcW w:w="1926"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b/>
                <w:color w:val="000000"/>
                <w:sz w:val="22"/>
              </w:rPr>
            </w:pPr>
          </w:p>
        </w:tc>
        <w:tc>
          <w:tcPr>
            <w:tcW w:w="1545"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b/>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b/>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b/>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b/>
                <w:color w:val="000000"/>
                <w:sz w:val="22"/>
              </w:rPr>
            </w:pPr>
          </w:p>
        </w:tc>
        <w:tc>
          <w:tcPr>
            <w:tcW w:w="1731"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b/>
                <w:color w:val="000000"/>
                <w:sz w:val="22"/>
              </w:rPr>
            </w:pPr>
          </w:p>
        </w:tc>
      </w:tr>
      <w:tr w:rsidR="00FD5607" w:rsidTr="00FD5607">
        <w:trPr>
          <w:trHeight w:val="308"/>
        </w:trPr>
        <w:tc>
          <w:tcPr>
            <w:tcW w:w="0" w:type="auto"/>
            <w:gridSpan w:val="3"/>
            <w:tcBorders>
              <w:top w:val="nil"/>
              <w:left w:val="single" w:sz="4" w:space="0" w:color="000000"/>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1926"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1545"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1731"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r>
      <w:tr w:rsidR="00FD5607" w:rsidTr="00FD5607">
        <w:trPr>
          <w:trHeight w:val="308"/>
        </w:trPr>
        <w:tc>
          <w:tcPr>
            <w:tcW w:w="0" w:type="auto"/>
            <w:gridSpan w:val="3"/>
            <w:tcBorders>
              <w:top w:val="nil"/>
              <w:left w:val="single" w:sz="4" w:space="0" w:color="000000"/>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1926"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1545"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1731"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r>
      <w:tr w:rsidR="00FD5607" w:rsidTr="00FD5607">
        <w:trPr>
          <w:trHeight w:val="308"/>
        </w:trPr>
        <w:tc>
          <w:tcPr>
            <w:tcW w:w="0" w:type="auto"/>
            <w:gridSpan w:val="3"/>
            <w:tcBorders>
              <w:top w:val="nil"/>
              <w:left w:val="single" w:sz="4" w:space="0" w:color="000000"/>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1926"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1545"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1731"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r>
      <w:tr w:rsidR="00FD5607" w:rsidTr="00FD5607">
        <w:trPr>
          <w:trHeight w:val="308"/>
        </w:trPr>
        <w:tc>
          <w:tcPr>
            <w:tcW w:w="0" w:type="auto"/>
            <w:gridSpan w:val="3"/>
            <w:tcBorders>
              <w:top w:val="nil"/>
              <w:left w:val="single" w:sz="4" w:space="0" w:color="000000"/>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1926"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1545"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1731"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r>
      <w:tr w:rsidR="00FD5607" w:rsidTr="00FD5607">
        <w:trPr>
          <w:trHeight w:val="308"/>
        </w:trPr>
        <w:tc>
          <w:tcPr>
            <w:tcW w:w="0" w:type="auto"/>
            <w:gridSpan w:val="3"/>
            <w:tcBorders>
              <w:top w:val="nil"/>
              <w:left w:val="single" w:sz="4" w:space="0" w:color="000000"/>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1926"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1545"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1731"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r>
      <w:tr w:rsidR="00FD5607" w:rsidTr="00FD5607">
        <w:trPr>
          <w:trHeight w:val="308"/>
        </w:trPr>
        <w:tc>
          <w:tcPr>
            <w:tcW w:w="0" w:type="auto"/>
            <w:gridSpan w:val="3"/>
            <w:tcBorders>
              <w:top w:val="nil"/>
              <w:left w:val="single" w:sz="4" w:space="0" w:color="000000"/>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1926"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1545"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0" w:type="auto"/>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1731"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r>
      <w:tr w:rsidR="00FD5607" w:rsidTr="00FD5607">
        <w:trPr>
          <w:trHeight w:val="308"/>
        </w:trPr>
        <w:tc>
          <w:tcPr>
            <w:tcW w:w="15365" w:type="dxa"/>
            <w:gridSpan w:val="10"/>
            <w:tcBorders>
              <w:top w:val="nil"/>
              <w:left w:val="nil"/>
              <w:bottom w:val="nil"/>
              <w:right w:val="nil"/>
              <w:tl2br w:val="nil"/>
              <w:tr2bl w:val="nil"/>
            </w:tcBorders>
            <w:noWrap/>
            <w:vAlign w:val="center"/>
          </w:tcPr>
          <w:p w:rsidR="00FD5607" w:rsidRDefault="00FD5607" w:rsidP="007479CE">
            <w:pPr>
              <w:textAlignment w:val="center"/>
              <w:rPr>
                <w:color w:val="000000"/>
                <w:sz w:val="22"/>
              </w:rPr>
            </w:pPr>
            <w:r>
              <w:rPr>
                <w:color w:val="000000"/>
                <w:sz w:val="22"/>
              </w:rPr>
              <w:t>注：本表反映部门本年度政府性基金预算财政拨款收入、支出及结转和结余情况。</w:t>
            </w:r>
          </w:p>
          <w:p w:rsidR="00FD5607" w:rsidRDefault="00FD5607" w:rsidP="007479CE">
            <w:pPr>
              <w:textAlignment w:val="center"/>
              <w:rPr>
                <w:color w:val="000000"/>
                <w:sz w:val="22"/>
              </w:rPr>
            </w:pPr>
          </w:p>
        </w:tc>
      </w:tr>
      <w:tr w:rsidR="00FD5607" w:rsidTr="00FD5607">
        <w:trPr>
          <w:trHeight w:val="308"/>
        </w:trPr>
        <w:tc>
          <w:tcPr>
            <w:tcW w:w="15365" w:type="dxa"/>
            <w:gridSpan w:val="10"/>
            <w:tcBorders>
              <w:top w:val="nil"/>
              <w:left w:val="nil"/>
              <w:bottom w:val="nil"/>
              <w:right w:val="nil"/>
              <w:tl2br w:val="nil"/>
              <w:tr2bl w:val="nil"/>
            </w:tcBorders>
            <w:noWrap/>
            <w:vAlign w:val="center"/>
          </w:tcPr>
          <w:p w:rsidR="00FD5607" w:rsidRDefault="00FD5607" w:rsidP="007479CE">
            <w:pPr>
              <w:textAlignment w:val="center"/>
              <w:rPr>
                <w:color w:val="000000"/>
                <w:sz w:val="22"/>
              </w:rPr>
            </w:pPr>
            <w:r>
              <w:rPr>
                <w:color w:val="000000"/>
                <w:sz w:val="22"/>
              </w:rPr>
              <w:t>说明：我单位没有政府性基金收入，也没有使用政府性基金安排的支出，故本表无数据。</w:t>
            </w:r>
          </w:p>
        </w:tc>
      </w:tr>
    </w:tbl>
    <w:p w:rsidR="00FD5607" w:rsidRDefault="00FD5607">
      <w:pPr>
        <w:textAlignment w:val="center"/>
        <w:rPr>
          <w:color w:val="000000"/>
          <w:sz w:val="22"/>
        </w:rPr>
        <w:sectPr w:rsidR="00FD5607">
          <w:pgSz w:w="16838" w:h="11906" w:orient="landscape"/>
          <w:pgMar w:top="720" w:right="873" w:bottom="720" w:left="720" w:header="720" w:footer="720" w:gutter="0"/>
          <w:cols w:space="720"/>
        </w:sectPr>
      </w:pPr>
    </w:p>
    <w:tbl>
      <w:tblPr>
        <w:tblW w:w="15292" w:type="dxa"/>
        <w:tblInd w:w="96" w:type="dxa"/>
        <w:tblLayout w:type="fixed"/>
        <w:tblLook w:val="04A0"/>
      </w:tblPr>
      <w:tblGrid>
        <w:gridCol w:w="2328"/>
        <w:gridCol w:w="319"/>
        <w:gridCol w:w="319"/>
        <w:gridCol w:w="3554"/>
        <w:gridCol w:w="2748"/>
        <w:gridCol w:w="2664"/>
        <w:gridCol w:w="1728"/>
        <w:gridCol w:w="1632"/>
      </w:tblGrid>
      <w:tr w:rsidR="00FD5607" w:rsidTr="00FD5607">
        <w:trPr>
          <w:trHeight w:val="384"/>
        </w:trPr>
        <w:tc>
          <w:tcPr>
            <w:tcW w:w="15292" w:type="dxa"/>
            <w:gridSpan w:val="8"/>
            <w:tcBorders>
              <w:top w:val="nil"/>
              <w:left w:val="nil"/>
              <w:bottom w:val="nil"/>
              <w:right w:val="nil"/>
              <w:tl2br w:val="nil"/>
              <w:tr2bl w:val="nil"/>
            </w:tcBorders>
            <w:noWrap/>
            <w:vAlign w:val="bottom"/>
          </w:tcPr>
          <w:p w:rsidR="00FD5607" w:rsidRDefault="00FD5607" w:rsidP="007479CE">
            <w:pPr>
              <w:jc w:val="center"/>
              <w:textAlignment w:val="bottom"/>
              <w:rPr>
                <w:color w:val="000000"/>
                <w:sz w:val="30"/>
                <w:szCs w:val="30"/>
              </w:rPr>
            </w:pPr>
            <w:r>
              <w:rPr>
                <w:rFonts w:hint="eastAsia"/>
                <w:color w:val="000000"/>
                <w:sz w:val="30"/>
                <w:szCs w:val="30"/>
              </w:rPr>
              <w:lastRenderedPageBreak/>
              <w:t>八</w:t>
            </w:r>
            <w:r>
              <w:rPr>
                <w:color w:val="000000"/>
                <w:sz w:val="30"/>
                <w:szCs w:val="30"/>
              </w:rPr>
              <w:t>、国有资本经营预算财政拨款支出决算表</w:t>
            </w:r>
          </w:p>
        </w:tc>
      </w:tr>
      <w:tr w:rsidR="00FD5607" w:rsidTr="00FD5607">
        <w:trPr>
          <w:trHeight w:val="264"/>
        </w:trPr>
        <w:tc>
          <w:tcPr>
            <w:tcW w:w="2328" w:type="dxa"/>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319" w:type="dxa"/>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319" w:type="dxa"/>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3554" w:type="dxa"/>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2748" w:type="dxa"/>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2664" w:type="dxa"/>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3360" w:type="dxa"/>
            <w:gridSpan w:val="2"/>
            <w:tcBorders>
              <w:top w:val="nil"/>
              <w:left w:val="nil"/>
              <w:bottom w:val="nil"/>
              <w:right w:val="nil"/>
              <w:tl2br w:val="nil"/>
              <w:tr2bl w:val="nil"/>
            </w:tcBorders>
            <w:noWrap/>
            <w:vAlign w:val="bottom"/>
          </w:tcPr>
          <w:p w:rsidR="00FD5607" w:rsidRDefault="00FD5607" w:rsidP="007479CE">
            <w:pPr>
              <w:jc w:val="right"/>
              <w:textAlignment w:val="bottom"/>
              <w:rPr>
                <w:color w:val="000000"/>
                <w:sz w:val="20"/>
                <w:szCs w:val="20"/>
              </w:rPr>
            </w:pPr>
            <w:r>
              <w:rPr>
                <w:color w:val="000000"/>
                <w:sz w:val="20"/>
                <w:szCs w:val="20"/>
              </w:rPr>
              <w:t>公开09表</w:t>
            </w:r>
          </w:p>
        </w:tc>
      </w:tr>
      <w:tr w:rsidR="00FD5607" w:rsidTr="00FD5607">
        <w:trPr>
          <w:trHeight w:val="264"/>
        </w:trPr>
        <w:tc>
          <w:tcPr>
            <w:tcW w:w="2328" w:type="dxa"/>
            <w:tcBorders>
              <w:top w:val="nil"/>
              <w:left w:val="nil"/>
              <w:bottom w:val="nil"/>
              <w:right w:val="nil"/>
              <w:tl2br w:val="nil"/>
              <w:tr2bl w:val="nil"/>
            </w:tcBorders>
            <w:noWrap/>
            <w:vAlign w:val="bottom"/>
          </w:tcPr>
          <w:p w:rsidR="00FD5607" w:rsidRDefault="00FD5607" w:rsidP="007479CE">
            <w:pPr>
              <w:textAlignment w:val="bottom"/>
              <w:rPr>
                <w:color w:val="000000"/>
                <w:sz w:val="20"/>
                <w:szCs w:val="20"/>
              </w:rPr>
            </w:pPr>
            <w:r>
              <w:rPr>
                <w:color w:val="000000"/>
                <w:sz w:val="20"/>
                <w:szCs w:val="20"/>
              </w:rPr>
              <w:t>部门：吉首大学</w:t>
            </w:r>
          </w:p>
        </w:tc>
        <w:tc>
          <w:tcPr>
            <w:tcW w:w="319" w:type="dxa"/>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319" w:type="dxa"/>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3554" w:type="dxa"/>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2748" w:type="dxa"/>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2664" w:type="dxa"/>
            <w:tcBorders>
              <w:top w:val="nil"/>
              <w:left w:val="nil"/>
              <w:bottom w:val="nil"/>
              <w:right w:val="nil"/>
              <w:tl2br w:val="nil"/>
              <w:tr2bl w:val="nil"/>
            </w:tcBorders>
            <w:noWrap/>
            <w:vAlign w:val="bottom"/>
          </w:tcPr>
          <w:p w:rsidR="00FD5607" w:rsidRDefault="00FD5607" w:rsidP="007479CE">
            <w:pPr>
              <w:rPr>
                <w:rFonts w:ascii="Arial" w:hAnsi="Arial" w:cs="Arial"/>
                <w:color w:val="000000"/>
                <w:sz w:val="20"/>
                <w:szCs w:val="20"/>
              </w:rPr>
            </w:pPr>
          </w:p>
        </w:tc>
        <w:tc>
          <w:tcPr>
            <w:tcW w:w="3360" w:type="dxa"/>
            <w:gridSpan w:val="2"/>
            <w:tcBorders>
              <w:top w:val="nil"/>
              <w:left w:val="nil"/>
              <w:bottom w:val="nil"/>
              <w:right w:val="nil"/>
              <w:tl2br w:val="nil"/>
              <w:tr2bl w:val="nil"/>
            </w:tcBorders>
            <w:noWrap/>
            <w:vAlign w:val="bottom"/>
          </w:tcPr>
          <w:p w:rsidR="00FD5607" w:rsidRDefault="00FD5607" w:rsidP="007479CE">
            <w:pPr>
              <w:jc w:val="right"/>
              <w:textAlignment w:val="bottom"/>
              <w:rPr>
                <w:color w:val="000000"/>
                <w:sz w:val="20"/>
                <w:szCs w:val="20"/>
              </w:rPr>
            </w:pPr>
            <w:r>
              <w:rPr>
                <w:color w:val="000000"/>
                <w:sz w:val="20"/>
                <w:szCs w:val="20"/>
              </w:rPr>
              <w:t>金额单位：万元</w:t>
            </w:r>
          </w:p>
        </w:tc>
      </w:tr>
      <w:tr w:rsidR="00FD5607" w:rsidTr="00FD5607">
        <w:trPr>
          <w:trHeight w:val="417"/>
        </w:trPr>
        <w:tc>
          <w:tcPr>
            <w:tcW w:w="6520" w:type="dxa"/>
            <w:gridSpan w:val="4"/>
            <w:tcBorders>
              <w:top w:val="single" w:sz="4" w:space="0" w:color="000000"/>
              <w:left w:val="single" w:sz="4" w:space="0" w:color="000000"/>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项目</w:t>
            </w:r>
          </w:p>
        </w:tc>
        <w:tc>
          <w:tcPr>
            <w:tcW w:w="8772" w:type="dxa"/>
            <w:gridSpan w:val="4"/>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本年支出</w:t>
            </w:r>
          </w:p>
        </w:tc>
      </w:tr>
      <w:tr w:rsidR="00FD5607" w:rsidTr="00FD5607">
        <w:trPr>
          <w:trHeight w:val="308"/>
        </w:trPr>
        <w:tc>
          <w:tcPr>
            <w:tcW w:w="2966" w:type="dxa"/>
            <w:gridSpan w:val="3"/>
            <w:vMerge w:val="restart"/>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功能分类科目编码</w:t>
            </w:r>
          </w:p>
        </w:tc>
        <w:tc>
          <w:tcPr>
            <w:tcW w:w="3554"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科目名称</w:t>
            </w:r>
          </w:p>
        </w:tc>
        <w:tc>
          <w:tcPr>
            <w:tcW w:w="2748"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合计</w:t>
            </w:r>
          </w:p>
        </w:tc>
        <w:tc>
          <w:tcPr>
            <w:tcW w:w="2664"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基本支出</w:t>
            </w:r>
          </w:p>
        </w:tc>
        <w:tc>
          <w:tcPr>
            <w:tcW w:w="3360" w:type="dxa"/>
            <w:gridSpan w:val="2"/>
            <w:vMerge w:val="restart"/>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项目支出</w:t>
            </w:r>
          </w:p>
        </w:tc>
      </w:tr>
      <w:tr w:rsidR="00FD5607" w:rsidTr="00FD5607">
        <w:trPr>
          <w:trHeight w:val="308"/>
        </w:trPr>
        <w:tc>
          <w:tcPr>
            <w:tcW w:w="2966" w:type="dxa"/>
            <w:gridSpan w:val="3"/>
            <w:vMerge/>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rPr>
                <w:color w:val="000000"/>
                <w:sz w:val="22"/>
              </w:rPr>
            </w:pPr>
          </w:p>
        </w:tc>
        <w:tc>
          <w:tcPr>
            <w:tcW w:w="3554" w:type="dxa"/>
            <w:vMerge/>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rPr>
                <w:color w:val="000000"/>
                <w:sz w:val="22"/>
              </w:rPr>
            </w:pPr>
          </w:p>
        </w:tc>
        <w:tc>
          <w:tcPr>
            <w:tcW w:w="2748" w:type="dxa"/>
            <w:vMerge/>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rPr>
                <w:color w:val="000000"/>
                <w:sz w:val="22"/>
              </w:rPr>
            </w:pPr>
          </w:p>
        </w:tc>
        <w:tc>
          <w:tcPr>
            <w:tcW w:w="2664" w:type="dxa"/>
            <w:vMerge/>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rPr>
                <w:color w:val="000000"/>
                <w:sz w:val="22"/>
              </w:rPr>
            </w:pPr>
          </w:p>
        </w:tc>
        <w:tc>
          <w:tcPr>
            <w:tcW w:w="3360" w:type="dxa"/>
            <w:gridSpan w:val="2"/>
            <w:vMerge/>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rPr>
                <w:color w:val="000000"/>
                <w:sz w:val="22"/>
              </w:rPr>
            </w:pPr>
          </w:p>
        </w:tc>
      </w:tr>
      <w:tr w:rsidR="00FD5607" w:rsidTr="00FD5607">
        <w:trPr>
          <w:trHeight w:val="315"/>
        </w:trPr>
        <w:tc>
          <w:tcPr>
            <w:tcW w:w="2966" w:type="dxa"/>
            <w:gridSpan w:val="3"/>
            <w:vMerge/>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rPr>
                <w:color w:val="000000"/>
                <w:sz w:val="22"/>
              </w:rPr>
            </w:pPr>
          </w:p>
        </w:tc>
        <w:tc>
          <w:tcPr>
            <w:tcW w:w="3554" w:type="dxa"/>
            <w:vMerge/>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rPr>
                <w:color w:val="000000"/>
                <w:sz w:val="22"/>
              </w:rPr>
            </w:pPr>
          </w:p>
        </w:tc>
        <w:tc>
          <w:tcPr>
            <w:tcW w:w="2748" w:type="dxa"/>
            <w:vMerge/>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rPr>
                <w:color w:val="000000"/>
                <w:sz w:val="22"/>
              </w:rPr>
            </w:pPr>
          </w:p>
        </w:tc>
        <w:tc>
          <w:tcPr>
            <w:tcW w:w="2664" w:type="dxa"/>
            <w:vMerge/>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rPr>
                <w:color w:val="000000"/>
                <w:sz w:val="22"/>
              </w:rPr>
            </w:pPr>
          </w:p>
        </w:tc>
        <w:tc>
          <w:tcPr>
            <w:tcW w:w="3360" w:type="dxa"/>
            <w:gridSpan w:val="2"/>
            <w:vMerge/>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rPr>
                <w:color w:val="000000"/>
                <w:sz w:val="22"/>
              </w:rPr>
            </w:pPr>
          </w:p>
        </w:tc>
      </w:tr>
      <w:tr w:rsidR="00FD5607" w:rsidTr="00FD5607">
        <w:trPr>
          <w:trHeight w:val="308"/>
        </w:trPr>
        <w:tc>
          <w:tcPr>
            <w:tcW w:w="6520" w:type="dxa"/>
            <w:gridSpan w:val="4"/>
            <w:tcBorders>
              <w:top w:val="nil"/>
              <w:left w:val="single" w:sz="4" w:space="0" w:color="000000"/>
              <w:bottom w:val="single" w:sz="4" w:space="0" w:color="000000"/>
              <w:right w:val="single" w:sz="4" w:space="0" w:color="000000"/>
              <w:tl2br w:val="nil"/>
              <w:tr2bl w:val="nil"/>
            </w:tcBorders>
            <w:shd w:val="clear" w:color="FFFFFF" w:fill="C0C0C0"/>
            <w:noWrap/>
            <w:vAlign w:val="bottom"/>
          </w:tcPr>
          <w:p w:rsidR="00FD5607" w:rsidRDefault="00FD5607" w:rsidP="007479CE">
            <w:pPr>
              <w:jc w:val="center"/>
              <w:textAlignment w:val="bottom"/>
              <w:rPr>
                <w:color w:val="000000"/>
                <w:sz w:val="22"/>
              </w:rPr>
            </w:pPr>
            <w:r>
              <w:rPr>
                <w:color w:val="000000"/>
                <w:sz w:val="22"/>
              </w:rPr>
              <w:t>栏次</w:t>
            </w:r>
          </w:p>
        </w:tc>
        <w:tc>
          <w:tcPr>
            <w:tcW w:w="2748" w:type="dxa"/>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3</w:t>
            </w:r>
          </w:p>
        </w:tc>
        <w:tc>
          <w:tcPr>
            <w:tcW w:w="2664" w:type="dxa"/>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rPr>
                <w:color w:val="000000"/>
                <w:sz w:val="20"/>
                <w:szCs w:val="20"/>
              </w:rPr>
            </w:pPr>
          </w:p>
        </w:tc>
        <w:tc>
          <w:tcPr>
            <w:tcW w:w="3360" w:type="dxa"/>
            <w:gridSpan w:val="2"/>
            <w:tcBorders>
              <w:top w:val="nil"/>
              <w:left w:val="nil"/>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rPr>
                <w:color w:val="000000"/>
                <w:sz w:val="20"/>
                <w:szCs w:val="20"/>
              </w:rPr>
            </w:pPr>
          </w:p>
        </w:tc>
      </w:tr>
      <w:tr w:rsidR="00FD5607" w:rsidTr="00FD5607">
        <w:trPr>
          <w:trHeight w:val="308"/>
        </w:trPr>
        <w:tc>
          <w:tcPr>
            <w:tcW w:w="6520" w:type="dxa"/>
            <w:gridSpan w:val="4"/>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FD5607" w:rsidRDefault="00FD5607" w:rsidP="007479CE">
            <w:pPr>
              <w:jc w:val="center"/>
              <w:textAlignment w:val="center"/>
              <w:rPr>
                <w:color w:val="000000"/>
                <w:sz w:val="22"/>
              </w:rPr>
            </w:pPr>
            <w:r>
              <w:rPr>
                <w:color w:val="000000"/>
                <w:sz w:val="22"/>
              </w:rPr>
              <w:t>合计</w:t>
            </w:r>
          </w:p>
        </w:tc>
        <w:tc>
          <w:tcPr>
            <w:tcW w:w="2748"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b/>
                <w:color w:val="000000"/>
                <w:sz w:val="22"/>
              </w:rPr>
            </w:pPr>
          </w:p>
        </w:tc>
        <w:tc>
          <w:tcPr>
            <w:tcW w:w="2664"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b/>
                <w:color w:val="000000"/>
                <w:sz w:val="20"/>
                <w:szCs w:val="20"/>
              </w:rPr>
            </w:pPr>
          </w:p>
        </w:tc>
        <w:tc>
          <w:tcPr>
            <w:tcW w:w="3360" w:type="dxa"/>
            <w:gridSpan w:val="2"/>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b/>
                <w:color w:val="000000"/>
                <w:sz w:val="20"/>
                <w:szCs w:val="20"/>
              </w:rPr>
            </w:pPr>
          </w:p>
        </w:tc>
      </w:tr>
      <w:tr w:rsidR="00FD5607" w:rsidTr="00FD5607">
        <w:trPr>
          <w:trHeight w:val="308"/>
        </w:trPr>
        <w:tc>
          <w:tcPr>
            <w:tcW w:w="2966" w:type="dxa"/>
            <w:gridSpan w:val="3"/>
            <w:tcBorders>
              <w:top w:val="nil"/>
              <w:left w:val="single" w:sz="4" w:space="0" w:color="000000"/>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3554" w:type="dxa"/>
            <w:tcBorders>
              <w:top w:val="nil"/>
              <w:left w:val="nil"/>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2748"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2664"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0"/>
                <w:szCs w:val="20"/>
              </w:rPr>
            </w:pPr>
          </w:p>
        </w:tc>
        <w:tc>
          <w:tcPr>
            <w:tcW w:w="3360" w:type="dxa"/>
            <w:gridSpan w:val="2"/>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0"/>
                <w:szCs w:val="20"/>
              </w:rPr>
            </w:pPr>
          </w:p>
        </w:tc>
      </w:tr>
      <w:tr w:rsidR="00FD5607" w:rsidTr="00FD5607">
        <w:trPr>
          <w:trHeight w:val="308"/>
        </w:trPr>
        <w:tc>
          <w:tcPr>
            <w:tcW w:w="2966" w:type="dxa"/>
            <w:gridSpan w:val="3"/>
            <w:tcBorders>
              <w:top w:val="nil"/>
              <w:left w:val="single" w:sz="4" w:space="0" w:color="000000"/>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3554" w:type="dxa"/>
            <w:tcBorders>
              <w:top w:val="nil"/>
              <w:left w:val="nil"/>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2748"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2664"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0"/>
                <w:szCs w:val="20"/>
              </w:rPr>
            </w:pPr>
          </w:p>
        </w:tc>
        <w:tc>
          <w:tcPr>
            <w:tcW w:w="3360" w:type="dxa"/>
            <w:gridSpan w:val="2"/>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0"/>
                <w:szCs w:val="20"/>
              </w:rPr>
            </w:pPr>
          </w:p>
        </w:tc>
      </w:tr>
      <w:tr w:rsidR="00FD5607" w:rsidTr="00FD5607">
        <w:trPr>
          <w:trHeight w:val="308"/>
        </w:trPr>
        <w:tc>
          <w:tcPr>
            <w:tcW w:w="2966" w:type="dxa"/>
            <w:gridSpan w:val="3"/>
            <w:tcBorders>
              <w:top w:val="nil"/>
              <w:left w:val="single" w:sz="4" w:space="0" w:color="000000"/>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3554" w:type="dxa"/>
            <w:tcBorders>
              <w:top w:val="nil"/>
              <w:left w:val="nil"/>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2748"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2664"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0"/>
                <w:szCs w:val="20"/>
              </w:rPr>
            </w:pPr>
          </w:p>
        </w:tc>
        <w:tc>
          <w:tcPr>
            <w:tcW w:w="3360" w:type="dxa"/>
            <w:gridSpan w:val="2"/>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0"/>
                <w:szCs w:val="20"/>
              </w:rPr>
            </w:pPr>
          </w:p>
        </w:tc>
      </w:tr>
      <w:tr w:rsidR="00FD5607" w:rsidTr="00FD5607">
        <w:trPr>
          <w:trHeight w:val="308"/>
        </w:trPr>
        <w:tc>
          <w:tcPr>
            <w:tcW w:w="2966" w:type="dxa"/>
            <w:gridSpan w:val="3"/>
            <w:tcBorders>
              <w:top w:val="nil"/>
              <w:left w:val="single" w:sz="4" w:space="0" w:color="000000"/>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3554" w:type="dxa"/>
            <w:tcBorders>
              <w:top w:val="nil"/>
              <w:left w:val="nil"/>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2748"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2664"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0"/>
                <w:szCs w:val="20"/>
              </w:rPr>
            </w:pPr>
          </w:p>
        </w:tc>
        <w:tc>
          <w:tcPr>
            <w:tcW w:w="3360" w:type="dxa"/>
            <w:gridSpan w:val="2"/>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0"/>
                <w:szCs w:val="20"/>
              </w:rPr>
            </w:pPr>
          </w:p>
        </w:tc>
      </w:tr>
      <w:tr w:rsidR="00FD5607" w:rsidTr="00FD5607">
        <w:trPr>
          <w:trHeight w:val="308"/>
        </w:trPr>
        <w:tc>
          <w:tcPr>
            <w:tcW w:w="2966" w:type="dxa"/>
            <w:gridSpan w:val="3"/>
            <w:tcBorders>
              <w:top w:val="nil"/>
              <w:left w:val="single" w:sz="4" w:space="0" w:color="000000"/>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3554" w:type="dxa"/>
            <w:tcBorders>
              <w:top w:val="nil"/>
              <w:left w:val="nil"/>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2748"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2664"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0"/>
                <w:szCs w:val="20"/>
              </w:rPr>
            </w:pPr>
          </w:p>
        </w:tc>
        <w:tc>
          <w:tcPr>
            <w:tcW w:w="3360" w:type="dxa"/>
            <w:gridSpan w:val="2"/>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0"/>
                <w:szCs w:val="20"/>
              </w:rPr>
            </w:pPr>
          </w:p>
        </w:tc>
      </w:tr>
      <w:tr w:rsidR="00FD5607" w:rsidTr="00FD5607">
        <w:trPr>
          <w:trHeight w:val="308"/>
        </w:trPr>
        <w:tc>
          <w:tcPr>
            <w:tcW w:w="2966" w:type="dxa"/>
            <w:gridSpan w:val="3"/>
            <w:tcBorders>
              <w:top w:val="nil"/>
              <w:left w:val="single" w:sz="4" w:space="0" w:color="000000"/>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3554" w:type="dxa"/>
            <w:tcBorders>
              <w:top w:val="nil"/>
              <w:left w:val="nil"/>
              <w:bottom w:val="single" w:sz="4" w:space="0" w:color="000000"/>
              <w:right w:val="single" w:sz="4" w:space="0" w:color="000000"/>
              <w:tl2br w:val="nil"/>
              <w:tr2bl w:val="nil"/>
            </w:tcBorders>
            <w:noWrap/>
            <w:vAlign w:val="center"/>
          </w:tcPr>
          <w:p w:rsidR="00FD5607" w:rsidRDefault="00FD5607" w:rsidP="007479CE">
            <w:pPr>
              <w:rPr>
                <w:color w:val="000000"/>
                <w:sz w:val="22"/>
              </w:rPr>
            </w:pPr>
          </w:p>
        </w:tc>
        <w:tc>
          <w:tcPr>
            <w:tcW w:w="2748"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2"/>
              </w:rPr>
            </w:pPr>
          </w:p>
        </w:tc>
        <w:tc>
          <w:tcPr>
            <w:tcW w:w="2664" w:type="dxa"/>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0"/>
                <w:szCs w:val="20"/>
              </w:rPr>
            </w:pPr>
          </w:p>
        </w:tc>
        <w:tc>
          <w:tcPr>
            <w:tcW w:w="3360" w:type="dxa"/>
            <w:gridSpan w:val="2"/>
            <w:tcBorders>
              <w:top w:val="nil"/>
              <w:left w:val="nil"/>
              <w:bottom w:val="single" w:sz="4" w:space="0" w:color="000000"/>
              <w:right w:val="single" w:sz="4" w:space="0" w:color="000000"/>
              <w:tl2br w:val="nil"/>
              <w:tr2bl w:val="nil"/>
            </w:tcBorders>
            <w:noWrap/>
            <w:vAlign w:val="center"/>
          </w:tcPr>
          <w:p w:rsidR="00FD5607" w:rsidRDefault="00FD5607" w:rsidP="007479CE">
            <w:pPr>
              <w:jc w:val="right"/>
              <w:rPr>
                <w:color w:val="000000"/>
                <w:sz w:val="20"/>
                <w:szCs w:val="20"/>
              </w:rPr>
            </w:pPr>
          </w:p>
        </w:tc>
      </w:tr>
      <w:tr w:rsidR="00FD5607" w:rsidTr="00FD5607">
        <w:trPr>
          <w:trHeight w:val="308"/>
        </w:trPr>
        <w:tc>
          <w:tcPr>
            <w:tcW w:w="9268" w:type="dxa"/>
            <w:gridSpan w:val="5"/>
            <w:tcBorders>
              <w:top w:val="nil"/>
              <w:left w:val="nil"/>
              <w:bottom w:val="nil"/>
              <w:right w:val="nil"/>
              <w:tl2br w:val="nil"/>
              <w:tr2bl w:val="nil"/>
            </w:tcBorders>
            <w:noWrap/>
            <w:vAlign w:val="center"/>
          </w:tcPr>
          <w:p w:rsidR="00FD5607" w:rsidRDefault="00FD5607" w:rsidP="007479CE">
            <w:pPr>
              <w:textAlignment w:val="center"/>
              <w:rPr>
                <w:color w:val="000000"/>
                <w:sz w:val="22"/>
              </w:rPr>
            </w:pPr>
            <w:r>
              <w:rPr>
                <w:color w:val="000000"/>
                <w:sz w:val="22"/>
              </w:rPr>
              <w:t>注：本表反映部门本年度国有资本经营预算财政拨款收入、支出及结转和结余情况。</w:t>
            </w:r>
          </w:p>
        </w:tc>
        <w:tc>
          <w:tcPr>
            <w:tcW w:w="2664" w:type="dxa"/>
            <w:tcBorders>
              <w:top w:val="nil"/>
              <w:left w:val="nil"/>
              <w:bottom w:val="nil"/>
              <w:right w:val="nil"/>
              <w:tl2br w:val="nil"/>
              <w:tr2bl w:val="nil"/>
            </w:tcBorders>
            <w:noWrap/>
            <w:vAlign w:val="center"/>
          </w:tcPr>
          <w:p w:rsidR="00FD5607" w:rsidRDefault="00FD5607" w:rsidP="007479CE">
            <w:pPr>
              <w:rPr>
                <w:color w:val="000000"/>
                <w:sz w:val="20"/>
                <w:szCs w:val="20"/>
              </w:rPr>
            </w:pPr>
          </w:p>
        </w:tc>
        <w:tc>
          <w:tcPr>
            <w:tcW w:w="3360" w:type="dxa"/>
            <w:gridSpan w:val="2"/>
            <w:tcBorders>
              <w:top w:val="nil"/>
              <w:left w:val="nil"/>
              <w:bottom w:val="nil"/>
              <w:right w:val="nil"/>
              <w:tl2br w:val="nil"/>
              <w:tr2bl w:val="nil"/>
            </w:tcBorders>
            <w:noWrap/>
            <w:vAlign w:val="center"/>
          </w:tcPr>
          <w:p w:rsidR="00FD5607" w:rsidRDefault="00FD5607" w:rsidP="007479CE">
            <w:pPr>
              <w:rPr>
                <w:color w:val="000000"/>
                <w:sz w:val="20"/>
                <w:szCs w:val="20"/>
              </w:rPr>
            </w:pPr>
          </w:p>
        </w:tc>
      </w:tr>
      <w:tr w:rsidR="00FD5607" w:rsidTr="00FD5607">
        <w:trPr>
          <w:trHeight w:val="308"/>
        </w:trPr>
        <w:tc>
          <w:tcPr>
            <w:tcW w:w="2328" w:type="dxa"/>
            <w:tcBorders>
              <w:top w:val="nil"/>
              <w:left w:val="nil"/>
              <w:bottom w:val="nil"/>
              <w:right w:val="nil"/>
              <w:tl2br w:val="nil"/>
              <w:tr2bl w:val="nil"/>
            </w:tcBorders>
            <w:noWrap/>
            <w:vAlign w:val="center"/>
          </w:tcPr>
          <w:p w:rsidR="00FD5607" w:rsidRDefault="00FD5607" w:rsidP="007479CE">
            <w:pPr>
              <w:rPr>
                <w:color w:val="000000"/>
                <w:sz w:val="22"/>
              </w:rPr>
            </w:pPr>
          </w:p>
        </w:tc>
        <w:tc>
          <w:tcPr>
            <w:tcW w:w="6940" w:type="dxa"/>
            <w:gridSpan w:val="4"/>
            <w:tcBorders>
              <w:top w:val="nil"/>
              <w:left w:val="nil"/>
              <w:bottom w:val="nil"/>
              <w:right w:val="nil"/>
              <w:tl2br w:val="nil"/>
              <w:tr2bl w:val="nil"/>
            </w:tcBorders>
            <w:noWrap/>
            <w:vAlign w:val="center"/>
          </w:tcPr>
          <w:p w:rsidR="00FD5607" w:rsidRDefault="00FD5607" w:rsidP="007479CE">
            <w:pPr>
              <w:rPr>
                <w:color w:val="000000"/>
                <w:sz w:val="22"/>
              </w:rPr>
            </w:pPr>
          </w:p>
        </w:tc>
        <w:tc>
          <w:tcPr>
            <w:tcW w:w="2664" w:type="dxa"/>
            <w:tcBorders>
              <w:top w:val="nil"/>
              <w:left w:val="nil"/>
              <w:bottom w:val="nil"/>
              <w:right w:val="nil"/>
              <w:tl2br w:val="nil"/>
              <w:tr2bl w:val="nil"/>
            </w:tcBorders>
            <w:noWrap/>
            <w:vAlign w:val="center"/>
          </w:tcPr>
          <w:p w:rsidR="00FD5607" w:rsidRDefault="00FD5607" w:rsidP="007479CE">
            <w:pPr>
              <w:rPr>
                <w:color w:val="000000"/>
                <w:sz w:val="20"/>
                <w:szCs w:val="20"/>
              </w:rPr>
            </w:pPr>
          </w:p>
        </w:tc>
        <w:tc>
          <w:tcPr>
            <w:tcW w:w="3360" w:type="dxa"/>
            <w:gridSpan w:val="2"/>
            <w:tcBorders>
              <w:top w:val="nil"/>
              <w:left w:val="nil"/>
              <w:bottom w:val="nil"/>
              <w:right w:val="nil"/>
              <w:tl2br w:val="nil"/>
              <w:tr2bl w:val="nil"/>
            </w:tcBorders>
            <w:noWrap/>
            <w:vAlign w:val="center"/>
          </w:tcPr>
          <w:p w:rsidR="00FD5607" w:rsidRDefault="00FD5607" w:rsidP="007479CE">
            <w:pPr>
              <w:rPr>
                <w:color w:val="000000"/>
                <w:sz w:val="20"/>
                <w:szCs w:val="20"/>
              </w:rPr>
            </w:pPr>
          </w:p>
        </w:tc>
      </w:tr>
      <w:tr w:rsidR="00FD5607" w:rsidTr="00FD5607">
        <w:trPr>
          <w:trHeight w:val="308"/>
        </w:trPr>
        <w:tc>
          <w:tcPr>
            <w:tcW w:w="15292" w:type="dxa"/>
            <w:gridSpan w:val="8"/>
            <w:tcBorders>
              <w:top w:val="nil"/>
              <w:left w:val="nil"/>
              <w:bottom w:val="nil"/>
              <w:right w:val="nil"/>
              <w:tl2br w:val="nil"/>
              <w:tr2bl w:val="nil"/>
            </w:tcBorders>
            <w:noWrap/>
            <w:vAlign w:val="center"/>
          </w:tcPr>
          <w:p w:rsidR="00FD5607" w:rsidRDefault="00FD5607" w:rsidP="007479CE">
            <w:pPr>
              <w:textAlignment w:val="center"/>
              <w:rPr>
                <w:color w:val="000000"/>
                <w:sz w:val="20"/>
                <w:szCs w:val="20"/>
              </w:rPr>
            </w:pPr>
            <w:r>
              <w:rPr>
                <w:color w:val="000000"/>
                <w:sz w:val="20"/>
                <w:szCs w:val="20"/>
              </w:rPr>
              <w:t>说明：我单位没有国有资本经营收入，也没有使用国有资本经营安排的支出，故本表无数据。</w:t>
            </w:r>
          </w:p>
        </w:tc>
      </w:tr>
      <w:tr w:rsidR="007A4732" w:rsidTr="00FD5607">
        <w:trPr>
          <w:gridAfter w:val="1"/>
          <w:wAfter w:w="1632" w:type="dxa"/>
          <w:trHeight w:val="308"/>
        </w:trPr>
        <w:tc>
          <w:tcPr>
            <w:tcW w:w="13660" w:type="dxa"/>
            <w:gridSpan w:val="7"/>
            <w:tcBorders>
              <w:top w:val="nil"/>
              <w:left w:val="nil"/>
              <w:bottom w:val="nil"/>
              <w:right w:val="nil"/>
              <w:tl2br w:val="nil"/>
              <w:tr2bl w:val="nil"/>
            </w:tcBorders>
            <w:noWrap/>
            <w:vAlign w:val="center"/>
          </w:tcPr>
          <w:p w:rsidR="007A4732" w:rsidRPr="00FD5607" w:rsidRDefault="007A4732">
            <w:pPr>
              <w:textAlignment w:val="center"/>
              <w:rPr>
                <w:color w:val="000000"/>
                <w:sz w:val="22"/>
              </w:rPr>
            </w:pPr>
          </w:p>
        </w:tc>
      </w:tr>
    </w:tbl>
    <w:p w:rsidR="00B87C8A" w:rsidRDefault="00B87C8A">
      <w:pPr>
        <w:spacing w:line="600" w:lineRule="exact"/>
        <w:jc w:val="center"/>
        <w:rPr>
          <w:rFonts w:ascii="黑体" w:eastAsia="黑体" w:hAnsi="Times New Roman" w:cs="黑体"/>
          <w:sz w:val="32"/>
          <w:szCs w:val="32"/>
        </w:rPr>
        <w:sectPr w:rsidR="00B87C8A">
          <w:pgSz w:w="16838" w:h="11906" w:orient="landscape"/>
          <w:pgMar w:top="720" w:right="873" w:bottom="720" w:left="720" w:header="720" w:footer="720" w:gutter="0"/>
          <w:cols w:space="720"/>
        </w:sectPr>
      </w:pPr>
    </w:p>
    <w:tbl>
      <w:tblPr>
        <w:tblW w:w="15244" w:type="dxa"/>
        <w:tblInd w:w="96" w:type="dxa"/>
        <w:tblLayout w:type="fixed"/>
        <w:tblLook w:val="04A0"/>
      </w:tblPr>
      <w:tblGrid>
        <w:gridCol w:w="988"/>
        <w:gridCol w:w="1176"/>
        <w:gridCol w:w="792"/>
        <w:gridCol w:w="1608"/>
        <w:gridCol w:w="1632"/>
        <w:gridCol w:w="1512"/>
        <w:gridCol w:w="776"/>
        <w:gridCol w:w="1296"/>
        <w:gridCol w:w="832"/>
        <w:gridCol w:w="1704"/>
        <w:gridCol w:w="1608"/>
        <w:gridCol w:w="1320"/>
      </w:tblGrid>
      <w:tr w:rsidR="00B87C8A">
        <w:trPr>
          <w:trHeight w:val="384"/>
        </w:trPr>
        <w:tc>
          <w:tcPr>
            <w:tcW w:w="15244" w:type="dxa"/>
            <w:gridSpan w:val="12"/>
            <w:tcBorders>
              <w:top w:val="nil"/>
              <w:left w:val="nil"/>
              <w:bottom w:val="nil"/>
              <w:right w:val="nil"/>
              <w:tl2br w:val="nil"/>
              <w:tr2bl w:val="nil"/>
            </w:tcBorders>
            <w:noWrap/>
            <w:vAlign w:val="center"/>
          </w:tcPr>
          <w:p w:rsidR="00B87C8A" w:rsidRDefault="00FD5607">
            <w:pPr>
              <w:jc w:val="center"/>
              <w:textAlignment w:val="bottom"/>
              <w:rPr>
                <w:color w:val="000000"/>
                <w:sz w:val="30"/>
                <w:szCs w:val="30"/>
              </w:rPr>
            </w:pPr>
            <w:r>
              <w:rPr>
                <w:rFonts w:hint="eastAsia"/>
                <w:color w:val="000000"/>
                <w:sz w:val="30"/>
                <w:szCs w:val="30"/>
              </w:rPr>
              <w:lastRenderedPageBreak/>
              <w:t>九</w:t>
            </w:r>
            <w:r w:rsidR="002D1C8A">
              <w:rPr>
                <w:color w:val="000000"/>
                <w:sz w:val="30"/>
                <w:szCs w:val="30"/>
              </w:rPr>
              <w:t>、一般公共预算财政拨款“三公"经费支出决算表</w:t>
            </w:r>
          </w:p>
        </w:tc>
      </w:tr>
      <w:tr w:rsidR="00B87C8A">
        <w:trPr>
          <w:trHeight w:val="264"/>
        </w:trPr>
        <w:tc>
          <w:tcPr>
            <w:tcW w:w="988" w:type="dxa"/>
            <w:tcBorders>
              <w:top w:val="nil"/>
              <w:left w:val="nil"/>
              <w:bottom w:val="nil"/>
              <w:right w:val="nil"/>
              <w:tl2br w:val="nil"/>
              <w:tr2bl w:val="nil"/>
            </w:tcBorders>
            <w:noWrap/>
            <w:vAlign w:val="center"/>
          </w:tcPr>
          <w:p w:rsidR="00B87C8A" w:rsidRDefault="00B87C8A">
            <w:pPr>
              <w:jc w:val="center"/>
              <w:rPr>
                <w:rFonts w:ascii="Arial" w:hAnsi="Arial" w:cs="Arial"/>
                <w:color w:val="000000"/>
                <w:sz w:val="20"/>
                <w:szCs w:val="20"/>
              </w:rPr>
            </w:pPr>
          </w:p>
        </w:tc>
        <w:tc>
          <w:tcPr>
            <w:tcW w:w="1176" w:type="dxa"/>
            <w:tcBorders>
              <w:top w:val="nil"/>
              <w:left w:val="nil"/>
              <w:bottom w:val="nil"/>
              <w:right w:val="nil"/>
              <w:tl2br w:val="nil"/>
              <w:tr2bl w:val="nil"/>
            </w:tcBorders>
            <w:noWrap/>
            <w:vAlign w:val="center"/>
          </w:tcPr>
          <w:p w:rsidR="00B87C8A" w:rsidRDefault="00B87C8A">
            <w:pPr>
              <w:jc w:val="center"/>
              <w:rPr>
                <w:rFonts w:ascii="Arial" w:hAnsi="Arial" w:cs="Arial"/>
                <w:color w:val="000000"/>
                <w:sz w:val="20"/>
                <w:szCs w:val="20"/>
              </w:rPr>
            </w:pPr>
          </w:p>
        </w:tc>
        <w:tc>
          <w:tcPr>
            <w:tcW w:w="792" w:type="dxa"/>
            <w:tcBorders>
              <w:top w:val="nil"/>
              <w:left w:val="nil"/>
              <w:bottom w:val="nil"/>
              <w:right w:val="nil"/>
              <w:tl2br w:val="nil"/>
              <w:tr2bl w:val="nil"/>
            </w:tcBorders>
            <w:noWrap/>
            <w:vAlign w:val="center"/>
          </w:tcPr>
          <w:p w:rsidR="00B87C8A" w:rsidRDefault="00B87C8A">
            <w:pPr>
              <w:jc w:val="center"/>
              <w:rPr>
                <w:rFonts w:ascii="Arial" w:hAnsi="Arial" w:cs="Arial"/>
                <w:color w:val="000000"/>
                <w:sz w:val="20"/>
                <w:szCs w:val="20"/>
              </w:rPr>
            </w:pPr>
          </w:p>
        </w:tc>
        <w:tc>
          <w:tcPr>
            <w:tcW w:w="1608" w:type="dxa"/>
            <w:tcBorders>
              <w:top w:val="nil"/>
              <w:left w:val="nil"/>
              <w:bottom w:val="nil"/>
              <w:right w:val="nil"/>
              <w:tl2br w:val="nil"/>
              <w:tr2bl w:val="nil"/>
            </w:tcBorders>
            <w:noWrap/>
            <w:vAlign w:val="center"/>
          </w:tcPr>
          <w:p w:rsidR="00B87C8A" w:rsidRDefault="00B87C8A">
            <w:pPr>
              <w:jc w:val="center"/>
              <w:rPr>
                <w:rFonts w:ascii="Arial" w:hAnsi="Arial" w:cs="Arial"/>
                <w:color w:val="000000"/>
                <w:sz w:val="20"/>
                <w:szCs w:val="20"/>
              </w:rPr>
            </w:pPr>
          </w:p>
        </w:tc>
        <w:tc>
          <w:tcPr>
            <w:tcW w:w="1632" w:type="dxa"/>
            <w:tcBorders>
              <w:top w:val="nil"/>
              <w:left w:val="nil"/>
              <w:bottom w:val="nil"/>
              <w:right w:val="nil"/>
              <w:tl2br w:val="nil"/>
              <w:tr2bl w:val="nil"/>
            </w:tcBorders>
            <w:noWrap/>
            <w:vAlign w:val="center"/>
          </w:tcPr>
          <w:p w:rsidR="00B87C8A" w:rsidRDefault="00B87C8A">
            <w:pPr>
              <w:jc w:val="center"/>
              <w:rPr>
                <w:rFonts w:ascii="Arial" w:hAnsi="Arial" w:cs="Arial"/>
                <w:color w:val="000000"/>
                <w:sz w:val="20"/>
                <w:szCs w:val="20"/>
              </w:rPr>
            </w:pPr>
          </w:p>
        </w:tc>
        <w:tc>
          <w:tcPr>
            <w:tcW w:w="1512" w:type="dxa"/>
            <w:tcBorders>
              <w:top w:val="nil"/>
              <w:left w:val="nil"/>
              <w:bottom w:val="nil"/>
              <w:right w:val="nil"/>
              <w:tl2br w:val="nil"/>
              <w:tr2bl w:val="nil"/>
            </w:tcBorders>
            <w:noWrap/>
            <w:vAlign w:val="center"/>
          </w:tcPr>
          <w:p w:rsidR="00B87C8A" w:rsidRDefault="00B87C8A">
            <w:pPr>
              <w:jc w:val="center"/>
              <w:rPr>
                <w:rFonts w:ascii="Arial" w:hAnsi="Arial" w:cs="Arial"/>
                <w:color w:val="000000"/>
                <w:sz w:val="20"/>
                <w:szCs w:val="20"/>
              </w:rPr>
            </w:pPr>
          </w:p>
        </w:tc>
        <w:tc>
          <w:tcPr>
            <w:tcW w:w="776" w:type="dxa"/>
            <w:tcBorders>
              <w:top w:val="nil"/>
              <w:left w:val="nil"/>
              <w:bottom w:val="nil"/>
              <w:right w:val="nil"/>
              <w:tl2br w:val="nil"/>
              <w:tr2bl w:val="nil"/>
            </w:tcBorders>
            <w:noWrap/>
            <w:vAlign w:val="center"/>
          </w:tcPr>
          <w:p w:rsidR="00B87C8A" w:rsidRDefault="00B87C8A">
            <w:pPr>
              <w:jc w:val="center"/>
              <w:rPr>
                <w:rFonts w:ascii="Arial" w:hAnsi="Arial" w:cs="Arial"/>
                <w:color w:val="000000"/>
                <w:sz w:val="20"/>
                <w:szCs w:val="20"/>
              </w:rPr>
            </w:pPr>
          </w:p>
        </w:tc>
        <w:tc>
          <w:tcPr>
            <w:tcW w:w="1296" w:type="dxa"/>
            <w:tcBorders>
              <w:top w:val="nil"/>
              <w:left w:val="nil"/>
              <w:bottom w:val="nil"/>
              <w:right w:val="nil"/>
              <w:tl2br w:val="nil"/>
              <w:tr2bl w:val="nil"/>
            </w:tcBorders>
            <w:noWrap/>
            <w:vAlign w:val="center"/>
          </w:tcPr>
          <w:p w:rsidR="00B87C8A" w:rsidRDefault="00B87C8A">
            <w:pPr>
              <w:jc w:val="center"/>
              <w:rPr>
                <w:rFonts w:ascii="Arial" w:hAnsi="Arial" w:cs="Arial"/>
                <w:color w:val="000000"/>
                <w:sz w:val="20"/>
                <w:szCs w:val="20"/>
              </w:rPr>
            </w:pPr>
          </w:p>
        </w:tc>
        <w:tc>
          <w:tcPr>
            <w:tcW w:w="832" w:type="dxa"/>
            <w:tcBorders>
              <w:top w:val="nil"/>
              <w:left w:val="nil"/>
              <w:bottom w:val="nil"/>
              <w:right w:val="nil"/>
              <w:tl2br w:val="nil"/>
              <w:tr2bl w:val="nil"/>
            </w:tcBorders>
            <w:noWrap/>
            <w:vAlign w:val="center"/>
          </w:tcPr>
          <w:p w:rsidR="00B87C8A" w:rsidRDefault="00B87C8A">
            <w:pPr>
              <w:jc w:val="center"/>
              <w:rPr>
                <w:rFonts w:ascii="Arial" w:hAnsi="Arial" w:cs="Arial"/>
                <w:color w:val="000000"/>
                <w:sz w:val="20"/>
                <w:szCs w:val="20"/>
              </w:rPr>
            </w:pPr>
          </w:p>
        </w:tc>
        <w:tc>
          <w:tcPr>
            <w:tcW w:w="1704" w:type="dxa"/>
            <w:tcBorders>
              <w:top w:val="nil"/>
              <w:left w:val="nil"/>
              <w:bottom w:val="nil"/>
              <w:right w:val="nil"/>
              <w:tl2br w:val="nil"/>
              <w:tr2bl w:val="nil"/>
            </w:tcBorders>
            <w:noWrap/>
            <w:vAlign w:val="center"/>
          </w:tcPr>
          <w:p w:rsidR="00B87C8A" w:rsidRDefault="00B87C8A">
            <w:pPr>
              <w:jc w:val="center"/>
              <w:rPr>
                <w:rFonts w:ascii="Arial" w:hAnsi="Arial" w:cs="Arial"/>
                <w:color w:val="000000"/>
                <w:sz w:val="20"/>
                <w:szCs w:val="20"/>
              </w:rPr>
            </w:pPr>
          </w:p>
        </w:tc>
        <w:tc>
          <w:tcPr>
            <w:tcW w:w="1608" w:type="dxa"/>
            <w:tcBorders>
              <w:top w:val="nil"/>
              <w:left w:val="nil"/>
              <w:bottom w:val="nil"/>
              <w:right w:val="nil"/>
              <w:tl2br w:val="nil"/>
              <w:tr2bl w:val="nil"/>
            </w:tcBorders>
            <w:noWrap/>
            <w:vAlign w:val="center"/>
          </w:tcPr>
          <w:p w:rsidR="00B87C8A" w:rsidRDefault="00B87C8A">
            <w:pPr>
              <w:jc w:val="right"/>
              <w:rPr>
                <w:rFonts w:ascii="Arial" w:hAnsi="Arial" w:cs="Arial"/>
                <w:color w:val="000000"/>
                <w:sz w:val="20"/>
                <w:szCs w:val="20"/>
              </w:rPr>
            </w:pPr>
          </w:p>
        </w:tc>
        <w:tc>
          <w:tcPr>
            <w:tcW w:w="1320" w:type="dxa"/>
            <w:tcBorders>
              <w:top w:val="nil"/>
              <w:left w:val="nil"/>
              <w:bottom w:val="nil"/>
              <w:right w:val="nil"/>
              <w:tl2br w:val="nil"/>
              <w:tr2bl w:val="nil"/>
            </w:tcBorders>
            <w:noWrap/>
            <w:vAlign w:val="center"/>
          </w:tcPr>
          <w:p w:rsidR="00B87C8A" w:rsidRDefault="002D1C8A">
            <w:pPr>
              <w:jc w:val="right"/>
              <w:textAlignment w:val="bottom"/>
              <w:rPr>
                <w:color w:val="000000"/>
                <w:sz w:val="20"/>
                <w:szCs w:val="20"/>
              </w:rPr>
            </w:pPr>
            <w:r>
              <w:rPr>
                <w:color w:val="000000"/>
                <w:sz w:val="20"/>
                <w:szCs w:val="20"/>
              </w:rPr>
              <w:t>公开07表</w:t>
            </w:r>
          </w:p>
        </w:tc>
      </w:tr>
      <w:tr w:rsidR="00B87C8A">
        <w:trPr>
          <w:trHeight w:val="264"/>
        </w:trPr>
        <w:tc>
          <w:tcPr>
            <w:tcW w:w="2164" w:type="dxa"/>
            <w:gridSpan w:val="2"/>
            <w:tcBorders>
              <w:top w:val="nil"/>
              <w:left w:val="nil"/>
              <w:bottom w:val="nil"/>
              <w:right w:val="nil"/>
              <w:tl2br w:val="nil"/>
              <w:tr2bl w:val="nil"/>
            </w:tcBorders>
            <w:noWrap/>
            <w:vAlign w:val="center"/>
          </w:tcPr>
          <w:p w:rsidR="00B87C8A" w:rsidRDefault="002D1C8A">
            <w:pPr>
              <w:rPr>
                <w:rFonts w:ascii="Arial" w:hAnsi="Arial" w:cs="Arial"/>
                <w:color w:val="000000"/>
                <w:sz w:val="20"/>
                <w:szCs w:val="20"/>
              </w:rPr>
            </w:pPr>
            <w:r>
              <w:rPr>
                <w:color w:val="000000"/>
                <w:sz w:val="20"/>
                <w:szCs w:val="20"/>
              </w:rPr>
              <w:t>部门：吉首大学</w:t>
            </w:r>
          </w:p>
        </w:tc>
        <w:tc>
          <w:tcPr>
            <w:tcW w:w="792" w:type="dxa"/>
            <w:tcBorders>
              <w:top w:val="nil"/>
              <w:left w:val="nil"/>
              <w:bottom w:val="nil"/>
              <w:right w:val="nil"/>
              <w:tl2br w:val="nil"/>
              <w:tr2bl w:val="nil"/>
            </w:tcBorders>
            <w:noWrap/>
            <w:vAlign w:val="center"/>
          </w:tcPr>
          <w:p w:rsidR="00B87C8A" w:rsidRDefault="00B87C8A">
            <w:pPr>
              <w:jc w:val="center"/>
              <w:rPr>
                <w:rFonts w:ascii="Arial" w:hAnsi="Arial" w:cs="Arial"/>
                <w:color w:val="000000"/>
                <w:sz w:val="20"/>
                <w:szCs w:val="20"/>
              </w:rPr>
            </w:pPr>
          </w:p>
        </w:tc>
        <w:tc>
          <w:tcPr>
            <w:tcW w:w="1608" w:type="dxa"/>
            <w:tcBorders>
              <w:top w:val="nil"/>
              <w:left w:val="nil"/>
              <w:bottom w:val="nil"/>
              <w:right w:val="nil"/>
              <w:tl2br w:val="nil"/>
              <w:tr2bl w:val="nil"/>
            </w:tcBorders>
            <w:noWrap/>
            <w:vAlign w:val="center"/>
          </w:tcPr>
          <w:p w:rsidR="00B87C8A" w:rsidRDefault="00B87C8A">
            <w:pPr>
              <w:jc w:val="center"/>
              <w:rPr>
                <w:rFonts w:ascii="Arial" w:hAnsi="Arial" w:cs="Arial"/>
                <w:color w:val="000000"/>
                <w:sz w:val="20"/>
                <w:szCs w:val="20"/>
              </w:rPr>
            </w:pPr>
          </w:p>
        </w:tc>
        <w:tc>
          <w:tcPr>
            <w:tcW w:w="1632" w:type="dxa"/>
            <w:tcBorders>
              <w:top w:val="nil"/>
              <w:left w:val="nil"/>
              <w:bottom w:val="nil"/>
              <w:right w:val="nil"/>
              <w:tl2br w:val="nil"/>
              <w:tr2bl w:val="nil"/>
            </w:tcBorders>
            <w:noWrap/>
            <w:vAlign w:val="center"/>
          </w:tcPr>
          <w:p w:rsidR="00B87C8A" w:rsidRDefault="00B87C8A">
            <w:pPr>
              <w:jc w:val="center"/>
              <w:rPr>
                <w:rFonts w:ascii="Arial" w:hAnsi="Arial" w:cs="Arial"/>
                <w:color w:val="000000"/>
                <w:sz w:val="20"/>
                <w:szCs w:val="20"/>
              </w:rPr>
            </w:pPr>
          </w:p>
        </w:tc>
        <w:tc>
          <w:tcPr>
            <w:tcW w:w="1512" w:type="dxa"/>
            <w:tcBorders>
              <w:top w:val="nil"/>
              <w:left w:val="nil"/>
              <w:bottom w:val="nil"/>
              <w:right w:val="nil"/>
              <w:tl2br w:val="nil"/>
              <w:tr2bl w:val="nil"/>
            </w:tcBorders>
            <w:noWrap/>
            <w:vAlign w:val="center"/>
          </w:tcPr>
          <w:p w:rsidR="00B87C8A" w:rsidRDefault="00B87C8A">
            <w:pPr>
              <w:jc w:val="center"/>
              <w:rPr>
                <w:rFonts w:ascii="Arial" w:hAnsi="Arial" w:cs="Arial"/>
                <w:color w:val="000000"/>
                <w:sz w:val="20"/>
                <w:szCs w:val="20"/>
              </w:rPr>
            </w:pPr>
          </w:p>
        </w:tc>
        <w:tc>
          <w:tcPr>
            <w:tcW w:w="776" w:type="dxa"/>
            <w:tcBorders>
              <w:top w:val="nil"/>
              <w:left w:val="nil"/>
              <w:bottom w:val="nil"/>
              <w:right w:val="nil"/>
              <w:tl2br w:val="nil"/>
              <w:tr2bl w:val="nil"/>
            </w:tcBorders>
            <w:noWrap/>
            <w:vAlign w:val="center"/>
          </w:tcPr>
          <w:p w:rsidR="00B87C8A" w:rsidRDefault="00B87C8A">
            <w:pPr>
              <w:jc w:val="center"/>
              <w:rPr>
                <w:rFonts w:ascii="Arial" w:hAnsi="Arial" w:cs="Arial"/>
                <w:color w:val="000000"/>
                <w:sz w:val="20"/>
                <w:szCs w:val="20"/>
              </w:rPr>
            </w:pPr>
          </w:p>
        </w:tc>
        <w:tc>
          <w:tcPr>
            <w:tcW w:w="1296" w:type="dxa"/>
            <w:tcBorders>
              <w:top w:val="nil"/>
              <w:left w:val="nil"/>
              <w:bottom w:val="nil"/>
              <w:right w:val="nil"/>
              <w:tl2br w:val="nil"/>
              <w:tr2bl w:val="nil"/>
            </w:tcBorders>
            <w:noWrap/>
            <w:vAlign w:val="center"/>
          </w:tcPr>
          <w:p w:rsidR="00B87C8A" w:rsidRDefault="00B87C8A">
            <w:pPr>
              <w:jc w:val="center"/>
              <w:rPr>
                <w:rFonts w:ascii="Arial" w:hAnsi="Arial" w:cs="Arial"/>
                <w:color w:val="000000"/>
                <w:sz w:val="20"/>
                <w:szCs w:val="20"/>
              </w:rPr>
            </w:pPr>
          </w:p>
        </w:tc>
        <w:tc>
          <w:tcPr>
            <w:tcW w:w="832" w:type="dxa"/>
            <w:tcBorders>
              <w:top w:val="nil"/>
              <w:left w:val="nil"/>
              <w:bottom w:val="nil"/>
              <w:right w:val="nil"/>
              <w:tl2br w:val="nil"/>
              <w:tr2bl w:val="nil"/>
            </w:tcBorders>
            <w:noWrap/>
            <w:vAlign w:val="center"/>
          </w:tcPr>
          <w:p w:rsidR="00B87C8A" w:rsidRDefault="00B87C8A">
            <w:pPr>
              <w:jc w:val="center"/>
              <w:rPr>
                <w:rFonts w:ascii="Arial" w:hAnsi="Arial" w:cs="Arial"/>
                <w:color w:val="000000"/>
                <w:sz w:val="20"/>
                <w:szCs w:val="20"/>
              </w:rPr>
            </w:pPr>
          </w:p>
        </w:tc>
        <w:tc>
          <w:tcPr>
            <w:tcW w:w="1704" w:type="dxa"/>
            <w:tcBorders>
              <w:top w:val="nil"/>
              <w:left w:val="nil"/>
              <w:bottom w:val="nil"/>
              <w:right w:val="nil"/>
              <w:tl2br w:val="nil"/>
              <w:tr2bl w:val="nil"/>
            </w:tcBorders>
            <w:noWrap/>
            <w:vAlign w:val="center"/>
          </w:tcPr>
          <w:p w:rsidR="00B87C8A" w:rsidRDefault="00B87C8A">
            <w:pPr>
              <w:jc w:val="center"/>
              <w:rPr>
                <w:rFonts w:ascii="Arial" w:hAnsi="Arial" w:cs="Arial"/>
                <w:color w:val="000000"/>
                <w:sz w:val="20"/>
                <w:szCs w:val="20"/>
              </w:rPr>
            </w:pPr>
          </w:p>
        </w:tc>
        <w:tc>
          <w:tcPr>
            <w:tcW w:w="2928" w:type="dxa"/>
            <w:gridSpan w:val="2"/>
            <w:tcBorders>
              <w:top w:val="nil"/>
              <w:left w:val="nil"/>
              <w:bottom w:val="nil"/>
              <w:right w:val="nil"/>
              <w:tl2br w:val="nil"/>
              <w:tr2bl w:val="nil"/>
            </w:tcBorders>
            <w:noWrap/>
            <w:vAlign w:val="center"/>
          </w:tcPr>
          <w:p w:rsidR="00B87C8A" w:rsidRDefault="002D1C8A">
            <w:pPr>
              <w:jc w:val="right"/>
              <w:textAlignment w:val="bottom"/>
              <w:rPr>
                <w:color w:val="000000"/>
                <w:sz w:val="20"/>
                <w:szCs w:val="20"/>
              </w:rPr>
            </w:pPr>
            <w:r>
              <w:rPr>
                <w:color w:val="000000"/>
                <w:sz w:val="20"/>
                <w:szCs w:val="20"/>
              </w:rPr>
              <w:t>金额单位：万元</w:t>
            </w:r>
          </w:p>
        </w:tc>
      </w:tr>
      <w:tr w:rsidR="00B87C8A">
        <w:trPr>
          <w:trHeight w:val="447"/>
        </w:trPr>
        <w:tc>
          <w:tcPr>
            <w:tcW w:w="7708" w:type="dxa"/>
            <w:gridSpan w:val="6"/>
            <w:tcBorders>
              <w:top w:val="single" w:sz="4" w:space="0" w:color="000000"/>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预算数</w:t>
            </w:r>
          </w:p>
        </w:tc>
        <w:tc>
          <w:tcPr>
            <w:tcW w:w="7536" w:type="dxa"/>
            <w:gridSpan w:val="6"/>
            <w:tcBorders>
              <w:top w:val="single" w:sz="4" w:space="0" w:color="000000"/>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决算数</w:t>
            </w:r>
          </w:p>
        </w:tc>
      </w:tr>
      <w:tr w:rsidR="00B87C8A">
        <w:trPr>
          <w:trHeight w:val="555"/>
        </w:trPr>
        <w:tc>
          <w:tcPr>
            <w:tcW w:w="988" w:type="dxa"/>
            <w:vMerge w:val="restart"/>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合计</w:t>
            </w:r>
          </w:p>
        </w:tc>
        <w:tc>
          <w:tcPr>
            <w:tcW w:w="1176"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因公出国（境）费</w:t>
            </w:r>
          </w:p>
        </w:tc>
        <w:tc>
          <w:tcPr>
            <w:tcW w:w="4032" w:type="dxa"/>
            <w:gridSpan w:val="3"/>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公务用车购置及运行费</w:t>
            </w:r>
          </w:p>
        </w:tc>
        <w:tc>
          <w:tcPr>
            <w:tcW w:w="1512"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公务接待费</w:t>
            </w:r>
          </w:p>
        </w:tc>
        <w:tc>
          <w:tcPr>
            <w:tcW w:w="776"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合计</w:t>
            </w:r>
          </w:p>
        </w:tc>
        <w:tc>
          <w:tcPr>
            <w:tcW w:w="1296"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因公出国（境）费</w:t>
            </w:r>
          </w:p>
        </w:tc>
        <w:tc>
          <w:tcPr>
            <w:tcW w:w="4144" w:type="dxa"/>
            <w:gridSpan w:val="3"/>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公务用车购置及运行费</w:t>
            </w:r>
          </w:p>
        </w:tc>
        <w:tc>
          <w:tcPr>
            <w:tcW w:w="1320" w:type="dxa"/>
            <w:vMerge w:val="restart"/>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公务接待费</w:t>
            </w:r>
          </w:p>
        </w:tc>
      </w:tr>
      <w:tr w:rsidR="00B87C8A">
        <w:trPr>
          <w:trHeight w:val="630"/>
        </w:trPr>
        <w:tc>
          <w:tcPr>
            <w:tcW w:w="988" w:type="dxa"/>
            <w:vMerge/>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B87C8A">
            <w:pPr>
              <w:rPr>
                <w:color w:val="000000"/>
                <w:sz w:val="22"/>
              </w:rPr>
            </w:pPr>
          </w:p>
        </w:tc>
        <w:tc>
          <w:tcPr>
            <w:tcW w:w="1176"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rPr>
                <w:color w:val="000000"/>
                <w:sz w:val="22"/>
              </w:rPr>
            </w:pPr>
          </w:p>
        </w:tc>
        <w:tc>
          <w:tcPr>
            <w:tcW w:w="792"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小计</w:t>
            </w:r>
          </w:p>
        </w:tc>
        <w:tc>
          <w:tcPr>
            <w:tcW w:w="1608"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textAlignment w:val="center"/>
              <w:rPr>
                <w:color w:val="000000"/>
                <w:sz w:val="22"/>
              </w:rPr>
            </w:pPr>
            <w:r>
              <w:rPr>
                <w:color w:val="000000"/>
                <w:sz w:val="22"/>
              </w:rPr>
              <w:t>公务用车购置费</w:t>
            </w:r>
          </w:p>
        </w:tc>
        <w:tc>
          <w:tcPr>
            <w:tcW w:w="1632"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textAlignment w:val="center"/>
              <w:rPr>
                <w:color w:val="000000"/>
                <w:sz w:val="22"/>
              </w:rPr>
            </w:pPr>
            <w:r>
              <w:rPr>
                <w:color w:val="000000"/>
                <w:sz w:val="22"/>
              </w:rPr>
              <w:t>公务用车运行费</w:t>
            </w:r>
          </w:p>
        </w:tc>
        <w:tc>
          <w:tcPr>
            <w:tcW w:w="1512"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rPr>
                <w:color w:val="000000"/>
                <w:sz w:val="22"/>
              </w:rPr>
            </w:pPr>
          </w:p>
        </w:tc>
        <w:tc>
          <w:tcPr>
            <w:tcW w:w="776"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rPr>
                <w:color w:val="000000"/>
                <w:sz w:val="22"/>
              </w:rPr>
            </w:pPr>
          </w:p>
        </w:tc>
        <w:tc>
          <w:tcPr>
            <w:tcW w:w="1296"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rPr>
                <w:color w:val="000000"/>
                <w:sz w:val="22"/>
              </w:rPr>
            </w:pPr>
          </w:p>
        </w:tc>
        <w:tc>
          <w:tcPr>
            <w:tcW w:w="832"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2"/>
              </w:rPr>
            </w:pPr>
            <w:r>
              <w:rPr>
                <w:color w:val="000000"/>
                <w:sz w:val="22"/>
              </w:rPr>
              <w:t>小计</w:t>
            </w:r>
          </w:p>
        </w:tc>
        <w:tc>
          <w:tcPr>
            <w:tcW w:w="1704"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textAlignment w:val="center"/>
              <w:rPr>
                <w:color w:val="000000"/>
                <w:sz w:val="22"/>
              </w:rPr>
            </w:pPr>
            <w:r>
              <w:rPr>
                <w:color w:val="000000"/>
                <w:sz w:val="22"/>
              </w:rPr>
              <w:t>公务用车购置费</w:t>
            </w:r>
          </w:p>
        </w:tc>
        <w:tc>
          <w:tcPr>
            <w:tcW w:w="1608"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textAlignment w:val="center"/>
              <w:rPr>
                <w:color w:val="000000"/>
                <w:sz w:val="22"/>
              </w:rPr>
            </w:pPr>
            <w:r>
              <w:rPr>
                <w:color w:val="000000"/>
                <w:sz w:val="22"/>
              </w:rPr>
              <w:t>公务用车运行费</w:t>
            </w:r>
          </w:p>
        </w:tc>
        <w:tc>
          <w:tcPr>
            <w:tcW w:w="1320" w:type="dxa"/>
            <w:vMerge/>
            <w:tcBorders>
              <w:top w:val="nil"/>
              <w:left w:val="nil"/>
              <w:bottom w:val="single" w:sz="4" w:space="0" w:color="000000"/>
              <w:right w:val="single" w:sz="4" w:space="0" w:color="000000"/>
              <w:tl2br w:val="nil"/>
              <w:tr2bl w:val="nil"/>
            </w:tcBorders>
            <w:shd w:val="clear" w:color="FFFFFF" w:fill="C0C0C0"/>
            <w:noWrap/>
            <w:vAlign w:val="center"/>
          </w:tcPr>
          <w:p w:rsidR="00B87C8A" w:rsidRDefault="00B87C8A">
            <w:pPr>
              <w:rPr>
                <w:color w:val="000000"/>
                <w:sz w:val="22"/>
              </w:rPr>
            </w:pPr>
          </w:p>
        </w:tc>
      </w:tr>
      <w:tr w:rsidR="00B87C8A">
        <w:trPr>
          <w:trHeight w:val="308"/>
        </w:trPr>
        <w:tc>
          <w:tcPr>
            <w:tcW w:w="988" w:type="dxa"/>
            <w:tcBorders>
              <w:top w:val="nil"/>
              <w:left w:val="single" w:sz="4" w:space="0" w:color="000000"/>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0"/>
                <w:szCs w:val="20"/>
              </w:rPr>
            </w:pPr>
            <w:r>
              <w:rPr>
                <w:color w:val="000000"/>
                <w:sz w:val="20"/>
                <w:szCs w:val="20"/>
              </w:rPr>
              <w:t>1</w:t>
            </w:r>
          </w:p>
        </w:tc>
        <w:tc>
          <w:tcPr>
            <w:tcW w:w="1176"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0"/>
                <w:szCs w:val="20"/>
              </w:rPr>
            </w:pPr>
            <w:r>
              <w:rPr>
                <w:color w:val="000000"/>
                <w:sz w:val="20"/>
                <w:szCs w:val="20"/>
              </w:rPr>
              <w:t>2</w:t>
            </w:r>
          </w:p>
        </w:tc>
        <w:tc>
          <w:tcPr>
            <w:tcW w:w="792"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0"/>
                <w:szCs w:val="20"/>
              </w:rPr>
            </w:pPr>
            <w:r>
              <w:rPr>
                <w:color w:val="000000"/>
                <w:sz w:val="20"/>
                <w:szCs w:val="20"/>
              </w:rPr>
              <w:t>3</w:t>
            </w:r>
          </w:p>
        </w:tc>
        <w:tc>
          <w:tcPr>
            <w:tcW w:w="1608"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0"/>
                <w:szCs w:val="20"/>
              </w:rPr>
            </w:pPr>
            <w:r>
              <w:rPr>
                <w:color w:val="000000"/>
                <w:sz w:val="20"/>
                <w:szCs w:val="20"/>
              </w:rPr>
              <w:t>4</w:t>
            </w:r>
          </w:p>
        </w:tc>
        <w:tc>
          <w:tcPr>
            <w:tcW w:w="1632"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0"/>
                <w:szCs w:val="20"/>
              </w:rPr>
            </w:pPr>
            <w:r>
              <w:rPr>
                <w:color w:val="000000"/>
                <w:sz w:val="20"/>
                <w:szCs w:val="20"/>
              </w:rPr>
              <w:t>5</w:t>
            </w:r>
          </w:p>
        </w:tc>
        <w:tc>
          <w:tcPr>
            <w:tcW w:w="1512"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0"/>
                <w:szCs w:val="20"/>
              </w:rPr>
            </w:pPr>
            <w:r>
              <w:rPr>
                <w:color w:val="000000"/>
                <w:sz w:val="20"/>
                <w:szCs w:val="20"/>
              </w:rPr>
              <w:t>6</w:t>
            </w:r>
          </w:p>
        </w:tc>
        <w:tc>
          <w:tcPr>
            <w:tcW w:w="776"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0"/>
                <w:szCs w:val="20"/>
              </w:rPr>
            </w:pPr>
            <w:r>
              <w:rPr>
                <w:color w:val="000000"/>
                <w:sz w:val="20"/>
                <w:szCs w:val="20"/>
              </w:rPr>
              <w:t>7</w:t>
            </w:r>
          </w:p>
        </w:tc>
        <w:tc>
          <w:tcPr>
            <w:tcW w:w="1296"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0"/>
                <w:szCs w:val="20"/>
              </w:rPr>
            </w:pPr>
            <w:r>
              <w:rPr>
                <w:color w:val="000000"/>
                <w:sz w:val="20"/>
                <w:szCs w:val="20"/>
              </w:rPr>
              <w:t>8</w:t>
            </w:r>
          </w:p>
        </w:tc>
        <w:tc>
          <w:tcPr>
            <w:tcW w:w="832"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0"/>
                <w:szCs w:val="20"/>
              </w:rPr>
            </w:pPr>
            <w:r>
              <w:rPr>
                <w:color w:val="000000"/>
                <w:sz w:val="20"/>
                <w:szCs w:val="20"/>
              </w:rPr>
              <w:t>9</w:t>
            </w:r>
          </w:p>
        </w:tc>
        <w:tc>
          <w:tcPr>
            <w:tcW w:w="1704"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0"/>
                <w:szCs w:val="20"/>
              </w:rPr>
            </w:pPr>
            <w:r>
              <w:rPr>
                <w:color w:val="000000"/>
                <w:sz w:val="20"/>
                <w:szCs w:val="20"/>
              </w:rPr>
              <w:t>10</w:t>
            </w:r>
          </w:p>
        </w:tc>
        <w:tc>
          <w:tcPr>
            <w:tcW w:w="1608"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0"/>
                <w:szCs w:val="20"/>
              </w:rPr>
            </w:pPr>
            <w:r>
              <w:rPr>
                <w:color w:val="000000"/>
                <w:sz w:val="20"/>
                <w:szCs w:val="20"/>
              </w:rPr>
              <w:t>11</w:t>
            </w:r>
          </w:p>
        </w:tc>
        <w:tc>
          <w:tcPr>
            <w:tcW w:w="1320" w:type="dxa"/>
            <w:tcBorders>
              <w:top w:val="nil"/>
              <w:left w:val="nil"/>
              <w:bottom w:val="single" w:sz="4" w:space="0" w:color="000000"/>
              <w:right w:val="single" w:sz="4" w:space="0" w:color="000000"/>
              <w:tl2br w:val="nil"/>
              <w:tr2bl w:val="nil"/>
            </w:tcBorders>
            <w:shd w:val="clear" w:color="FFFFFF" w:fill="C0C0C0"/>
            <w:noWrap/>
            <w:vAlign w:val="center"/>
          </w:tcPr>
          <w:p w:rsidR="00B87C8A" w:rsidRDefault="002D1C8A">
            <w:pPr>
              <w:jc w:val="center"/>
              <w:textAlignment w:val="center"/>
              <w:rPr>
                <w:color w:val="000000"/>
                <w:sz w:val="20"/>
                <w:szCs w:val="20"/>
              </w:rPr>
            </w:pPr>
            <w:r>
              <w:rPr>
                <w:color w:val="000000"/>
                <w:sz w:val="20"/>
                <w:szCs w:val="20"/>
              </w:rPr>
              <w:t>12</w:t>
            </w:r>
          </w:p>
        </w:tc>
      </w:tr>
      <w:tr w:rsidR="00B87C8A">
        <w:trPr>
          <w:trHeight w:val="848"/>
        </w:trPr>
        <w:tc>
          <w:tcPr>
            <w:tcW w:w="988" w:type="dxa"/>
            <w:tcBorders>
              <w:top w:val="nil"/>
              <w:left w:val="single" w:sz="4" w:space="0" w:color="000000"/>
              <w:bottom w:val="single" w:sz="4" w:space="0" w:color="000000"/>
              <w:right w:val="single" w:sz="4" w:space="0" w:color="000000"/>
              <w:tl2br w:val="nil"/>
              <w:tr2bl w:val="nil"/>
            </w:tcBorders>
            <w:noWrap/>
            <w:vAlign w:val="center"/>
          </w:tcPr>
          <w:p w:rsidR="00B87C8A" w:rsidRDefault="0074685C">
            <w:pPr>
              <w:jc w:val="center"/>
              <w:textAlignment w:val="center"/>
              <w:rPr>
                <w:color w:val="000000"/>
                <w:sz w:val="22"/>
              </w:rPr>
            </w:pPr>
            <w:r>
              <w:rPr>
                <w:rFonts w:hint="eastAsia"/>
                <w:color w:val="000000"/>
                <w:sz w:val="22"/>
              </w:rPr>
              <w:t>25.26</w:t>
            </w:r>
          </w:p>
        </w:tc>
        <w:tc>
          <w:tcPr>
            <w:tcW w:w="1176" w:type="dxa"/>
            <w:tcBorders>
              <w:top w:val="nil"/>
              <w:left w:val="nil"/>
              <w:bottom w:val="single" w:sz="4" w:space="0" w:color="000000"/>
              <w:right w:val="single" w:sz="4" w:space="0" w:color="000000"/>
              <w:tl2br w:val="nil"/>
              <w:tr2bl w:val="nil"/>
            </w:tcBorders>
            <w:noWrap/>
            <w:vAlign w:val="center"/>
          </w:tcPr>
          <w:p w:rsidR="00B87C8A" w:rsidRDefault="00B87C8A">
            <w:pPr>
              <w:jc w:val="center"/>
              <w:textAlignment w:val="center"/>
              <w:rPr>
                <w:color w:val="000000"/>
                <w:sz w:val="22"/>
              </w:rPr>
            </w:pPr>
          </w:p>
        </w:tc>
        <w:tc>
          <w:tcPr>
            <w:tcW w:w="792" w:type="dxa"/>
            <w:tcBorders>
              <w:top w:val="nil"/>
              <w:left w:val="nil"/>
              <w:bottom w:val="single" w:sz="4" w:space="0" w:color="000000"/>
              <w:right w:val="single" w:sz="4" w:space="0" w:color="000000"/>
              <w:tl2br w:val="nil"/>
              <w:tr2bl w:val="nil"/>
            </w:tcBorders>
            <w:noWrap/>
            <w:vAlign w:val="center"/>
          </w:tcPr>
          <w:p w:rsidR="00B87C8A" w:rsidRDefault="00B87C8A">
            <w:pPr>
              <w:jc w:val="center"/>
              <w:rPr>
                <w:color w:val="000000"/>
                <w:sz w:val="22"/>
              </w:rPr>
            </w:pPr>
          </w:p>
        </w:tc>
        <w:tc>
          <w:tcPr>
            <w:tcW w:w="1608" w:type="dxa"/>
            <w:tcBorders>
              <w:top w:val="nil"/>
              <w:left w:val="nil"/>
              <w:bottom w:val="single" w:sz="4" w:space="0" w:color="000000"/>
              <w:right w:val="single" w:sz="4" w:space="0" w:color="000000"/>
              <w:tl2br w:val="nil"/>
              <w:tr2bl w:val="nil"/>
            </w:tcBorders>
            <w:noWrap/>
            <w:vAlign w:val="center"/>
          </w:tcPr>
          <w:p w:rsidR="00B87C8A" w:rsidRDefault="00B87C8A">
            <w:pPr>
              <w:jc w:val="center"/>
              <w:rPr>
                <w:color w:val="000000"/>
                <w:sz w:val="22"/>
              </w:rPr>
            </w:pPr>
          </w:p>
        </w:tc>
        <w:tc>
          <w:tcPr>
            <w:tcW w:w="1632" w:type="dxa"/>
            <w:tcBorders>
              <w:top w:val="nil"/>
              <w:left w:val="nil"/>
              <w:bottom w:val="single" w:sz="4" w:space="0" w:color="000000"/>
              <w:right w:val="single" w:sz="4" w:space="0" w:color="000000"/>
              <w:tl2br w:val="nil"/>
              <w:tr2bl w:val="nil"/>
            </w:tcBorders>
            <w:noWrap/>
            <w:vAlign w:val="center"/>
          </w:tcPr>
          <w:p w:rsidR="00B87C8A" w:rsidRDefault="00B87C8A">
            <w:pPr>
              <w:jc w:val="center"/>
              <w:rPr>
                <w:color w:val="000000"/>
                <w:sz w:val="22"/>
              </w:rPr>
            </w:pPr>
          </w:p>
        </w:tc>
        <w:tc>
          <w:tcPr>
            <w:tcW w:w="1512" w:type="dxa"/>
            <w:tcBorders>
              <w:top w:val="nil"/>
              <w:left w:val="nil"/>
              <w:bottom w:val="single" w:sz="4" w:space="0" w:color="000000"/>
              <w:right w:val="single" w:sz="4" w:space="0" w:color="000000"/>
              <w:tl2br w:val="nil"/>
              <w:tr2bl w:val="nil"/>
            </w:tcBorders>
            <w:noWrap/>
            <w:vAlign w:val="center"/>
          </w:tcPr>
          <w:p w:rsidR="00B87C8A" w:rsidRDefault="0074685C">
            <w:pPr>
              <w:jc w:val="center"/>
              <w:textAlignment w:val="center"/>
              <w:rPr>
                <w:color w:val="000000"/>
                <w:sz w:val="22"/>
              </w:rPr>
            </w:pPr>
            <w:r>
              <w:rPr>
                <w:rFonts w:hint="eastAsia"/>
                <w:color w:val="000000"/>
                <w:sz w:val="22"/>
              </w:rPr>
              <w:t>25.26</w:t>
            </w:r>
          </w:p>
        </w:tc>
        <w:tc>
          <w:tcPr>
            <w:tcW w:w="776" w:type="dxa"/>
            <w:tcBorders>
              <w:top w:val="nil"/>
              <w:left w:val="nil"/>
              <w:bottom w:val="single" w:sz="4" w:space="0" w:color="000000"/>
              <w:right w:val="single" w:sz="4" w:space="0" w:color="000000"/>
              <w:tl2br w:val="nil"/>
              <w:tr2bl w:val="nil"/>
            </w:tcBorders>
            <w:noWrap/>
            <w:vAlign w:val="center"/>
          </w:tcPr>
          <w:p w:rsidR="00B87C8A" w:rsidRDefault="0074685C">
            <w:pPr>
              <w:jc w:val="center"/>
              <w:textAlignment w:val="center"/>
              <w:rPr>
                <w:color w:val="000000"/>
                <w:sz w:val="22"/>
              </w:rPr>
            </w:pPr>
            <w:r>
              <w:rPr>
                <w:rFonts w:hint="eastAsia"/>
                <w:color w:val="000000"/>
                <w:sz w:val="22"/>
              </w:rPr>
              <w:t>25.26</w:t>
            </w:r>
          </w:p>
        </w:tc>
        <w:tc>
          <w:tcPr>
            <w:tcW w:w="1296" w:type="dxa"/>
            <w:tcBorders>
              <w:top w:val="nil"/>
              <w:left w:val="nil"/>
              <w:bottom w:val="single" w:sz="4" w:space="0" w:color="000000"/>
              <w:right w:val="single" w:sz="4" w:space="0" w:color="000000"/>
              <w:tl2br w:val="nil"/>
              <w:tr2bl w:val="nil"/>
            </w:tcBorders>
            <w:noWrap/>
            <w:vAlign w:val="center"/>
          </w:tcPr>
          <w:p w:rsidR="00B87C8A" w:rsidRDefault="00B87C8A">
            <w:pPr>
              <w:jc w:val="center"/>
              <w:rPr>
                <w:color w:val="000000"/>
                <w:sz w:val="22"/>
              </w:rPr>
            </w:pPr>
          </w:p>
        </w:tc>
        <w:tc>
          <w:tcPr>
            <w:tcW w:w="832" w:type="dxa"/>
            <w:tcBorders>
              <w:top w:val="nil"/>
              <w:left w:val="nil"/>
              <w:bottom w:val="single" w:sz="4" w:space="0" w:color="000000"/>
              <w:right w:val="single" w:sz="4" w:space="0" w:color="000000"/>
              <w:tl2br w:val="nil"/>
              <w:tr2bl w:val="nil"/>
            </w:tcBorders>
            <w:noWrap/>
            <w:vAlign w:val="center"/>
          </w:tcPr>
          <w:p w:rsidR="00B87C8A" w:rsidRDefault="00B87C8A">
            <w:pPr>
              <w:jc w:val="center"/>
              <w:rPr>
                <w:color w:val="000000"/>
                <w:sz w:val="20"/>
                <w:szCs w:val="20"/>
              </w:rPr>
            </w:pPr>
          </w:p>
        </w:tc>
        <w:tc>
          <w:tcPr>
            <w:tcW w:w="1704" w:type="dxa"/>
            <w:tcBorders>
              <w:top w:val="nil"/>
              <w:left w:val="nil"/>
              <w:bottom w:val="single" w:sz="4" w:space="0" w:color="000000"/>
              <w:right w:val="single" w:sz="4" w:space="0" w:color="000000"/>
              <w:tl2br w:val="nil"/>
              <w:tr2bl w:val="nil"/>
            </w:tcBorders>
            <w:noWrap/>
            <w:vAlign w:val="center"/>
          </w:tcPr>
          <w:p w:rsidR="00B87C8A" w:rsidRDefault="00B87C8A">
            <w:pPr>
              <w:jc w:val="center"/>
              <w:rPr>
                <w:color w:val="000000"/>
                <w:sz w:val="20"/>
                <w:szCs w:val="20"/>
              </w:rPr>
            </w:pPr>
          </w:p>
        </w:tc>
        <w:tc>
          <w:tcPr>
            <w:tcW w:w="1608" w:type="dxa"/>
            <w:tcBorders>
              <w:top w:val="nil"/>
              <w:left w:val="nil"/>
              <w:bottom w:val="single" w:sz="4" w:space="0" w:color="000000"/>
              <w:right w:val="single" w:sz="4" w:space="0" w:color="000000"/>
              <w:tl2br w:val="nil"/>
              <w:tr2bl w:val="nil"/>
            </w:tcBorders>
            <w:noWrap/>
            <w:vAlign w:val="center"/>
          </w:tcPr>
          <w:p w:rsidR="00B87C8A" w:rsidRDefault="00B87C8A">
            <w:pPr>
              <w:jc w:val="center"/>
              <w:rPr>
                <w:color w:val="000000"/>
                <w:sz w:val="20"/>
                <w:szCs w:val="20"/>
              </w:rPr>
            </w:pPr>
          </w:p>
        </w:tc>
        <w:tc>
          <w:tcPr>
            <w:tcW w:w="1320" w:type="dxa"/>
            <w:tcBorders>
              <w:top w:val="nil"/>
              <w:left w:val="nil"/>
              <w:bottom w:val="single" w:sz="4" w:space="0" w:color="000000"/>
              <w:right w:val="single" w:sz="4" w:space="0" w:color="000000"/>
              <w:tl2br w:val="nil"/>
              <w:tr2bl w:val="nil"/>
            </w:tcBorders>
            <w:noWrap/>
            <w:vAlign w:val="center"/>
          </w:tcPr>
          <w:p w:rsidR="00B87C8A" w:rsidRDefault="0074685C">
            <w:pPr>
              <w:jc w:val="center"/>
              <w:textAlignment w:val="center"/>
              <w:rPr>
                <w:color w:val="000000"/>
                <w:sz w:val="22"/>
              </w:rPr>
            </w:pPr>
            <w:r>
              <w:rPr>
                <w:rFonts w:hint="eastAsia"/>
                <w:color w:val="000000"/>
                <w:sz w:val="22"/>
              </w:rPr>
              <w:t>25.26</w:t>
            </w:r>
          </w:p>
        </w:tc>
      </w:tr>
      <w:tr w:rsidR="00B87C8A">
        <w:trPr>
          <w:trHeight w:val="585"/>
        </w:trPr>
        <w:tc>
          <w:tcPr>
            <w:tcW w:w="15244" w:type="dxa"/>
            <w:gridSpan w:val="12"/>
            <w:tcBorders>
              <w:top w:val="nil"/>
              <w:left w:val="nil"/>
              <w:bottom w:val="nil"/>
              <w:right w:val="nil"/>
              <w:tl2br w:val="nil"/>
              <w:tr2bl w:val="nil"/>
            </w:tcBorders>
            <w:noWrap/>
            <w:vAlign w:val="center"/>
          </w:tcPr>
          <w:p w:rsidR="00B87C8A" w:rsidRDefault="002D1C8A">
            <w:pPr>
              <w:textAlignment w:val="center"/>
              <w:rPr>
                <w:color w:val="000000"/>
                <w:sz w:val="22"/>
              </w:rPr>
            </w:pPr>
            <w:r>
              <w:rPr>
                <w:color w:val="000000"/>
                <w:sz w:val="22"/>
              </w:rPr>
              <w:t>注：本表反映部门本年度“三公”经费支出预决算情况。其中，预算数为“三公”经费全年预算数，反映按规定程序调整后的预算数；决算数是包括当年一般公共预算财政拨款和以前年度结转资金安排的实际支出。</w:t>
            </w:r>
          </w:p>
        </w:tc>
      </w:tr>
    </w:tbl>
    <w:p w:rsidR="00B87C8A" w:rsidRDefault="00B87C8A">
      <w:pPr>
        <w:spacing w:line="600" w:lineRule="exact"/>
        <w:jc w:val="center"/>
        <w:rPr>
          <w:rFonts w:ascii="黑体" w:eastAsia="黑体" w:hAnsi="Times New Roman" w:cs="黑体"/>
          <w:sz w:val="32"/>
          <w:szCs w:val="32"/>
        </w:rPr>
        <w:sectPr w:rsidR="00B87C8A">
          <w:pgSz w:w="16838" w:h="11906" w:orient="landscape"/>
          <w:pgMar w:top="720" w:right="873" w:bottom="720" w:left="720" w:header="720" w:footer="720" w:gutter="0"/>
          <w:cols w:space="720"/>
        </w:sectPr>
      </w:pPr>
    </w:p>
    <w:p w:rsidR="00B87C8A" w:rsidRDefault="00B87C8A">
      <w:pPr>
        <w:jc w:val="center"/>
        <w:rPr>
          <w:rFonts w:ascii="黑体" w:eastAsia="黑体" w:hAnsi="Times New Roman" w:cs="黑体"/>
          <w:sz w:val="84"/>
          <w:szCs w:val="84"/>
        </w:rPr>
      </w:pPr>
    </w:p>
    <w:p w:rsidR="00B87C8A" w:rsidRDefault="00B87C8A">
      <w:pPr>
        <w:jc w:val="center"/>
        <w:rPr>
          <w:rFonts w:ascii="黑体" w:eastAsia="黑体" w:hAnsi="Times New Roman" w:cs="黑体"/>
          <w:sz w:val="84"/>
          <w:szCs w:val="84"/>
        </w:rPr>
      </w:pPr>
    </w:p>
    <w:p w:rsidR="00B87C8A" w:rsidRDefault="00B87C8A">
      <w:pPr>
        <w:jc w:val="center"/>
        <w:rPr>
          <w:rFonts w:ascii="黑体" w:eastAsia="黑体" w:hAnsi="Times New Roman" w:cs="黑体"/>
          <w:sz w:val="56"/>
          <w:szCs w:val="56"/>
        </w:rPr>
      </w:pPr>
    </w:p>
    <w:p w:rsidR="00B87C8A" w:rsidRDefault="00B87C8A">
      <w:pPr>
        <w:jc w:val="center"/>
        <w:rPr>
          <w:rFonts w:ascii="黑体" w:eastAsia="黑体" w:hAnsi="Times New Roman" w:cs="黑体"/>
          <w:sz w:val="84"/>
          <w:szCs w:val="84"/>
        </w:rPr>
      </w:pPr>
    </w:p>
    <w:p w:rsidR="00B87C8A" w:rsidRDefault="002D1C8A">
      <w:pPr>
        <w:jc w:val="center"/>
        <w:rPr>
          <w:rFonts w:ascii="黑体" w:eastAsia="黑体" w:hAnsi="Times New Roman" w:cs="黑体"/>
          <w:sz w:val="84"/>
          <w:szCs w:val="84"/>
        </w:rPr>
      </w:pPr>
      <w:r>
        <w:rPr>
          <w:rFonts w:ascii="黑体" w:eastAsia="黑体" w:hAnsi="Times New Roman" w:cs="黑体"/>
          <w:sz w:val="84"/>
          <w:szCs w:val="84"/>
        </w:rPr>
        <w:t>第三部分</w:t>
      </w:r>
    </w:p>
    <w:p w:rsidR="00B87C8A" w:rsidRDefault="002D1C8A" w:rsidP="00F06E69">
      <w:pPr>
        <w:spacing w:beforeLines="100"/>
        <w:jc w:val="center"/>
        <w:rPr>
          <w:sz w:val="84"/>
          <w:szCs w:val="84"/>
        </w:rPr>
      </w:pPr>
      <w:r>
        <w:rPr>
          <w:rFonts w:ascii="黑体" w:eastAsia="黑体" w:hAnsi="Times New Roman" w:cs="黑体"/>
          <w:sz w:val="84"/>
          <w:szCs w:val="84"/>
          <w:lang w:val="zh-CN"/>
        </w:rPr>
        <w:t>吉首大学</w:t>
      </w:r>
      <w:r w:rsidR="00CA5E48">
        <w:rPr>
          <w:rFonts w:ascii="黑体" w:eastAsia="黑体" w:hAnsi="Times New Roman" w:cs="黑体"/>
          <w:sz w:val="84"/>
          <w:szCs w:val="84"/>
        </w:rPr>
        <w:t>202</w:t>
      </w:r>
      <w:r w:rsidR="00CA5E48">
        <w:rPr>
          <w:rFonts w:ascii="黑体" w:eastAsia="黑体" w:hAnsi="Times New Roman" w:cs="黑体" w:hint="eastAsia"/>
          <w:sz w:val="84"/>
          <w:szCs w:val="84"/>
        </w:rPr>
        <w:t>2</w:t>
      </w:r>
      <w:r>
        <w:rPr>
          <w:rFonts w:ascii="黑体" w:eastAsia="黑体" w:hAnsi="Times New Roman" w:cs="黑体"/>
          <w:sz w:val="84"/>
          <w:szCs w:val="84"/>
        </w:rPr>
        <w:t>年度部门决算情况说明</w:t>
      </w:r>
    </w:p>
    <w:p w:rsidR="00B87C8A" w:rsidRDefault="00B87C8A">
      <w:pPr>
        <w:rPr>
          <w:rFonts w:ascii="黑体" w:eastAsia="黑体" w:hAnsi="Times New Roman" w:cs="黑体"/>
          <w:sz w:val="32"/>
          <w:szCs w:val="32"/>
          <w:lang w:val="zh-CN"/>
        </w:rPr>
        <w:sectPr w:rsidR="00B87C8A">
          <w:pgSz w:w="12240" w:h="15840"/>
          <w:pgMar w:top="1440" w:right="1800" w:bottom="1440" w:left="1800" w:header="720" w:footer="720" w:gutter="0"/>
          <w:cols w:space="720"/>
        </w:sectPr>
      </w:pPr>
    </w:p>
    <w:p w:rsidR="00B87C8A" w:rsidRDefault="002D1C8A">
      <w:pPr>
        <w:spacing w:line="360" w:lineRule="auto"/>
        <w:ind w:firstLineChars="200" w:firstLine="640"/>
        <w:rPr>
          <w:sz w:val="32"/>
          <w:szCs w:val="32"/>
        </w:rPr>
      </w:pPr>
      <w:r>
        <w:rPr>
          <w:rFonts w:ascii="黑体" w:eastAsia="黑体" w:hAnsi="Times New Roman" w:cs="黑体"/>
          <w:sz w:val="32"/>
          <w:szCs w:val="32"/>
          <w:lang w:val="zh-CN"/>
        </w:rPr>
        <w:lastRenderedPageBreak/>
        <w:t>一、收入支出决算总体情况说明</w:t>
      </w:r>
    </w:p>
    <w:p w:rsidR="00C158FE" w:rsidRPr="00E764E7" w:rsidRDefault="00CA5E48" w:rsidP="00834D32">
      <w:pPr>
        <w:spacing w:line="360" w:lineRule="auto"/>
        <w:ind w:firstLineChars="200" w:firstLine="560"/>
        <w:rPr>
          <w:color w:val="000000" w:themeColor="text1"/>
          <w:sz w:val="28"/>
          <w:szCs w:val="28"/>
          <w:lang w:val="zh-CN"/>
        </w:rPr>
      </w:pPr>
      <w:r>
        <w:rPr>
          <w:sz w:val="28"/>
          <w:szCs w:val="28"/>
          <w:lang w:val="zh-CN"/>
        </w:rPr>
        <w:t>202</w:t>
      </w:r>
      <w:r>
        <w:rPr>
          <w:rFonts w:hint="eastAsia"/>
          <w:sz w:val="28"/>
          <w:szCs w:val="28"/>
          <w:lang w:val="zh-CN"/>
        </w:rPr>
        <w:t>2</w:t>
      </w:r>
      <w:r w:rsidR="002D1C8A">
        <w:rPr>
          <w:sz w:val="28"/>
          <w:szCs w:val="28"/>
          <w:lang w:val="zh-CN"/>
        </w:rPr>
        <w:t>年度收、支（含结转和结余）总计均为</w:t>
      </w:r>
      <w:r w:rsidR="007479CE" w:rsidRPr="007479CE">
        <w:rPr>
          <w:sz w:val="28"/>
          <w:szCs w:val="28"/>
          <w:lang w:val="zh-CN"/>
        </w:rPr>
        <w:t>83674.74</w:t>
      </w:r>
      <w:r w:rsidR="002D1C8A">
        <w:rPr>
          <w:sz w:val="28"/>
          <w:szCs w:val="28"/>
          <w:lang w:val="zh-CN"/>
        </w:rPr>
        <w:t>万元，与</w:t>
      </w:r>
      <w:r w:rsidR="00657CA8">
        <w:rPr>
          <w:sz w:val="28"/>
          <w:szCs w:val="28"/>
          <w:lang w:val="zh-CN"/>
        </w:rPr>
        <w:t>202</w:t>
      </w:r>
      <w:r w:rsidR="00657CA8">
        <w:rPr>
          <w:rFonts w:hint="eastAsia"/>
          <w:sz w:val="28"/>
          <w:szCs w:val="28"/>
          <w:lang w:val="zh-CN"/>
        </w:rPr>
        <w:t>1</w:t>
      </w:r>
      <w:r w:rsidR="002D1C8A">
        <w:rPr>
          <w:sz w:val="28"/>
          <w:szCs w:val="28"/>
          <w:lang w:val="zh-CN"/>
        </w:rPr>
        <w:t>年相比，收、支总计各增加</w:t>
      </w:r>
      <w:r w:rsidR="007479CE" w:rsidRPr="007479CE">
        <w:rPr>
          <w:sz w:val="28"/>
          <w:szCs w:val="28"/>
          <w:lang w:val="zh-CN"/>
        </w:rPr>
        <w:t>4897.93</w:t>
      </w:r>
      <w:r w:rsidR="002D1C8A">
        <w:rPr>
          <w:sz w:val="28"/>
          <w:szCs w:val="28"/>
          <w:lang w:val="zh-CN"/>
        </w:rPr>
        <w:t>万元，增长</w:t>
      </w:r>
      <w:r w:rsidR="007479CE" w:rsidRPr="007479CE">
        <w:rPr>
          <w:sz w:val="28"/>
          <w:szCs w:val="28"/>
          <w:lang w:val="zh-CN"/>
        </w:rPr>
        <w:t>6.22%</w:t>
      </w:r>
      <w:r w:rsidR="003F0F38">
        <w:rPr>
          <w:sz w:val="28"/>
          <w:szCs w:val="28"/>
          <w:lang w:val="zh-CN"/>
        </w:rPr>
        <w:t>。</w:t>
      </w:r>
      <w:r w:rsidR="003F0F38" w:rsidRPr="00F06E69">
        <w:rPr>
          <w:sz w:val="28"/>
          <w:szCs w:val="28"/>
          <w:lang w:val="zh-CN"/>
        </w:rPr>
        <w:t>主</w:t>
      </w:r>
      <w:r w:rsidR="003F0F38" w:rsidRPr="00E764E7">
        <w:rPr>
          <w:color w:val="000000" w:themeColor="text1"/>
          <w:sz w:val="28"/>
          <w:szCs w:val="28"/>
          <w:lang w:val="zh-CN"/>
        </w:rPr>
        <w:t>要原因</w:t>
      </w:r>
      <w:r w:rsidR="00A85AF5" w:rsidRPr="00E764E7">
        <w:rPr>
          <w:rFonts w:hint="eastAsia"/>
          <w:color w:val="000000" w:themeColor="text1"/>
          <w:sz w:val="28"/>
          <w:szCs w:val="28"/>
          <w:lang w:val="zh-CN"/>
        </w:rPr>
        <w:t>是</w:t>
      </w:r>
      <w:r w:rsidR="00931FE7" w:rsidRPr="00E764E7">
        <w:rPr>
          <w:color w:val="000000" w:themeColor="text1"/>
          <w:sz w:val="28"/>
          <w:szCs w:val="28"/>
          <w:lang w:val="zh-CN"/>
        </w:rPr>
        <w:t>2022年</w:t>
      </w:r>
      <w:r w:rsidR="00C158FE" w:rsidRPr="00E764E7">
        <w:rPr>
          <w:rFonts w:hint="eastAsia"/>
          <w:color w:val="000000" w:themeColor="text1"/>
          <w:sz w:val="28"/>
          <w:szCs w:val="28"/>
          <w:lang w:val="zh-CN"/>
        </w:rPr>
        <w:t>年初有大量财政拨款结转和结余，</w:t>
      </w:r>
      <w:r w:rsidR="00317683" w:rsidRPr="00E764E7">
        <w:rPr>
          <w:rFonts w:hint="eastAsia"/>
          <w:color w:val="000000" w:themeColor="text1"/>
          <w:sz w:val="28"/>
          <w:szCs w:val="28"/>
          <w:lang w:val="zh-CN"/>
        </w:rPr>
        <w:t>此外，</w:t>
      </w:r>
      <w:r w:rsidR="00C158FE" w:rsidRPr="00E764E7">
        <w:rPr>
          <w:color w:val="000000" w:themeColor="text1"/>
          <w:sz w:val="28"/>
          <w:szCs w:val="28"/>
          <w:lang w:val="zh-CN"/>
        </w:rPr>
        <w:t>学校</w:t>
      </w:r>
      <w:r w:rsidR="00C158FE" w:rsidRPr="00E764E7">
        <w:rPr>
          <w:rFonts w:hint="eastAsia"/>
          <w:color w:val="000000" w:themeColor="text1"/>
          <w:sz w:val="28"/>
          <w:szCs w:val="28"/>
          <w:lang w:val="zh-CN"/>
        </w:rPr>
        <w:t>招生规模</w:t>
      </w:r>
      <w:r w:rsidR="00C158FE" w:rsidRPr="00E764E7">
        <w:rPr>
          <w:color w:val="000000" w:themeColor="text1"/>
          <w:sz w:val="28"/>
          <w:szCs w:val="28"/>
          <w:lang w:val="zh-CN"/>
        </w:rPr>
        <w:t>扩</w:t>
      </w:r>
      <w:r w:rsidR="0024617C" w:rsidRPr="00E764E7">
        <w:rPr>
          <w:rFonts w:hint="eastAsia"/>
          <w:color w:val="000000" w:themeColor="text1"/>
          <w:sz w:val="28"/>
          <w:szCs w:val="28"/>
          <w:lang w:val="zh-CN"/>
        </w:rPr>
        <w:t>大</w:t>
      </w:r>
      <w:r w:rsidR="00834D32" w:rsidRPr="00E764E7">
        <w:rPr>
          <w:rFonts w:hint="eastAsia"/>
          <w:color w:val="000000" w:themeColor="text1"/>
          <w:sz w:val="28"/>
          <w:szCs w:val="28"/>
          <w:lang w:val="zh-CN"/>
        </w:rPr>
        <w:t>，</w:t>
      </w:r>
      <w:r w:rsidR="00E94A21" w:rsidRPr="00E764E7">
        <w:rPr>
          <w:rFonts w:hint="eastAsia"/>
          <w:color w:val="000000" w:themeColor="text1"/>
          <w:sz w:val="28"/>
          <w:szCs w:val="28"/>
          <w:lang w:val="zh-CN"/>
        </w:rPr>
        <w:t>教学活动、科研活动</w:t>
      </w:r>
      <w:r w:rsidR="00834D32" w:rsidRPr="00E764E7">
        <w:rPr>
          <w:rFonts w:hint="eastAsia"/>
          <w:color w:val="000000" w:themeColor="text1"/>
          <w:sz w:val="28"/>
          <w:szCs w:val="28"/>
          <w:lang w:val="zh-CN"/>
        </w:rPr>
        <w:t>以及相关管理建设等支出增多，</w:t>
      </w:r>
      <w:r w:rsidR="00C158FE" w:rsidRPr="00E764E7">
        <w:rPr>
          <w:rFonts w:hint="eastAsia"/>
          <w:color w:val="000000" w:themeColor="text1"/>
          <w:sz w:val="28"/>
          <w:szCs w:val="28"/>
          <w:lang w:val="zh-CN"/>
        </w:rPr>
        <w:t>事业收入以支定收，较上年有所增长。</w:t>
      </w:r>
    </w:p>
    <w:p w:rsidR="00B87C8A" w:rsidRDefault="002D1C8A">
      <w:pPr>
        <w:spacing w:line="360" w:lineRule="auto"/>
        <w:ind w:firstLineChars="200" w:firstLine="640"/>
        <w:rPr>
          <w:sz w:val="32"/>
          <w:szCs w:val="32"/>
        </w:rPr>
      </w:pPr>
      <w:r>
        <w:rPr>
          <w:rFonts w:ascii="黑体" w:eastAsia="黑体" w:hAnsi="Times New Roman" w:cs="黑体"/>
          <w:sz w:val="32"/>
          <w:szCs w:val="32"/>
        </w:rPr>
        <w:t>二、收入决算情况说明</w:t>
      </w:r>
    </w:p>
    <w:p w:rsidR="002D625C" w:rsidRDefault="002D625C" w:rsidP="002D625C">
      <w:pPr>
        <w:spacing w:line="360" w:lineRule="auto"/>
        <w:ind w:firstLineChars="200" w:firstLine="560"/>
        <w:rPr>
          <w:sz w:val="28"/>
          <w:szCs w:val="28"/>
          <w:lang w:val="zh-CN"/>
        </w:rPr>
      </w:pPr>
      <w:r w:rsidRPr="002D625C">
        <w:rPr>
          <w:sz w:val="28"/>
          <w:szCs w:val="28"/>
          <w:lang w:val="zh-CN"/>
        </w:rPr>
        <w:t>2022年度收入合计66019.59万元，其中：财政拨款收入41326.95万元，占62.6%；事业收入22026.96万元，占33.36%；其他收入2665.68万元，占4.04%。</w:t>
      </w:r>
    </w:p>
    <w:p w:rsidR="00B87C8A" w:rsidRPr="00CA5E48" w:rsidRDefault="002D1C8A" w:rsidP="002D625C">
      <w:pPr>
        <w:spacing w:line="360" w:lineRule="auto"/>
        <w:ind w:firstLineChars="200" w:firstLine="640"/>
        <w:rPr>
          <w:rFonts w:ascii="黑体" w:eastAsia="黑体" w:hAnsi="Times New Roman" w:cs="黑体"/>
          <w:sz w:val="32"/>
          <w:szCs w:val="32"/>
        </w:rPr>
      </w:pPr>
      <w:r w:rsidRPr="00CA5E48">
        <w:rPr>
          <w:rFonts w:ascii="黑体" w:eastAsia="黑体" w:hAnsi="Times New Roman" w:cs="黑体"/>
          <w:sz w:val="32"/>
          <w:szCs w:val="32"/>
        </w:rPr>
        <w:t>三、支出决算情况说明</w:t>
      </w:r>
    </w:p>
    <w:p w:rsidR="00B87C8A" w:rsidRPr="00CA5E48" w:rsidRDefault="00CA5E48" w:rsidP="002D1C8A">
      <w:pPr>
        <w:spacing w:line="360" w:lineRule="auto"/>
        <w:ind w:firstLineChars="200" w:firstLine="560"/>
        <w:rPr>
          <w:rFonts w:hAnsi="Times New Roman"/>
          <w:sz w:val="28"/>
          <w:szCs w:val="28"/>
        </w:rPr>
      </w:pPr>
      <w:r>
        <w:rPr>
          <w:rFonts w:hAnsi="Times New Roman"/>
          <w:sz w:val="28"/>
          <w:szCs w:val="28"/>
        </w:rPr>
        <w:t>202</w:t>
      </w:r>
      <w:r>
        <w:rPr>
          <w:rFonts w:hAnsi="Times New Roman" w:hint="eastAsia"/>
          <w:sz w:val="28"/>
          <w:szCs w:val="28"/>
        </w:rPr>
        <w:t>2</w:t>
      </w:r>
      <w:r w:rsidR="002D1C8A" w:rsidRPr="002D1C8A">
        <w:rPr>
          <w:rFonts w:hAnsi="Times New Roman"/>
          <w:sz w:val="28"/>
          <w:szCs w:val="28"/>
        </w:rPr>
        <w:t>年度支出合计</w:t>
      </w:r>
      <w:r w:rsidRPr="00CA5E48">
        <w:rPr>
          <w:rFonts w:hAnsi="Times New Roman"/>
          <w:sz w:val="28"/>
          <w:szCs w:val="28"/>
        </w:rPr>
        <w:t>65643.27</w:t>
      </w:r>
      <w:r w:rsidR="002D1C8A" w:rsidRPr="002D1C8A">
        <w:rPr>
          <w:rFonts w:hAnsi="Times New Roman"/>
          <w:sz w:val="28"/>
          <w:szCs w:val="28"/>
        </w:rPr>
        <w:t>万元，其中：基本支出</w:t>
      </w:r>
      <w:r w:rsidRPr="00CA5E48">
        <w:rPr>
          <w:rFonts w:hAnsi="Times New Roman"/>
          <w:sz w:val="28"/>
          <w:szCs w:val="28"/>
        </w:rPr>
        <w:t>39628.18</w:t>
      </w:r>
      <w:r w:rsidR="002D1C8A" w:rsidRPr="00CA5E48">
        <w:rPr>
          <w:rFonts w:hAnsi="Times New Roman"/>
          <w:sz w:val="28"/>
          <w:szCs w:val="28"/>
        </w:rPr>
        <w:t>万元，</w:t>
      </w:r>
      <w:r w:rsidR="002D1C8A" w:rsidRPr="002D1C8A">
        <w:rPr>
          <w:rFonts w:hAnsi="Times New Roman"/>
          <w:sz w:val="28"/>
          <w:szCs w:val="28"/>
        </w:rPr>
        <w:t>占</w:t>
      </w:r>
      <w:r w:rsidRPr="00CA5E48">
        <w:rPr>
          <w:rFonts w:hAnsi="Times New Roman"/>
          <w:sz w:val="28"/>
          <w:szCs w:val="28"/>
        </w:rPr>
        <w:t>60.37%</w:t>
      </w:r>
      <w:r w:rsidR="002D1C8A" w:rsidRPr="002D1C8A">
        <w:rPr>
          <w:rFonts w:hAnsi="Times New Roman"/>
          <w:sz w:val="28"/>
          <w:szCs w:val="28"/>
        </w:rPr>
        <w:t>；项目支出</w:t>
      </w:r>
      <w:r w:rsidRPr="00CA5E48">
        <w:rPr>
          <w:rFonts w:hAnsi="Times New Roman"/>
          <w:sz w:val="28"/>
          <w:szCs w:val="28"/>
        </w:rPr>
        <w:t>26015.09</w:t>
      </w:r>
      <w:r w:rsidR="002D1C8A" w:rsidRPr="002D1C8A">
        <w:rPr>
          <w:rFonts w:hAnsi="Times New Roman"/>
          <w:sz w:val="28"/>
          <w:szCs w:val="28"/>
        </w:rPr>
        <w:t>万元，占</w:t>
      </w:r>
      <w:r w:rsidRPr="00CA5E48">
        <w:rPr>
          <w:rFonts w:hAnsi="Times New Roman"/>
          <w:sz w:val="28"/>
          <w:szCs w:val="28"/>
        </w:rPr>
        <w:t>39.63%</w:t>
      </w:r>
      <w:r w:rsidR="002D1C8A" w:rsidRPr="002D1C8A">
        <w:rPr>
          <w:rFonts w:hAnsi="Times New Roman"/>
          <w:sz w:val="28"/>
          <w:szCs w:val="28"/>
        </w:rPr>
        <w:t>。</w:t>
      </w:r>
    </w:p>
    <w:p w:rsidR="00B87C8A" w:rsidRDefault="002D1C8A">
      <w:pPr>
        <w:spacing w:line="360" w:lineRule="auto"/>
        <w:ind w:firstLineChars="200" w:firstLine="640"/>
        <w:rPr>
          <w:sz w:val="32"/>
          <w:szCs w:val="32"/>
        </w:rPr>
      </w:pPr>
      <w:r>
        <w:rPr>
          <w:rFonts w:ascii="黑体" w:eastAsia="黑体" w:hAnsi="Times New Roman" w:cs="黑体"/>
          <w:sz w:val="32"/>
          <w:szCs w:val="32"/>
        </w:rPr>
        <w:t xml:space="preserve">四、财政拨款收入支出决算总体情况说明 </w:t>
      </w:r>
    </w:p>
    <w:p w:rsidR="00317683" w:rsidRPr="00317683" w:rsidRDefault="00CA5E48" w:rsidP="00AF481F">
      <w:pPr>
        <w:spacing w:line="360" w:lineRule="auto"/>
        <w:ind w:firstLineChars="200" w:firstLine="560"/>
        <w:rPr>
          <w:rFonts w:hAnsi="Times New Roman"/>
          <w:color w:val="FF0000"/>
          <w:sz w:val="28"/>
          <w:szCs w:val="28"/>
        </w:rPr>
      </w:pPr>
      <w:r w:rsidRPr="00AF481F">
        <w:rPr>
          <w:rFonts w:hAnsi="Times New Roman"/>
          <w:color w:val="000000" w:themeColor="text1"/>
          <w:sz w:val="28"/>
          <w:szCs w:val="28"/>
        </w:rPr>
        <w:t>202</w:t>
      </w:r>
      <w:r w:rsidRPr="00AF481F">
        <w:rPr>
          <w:rFonts w:hAnsi="Times New Roman" w:hint="eastAsia"/>
          <w:color w:val="000000" w:themeColor="text1"/>
          <w:sz w:val="28"/>
          <w:szCs w:val="28"/>
        </w:rPr>
        <w:t>2</w:t>
      </w:r>
      <w:r w:rsidR="002D1C8A" w:rsidRPr="00AF481F">
        <w:rPr>
          <w:rFonts w:hAnsi="Times New Roman"/>
          <w:color w:val="000000" w:themeColor="text1"/>
          <w:sz w:val="28"/>
          <w:szCs w:val="28"/>
        </w:rPr>
        <w:t>年度财政拨款收、支（含结转和结余）总计均为</w:t>
      </w:r>
      <w:r w:rsidRPr="00AF481F">
        <w:rPr>
          <w:rFonts w:hAnsi="Times New Roman"/>
          <w:color w:val="000000" w:themeColor="text1"/>
          <w:sz w:val="28"/>
          <w:szCs w:val="28"/>
        </w:rPr>
        <w:t>58982.1</w:t>
      </w:r>
      <w:r w:rsidR="002D1C8A" w:rsidRPr="00AF481F">
        <w:rPr>
          <w:rFonts w:hAnsi="Times New Roman"/>
          <w:color w:val="000000" w:themeColor="text1"/>
          <w:sz w:val="28"/>
          <w:szCs w:val="28"/>
        </w:rPr>
        <w:t>万元，与</w:t>
      </w:r>
      <w:r w:rsidR="002D625C" w:rsidRPr="00AF481F">
        <w:rPr>
          <w:rFonts w:hAnsi="Times New Roman"/>
          <w:color w:val="000000" w:themeColor="text1"/>
          <w:sz w:val="28"/>
          <w:szCs w:val="28"/>
        </w:rPr>
        <w:t>202</w:t>
      </w:r>
      <w:r w:rsidR="002D625C" w:rsidRPr="00AF481F">
        <w:rPr>
          <w:rFonts w:hAnsi="Times New Roman" w:hint="eastAsia"/>
          <w:color w:val="000000" w:themeColor="text1"/>
          <w:sz w:val="28"/>
          <w:szCs w:val="28"/>
        </w:rPr>
        <w:t>1</w:t>
      </w:r>
      <w:r w:rsidR="002D1C8A" w:rsidRPr="00AF481F">
        <w:rPr>
          <w:rFonts w:hAnsi="Times New Roman"/>
          <w:color w:val="000000" w:themeColor="text1"/>
          <w:sz w:val="28"/>
          <w:szCs w:val="28"/>
        </w:rPr>
        <w:t>年相比，财政拨款收、支总计各增加</w:t>
      </w:r>
      <w:r w:rsidRPr="00AF481F">
        <w:rPr>
          <w:rFonts w:hAnsi="Times New Roman"/>
          <w:color w:val="000000" w:themeColor="text1"/>
          <w:sz w:val="28"/>
          <w:szCs w:val="28"/>
        </w:rPr>
        <w:t>3953.7</w:t>
      </w:r>
      <w:r w:rsidR="002D1C8A" w:rsidRPr="00AF481F">
        <w:rPr>
          <w:rFonts w:hAnsi="Times New Roman"/>
          <w:color w:val="000000" w:themeColor="text1"/>
          <w:sz w:val="28"/>
          <w:szCs w:val="28"/>
        </w:rPr>
        <w:t>万元，增长</w:t>
      </w:r>
      <w:r w:rsidRPr="00AF481F">
        <w:rPr>
          <w:rFonts w:hAnsi="Times New Roman"/>
          <w:color w:val="000000" w:themeColor="text1"/>
          <w:sz w:val="28"/>
          <w:szCs w:val="28"/>
        </w:rPr>
        <w:t>7.18%</w:t>
      </w:r>
      <w:r w:rsidR="002D1C8A" w:rsidRPr="00AF481F">
        <w:rPr>
          <w:rFonts w:hAnsi="Times New Roman"/>
          <w:color w:val="000000" w:themeColor="text1"/>
          <w:sz w:val="28"/>
          <w:szCs w:val="28"/>
        </w:rPr>
        <w:t>。</w:t>
      </w:r>
      <w:r w:rsidR="00317683" w:rsidRPr="00E764E7">
        <w:rPr>
          <w:rFonts w:hAnsi="Times New Roman" w:hint="eastAsia"/>
          <w:color w:val="000000" w:themeColor="text1"/>
          <w:sz w:val="28"/>
          <w:szCs w:val="28"/>
        </w:rPr>
        <w:t>主要原因是上年</w:t>
      </w:r>
      <w:r w:rsidR="008A44E9" w:rsidRPr="00E764E7">
        <w:rPr>
          <w:rFonts w:hAnsi="Times New Roman" w:hint="eastAsia"/>
          <w:color w:val="000000" w:themeColor="text1"/>
          <w:sz w:val="28"/>
          <w:szCs w:val="28"/>
        </w:rPr>
        <w:t>以国库指标形式到账的</w:t>
      </w:r>
      <w:r w:rsidR="00317683" w:rsidRPr="00E764E7">
        <w:rPr>
          <w:rFonts w:hAnsi="Times New Roman" w:hint="eastAsia"/>
          <w:color w:val="000000" w:themeColor="text1"/>
          <w:sz w:val="28"/>
          <w:szCs w:val="28"/>
        </w:rPr>
        <w:t>三本独立学院转设</w:t>
      </w:r>
      <w:r w:rsidR="008A44E9" w:rsidRPr="00E764E7">
        <w:rPr>
          <w:rFonts w:hAnsi="Times New Roman" w:hint="eastAsia"/>
          <w:color w:val="000000" w:themeColor="text1"/>
          <w:sz w:val="28"/>
          <w:szCs w:val="28"/>
        </w:rPr>
        <w:t>资金未完全使用</w:t>
      </w:r>
      <w:r w:rsidR="00AF481F" w:rsidRPr="00E764E7">
        <w:rPr>
          <w:rFonts w:hAnsi="Times New Roman" w:hint="eastAsia"/>
          <w:color w:val="000000" w:themeColor="text1"/>
          <w:sz w:val="28"/>
          <w:szCs w:val="28"/>
        </w:rPr>
        <w:t>，2022年</w:t>
      </w:r>
      <w:r w:rsidR="008A44E9" w:rsidRPr="00E764E7">
        <w:rPr>
          <w:rFonts w:hAnsi="Times New Roman" w:hint="eastAsia"/>
          <w:color w:val="000000" w:themeColor="text1"/>
          <w:sz w:val="28"/>
          <w:szCs w:val="28"/>
        </w:rPr>
        <w:t>年初存在大量</w:t>
      </w:r>
      <w:r w:rsidR="008A44E9" w:rsidRPr="00E764E7">
        <w:rPr>
          <w:rFonts w:hAnsi="Times New Roman"/>
          <w:color w:val="000000" w:themeColor="text1"/>
          <w:sz w:val="28"/>
          <w:szCs w:val="28"/>
        </w:rPr>
        <w:t>一般公共预算财政拨款结转和结余</w:t>
      </w:r>
      <w:r w:rsidR="008A44E9" w:rsidRPr="00E764E7">
        <w:rPr>
          <w:rFonts w:hAnsi="Times New Roman" w:hint="eastAsia"/>
          <w:color w:val="000000" w:themeColor="text1"/>
          <w:sz w:val="28"/>
          <w:szCs w:val="28"/>
        </w:rPr>
        <w:t>。</w:t>
      </w:r>
      <w:r w:rsidR="00AF481F" w:rsidRPr="00E764E7">
        <w:rPr>
          <w:rFonts w:hAnsi="Times New Roman"/>
          <w:color w:val="000000" w:themeColor="text1"/>
          <w:sz w:val="28"/>
          <w:szCs w:val="28"/>
        </w:rPr>
        <w:t>学校</w:t>
      </w:r>
      <w:r w:rsidR="00AF481F" w:rsidRPr="00E764E7">
        <w:rPr>
          <w:rFonts w:hAnsi="Times New Roman" w:hint="eastAsia"/>
          <w:color w:val="000000" w:themeColor="text1"/>
          <w:sz w:val="28"/>
          <w:szCs w:val="28"/>
        </w:rPr>
        <w:t>2022年</w:t>
      </w:r>
      <w:r w:rsidR="008A44E9" w:rsidRPr="00E764E7">
        <w:rPr>
          <w:rFonts w:hAnsi="Times New Roman"/>
          <w:color w:val="000000" w:themeColor="text1"/>
          <w:sz w:val="28"/>
          <w:szCs w:val="28"/>
        </w:rPr>
        <w:t>严格执行预算支出</w:t>
      </w:r>
      <w:r w:rsidR="008A44E9" w:rsidRPr="00E764E7">
        <w:rPr>
          <w:rFonts w:hAnsi="Times New Roman" w:hint="eastAsia"/>
          <w:color w:val="000000" w:themeColor="text1"/>
          <w:sz w:val="28"/>
          <w:szCs w:val="28"/>
        </w:rPr>
        <w:t>，</w:t>
      </w:r>
      <w:r w:rsidR="008A44E9" w:rsidRPr="00E764E7">
        <w:rPr>
          <w:rFonts w:hAnsi="Times New Roman"/>
          <w:color w:val="000000" w:themeColor="text1"/>
          <w:sz w:val="28"/>
          <w:szCs w:val="28"/>
        </w:rPr>
        <w:t>充分</w:t>
      </w:r>
      <w:r w:rsidR="008A44E9" w:rsidRPr="00E764E7">
        <w:rPr>
          <w:rFonts w:hAnsi="Times New Roman" w:hint="eastAsia"/>
          <w:color w:val="000000" w:themeColor="text1"/>
          <w:sz w:val="28"/>
          <w:szCs w:val="28"/>
        </w:rPr>
        <w:t>、</w:t>
      </w:r>
      <w:r w:rsidR="008A44E9" w:rsidRPr="00E764E7">
        <w:rPr>
          <w:rFonts w:hAnsi="Times New Roman"/>
          <w:color w:val="000000" w:themeColor="text1"/>
          <w:sz w:val="28"/>
          <w:szCs w:val="28"/>
        </w:rPr>
        <w:t>高效使用财政拨款</w:t>
      </w:r>
      <w:r w:rsidR="008A44E9" w:rsidRPr="00E764E7">
        <w:rPr>
          <w:rFonts w:hAnsi="Times New Roman" w:hint="eastAsia"/>
          <w:color w:val="000000" w:themeColor="text1"/>
          <w:sz w:val="28"/>
          <w:szCs w:val="28"/>
        </w:rPr>
        <w:t>，</w:t>
      </w:r>
      <w:r w:rsidR="00AF481F" w:rsidRPr="00E764E7">
        <w:rPr>
          <w:rFonts w:hAnsi="Times New Roman" w:hint="eastAsia"/>
          <w:color w:val="000000" w:themeColor="text1"/>
          <w:sz w:val="28"/>
          <w:szCs w:val="28"/>
        </w:rPr>
        <w:t>做到</w:t>
      </w:r>
      <w:r w:rsidR="008A44E9" w:rsidRPr="00E764E7">
        <w:rPr>
          <w:rFonts w:hAnsi="Times New Roman"/>
          <w:color w:val="000000" w:themeColor="text1"/>
          <w:sz w:val="28"/>
          <w:szCs w:val="28"/>
        </w:rPr>
        <w:t>支出有力有为</w:t>
      </w:r>
      <w:r w:rsidR="00AF481F" w:rsidRPr="00E764E7">
        <w:rPr>
          <w:rFonts w:hAnsi="Times New Roman" w:hint="eastAsia"/>
          <w:color w:val="000000" w:themeColor="text1"/>
          <w:sz w:val="28"/>
          <w:szCs w:val="28"/>
        </w:rPr>
        <w:t>，教育支出、一般公共服务支出</w:t>
      </w:r>
      <w:r w:rsidR="00BC7FC7" w:rsidRPr="00E764E7">
        <w:rPr>
          <w:rFonts w:hAnsi="Times New Roman" w:hint="eastAsia"/>
          <w:color w:val="000000" w:themeColor="text1"/>
          <w:sz w:val="28"/>
          <w:szCs w:val="28"/>
        </w:rPr>
        <w:t>、卫生健康支出等</w:t>
      </w:r>
      <w:r w:rsidR="00AF481F" w:rsidRPr="00E764E7">
        <w:rPr>
          <w:rFonts w:hAnsi="Times New Roman" w:hint="eastAsia"/>
          <w:color w:val="000000" w:themeColor="text1"/>
          <w:sz w:val="28"/>
          <w:szCs w:val="28"/>
        </w:rPr>
        <w:t>较上年有所增长。</w:t>
      </w:r>
    </w:p>
    <w:p w:rsidR="00B87C8A" w:rsidRDefault="002D1C8A">
      <w:pPr>
        <w:spacing w:line="360" w:lineRule="auto"/>
        <w:ind w:firstLineChars="200" w:firstLine="640"/>
        <w:rPr>
          <w:sz w:val="32"/>
          <w:szCs w:val="32"/>
        </w:rPr>
      </w:pPr>
      <w:r>
        <w:rPr>
          <w:rFonts w:ascii="黑体" w:eastAsia="黑体" w:hAnsi="Times New Roman" w:cs="黑体"/>
          <w:sz w:val="32"/>
          <w:szCs w:val="32"/>
        </w:rPr>
        <w:t>五、一般公共预算财政拨款支出决算情况说明</w:t>
      </w:r>
    </w:p>
    <w:p w:rsidR="00B87C8A" w:rsidRDefault="002D1C8A">
      <w:pPr>
        <w:spacing w:line="360" w:lineRule="auto"/>
        <w:ind w:firstLineChars="200" w:firstLine="562"/>
        <w:rPr>
          <w:sz w:val="28"/>
          <w:szCs w:val="28"/>
        </w:rPr>
      </w:pPr>
      <w:r>
        <w:rPr>
          <w:rFonts w:hAnsi="Times New Roman"/>
          <w:b/>
          <w:sz w:val="28"/>
          <w:szCs w:val="28"/>
        </w:rPr>
        <w:t>（一）</w:t>
      </w:r>
      <w:r>
        <w:rPr>
          <w:rFonts w:hAnsi="Times New Roman"/>
          <w:b/>
          <w:sz w:val="28"/>
          <w:szCs w:val="28"/>
          <w:lang w:val="zh-CN"/>
        </w:rPr>
        <w:t>财政</w:t>
      </w:r>
      <w:r>
        <w:rPr>
          <w:rFonts w:hAnsi="Times New Roman"/>
          <w:b/>
          <w:sz w:val="28"/>
          <w:szCs w:val="28"/>
        </w:rPr>
        <w:t>拨款支出决算总体情况</w:t>
      </w:r>
    </w:p>
    <w:p w:rsidR="00AF481F" w:rsidRPr="00E764E7" w:rsidRDefault="005D72A6" w:rsidP="00D2661D">
      <w:pPr>
        <w:spacing w:line="360" w:lineRule="auto"/>
        <w:ind w:firstLineChars="200" w:firstLine="560"/>
        <w:rPr>
          <w:rFonts w:hAnsi="Times New Roman"/>
          <w:color w:val="000000" w:themeColor="text1"/>
          <w:sz w:val="28"/>
          <w:szCs w:val="28"/>
        </w:rPr>
      </w:pPr>
      <w:r>
        <w:rPr>
          <w:rFonts w:hAnsi="Times New Roman"/>
          <w:sz w:val="28"/>
          <w:szCs w:val="28"/>
        </w:rPr>
        <w:lastRenderedPageBreak/>
        <w:t>202</w:t>
      </w:r>
      <w:r>
        <w:rPr>
          <w:rFonts w:hAnsi="Times New Roman" w:hint="eastAsia"/>
          <w:sz w:val="28"/>
          <w:szCs w:val="28"/>
        </w:rPr>
        <w:t>2</w:t>
      </w:r>
      <w:r w:rsidR="002D1C8A" w:rsidRPr="002D1C8A">
        <w:rPr>
          <w:rFonts w:hAnsi="Times New Roman"/>
          <w:sz w:val="28"/>
          <w:szCs w:val="28"/>
        </w:rPr>
        <w:t>年度财政拨款支出</w:t>
      </w:r>
      <w:r w:rsidRPr="005D72A6">
        <w:rPr>
          <w:rFonts w:hAnsi="Times New Roman"/>
          <w:sz w:val="28"/>
          <w:szCs w:val="28"/>
        </w:rPr>
        <w:t>44458.42</w:t>
      </w:r>
      <w:r w:rsidR="002D1C8A" w:rsidRPr="002D1C8A">
        <w:rPr>
          <w:rFonts w:hAnsi="Times New Roman"/>
          <w:sz w:val="28"/>
          <w:szCs w:val="28"/>
        </w:rPr>
        <w:t>万元，占本年支出合计的</w:t>
      </w:r>
      <w:r w:rsidRPr="005D72A6">
        <w:rPr>
          <w:rFonts w:hAnsi="Times New Roman"/>
          <w:sz w:val="28"/>
          <w:szCs w:val="28"/>
        </w:rPr>
        <w:t>67.73%</w:t>
      </w:r>
      <w:r w:rsidR="002D1C8A" w:rsidRPr="002D1C8A">
        <w:rPr>
          <w:rFonts w:hAnsi="Times New Roman"/>
          <w:sz w:val="28"/>
          <w:szCs w:val="28"/>
        </w:rPr>
        <w:t>。与</w:t>
      </w:r>
      <w:r>
        <w:rPr>
          <w:rFonts w:hAnsi="Times New Roman"/>
          <w:sz w:val="28"/>
          <w:szCs w:val="28"/>
        </w:rPr>
        <w:t>202</w:t>
      </w:r>
      <w:r>
        <w:rPr>
          <w:rFonts w:hAnsi="Times New Roman" w:hint="eastAsia"/>
          <w:sz w:val="28"/>
          <w:szCs w:val="28"/>
        </w:rPr>
        <w:t>1</w:t>
      </w:r>
      <w:r w:rsidR="002D1C8A" w:rsidRPr="002D1C8A">
        <w:rPr>
          <w:rFonts w:hAnsi="Times New Roman"/>
          <w:sz w:val="28"/>
          <w:szCs w:val="28"/>
        </w:rPr>
        <w:t>年度相比，财政拨款支出增加</w:t>
      </w:r>
      <w:r w:rsidRPr="005D72A6">
        <w:rPr>
          <w:rFonts w:hAnsi="Times New Roman"/>
          <w:sz w:val="28"/>
          <w:szCs w:val="28"/>
        </w:rPr>
        <w:t>7243</w:t>
      </w:r>
      <w:r w:rsidR="002D1C8A" w:rsidRPr="002D1C8A">
        <w:rPr>
          <w:rFonts w:hAnsi="Times New Roman"/>
          <w:sz w:val="28"/>
          <w:szCs w:val="28"/>
        </w:rPr>
        <w:t>万元，增长</w:t>
      </w:r>
      <w:r w:rsidRPr="005D72A6">
        <w:rPr>
          <w:rFonts w:hAnsi="Times New Roman"/>
          <w:sz w:val="28"/>
          <w:szCs w:val="28"/>
        </w:rPr>
        <w:t>19.46%</w:t>
      </w:r>
      <w:r w:rsidR="00DE490E">
        <w:rPr>
          <w:rFonts w:hAnsi="Times New Roman" w:hint="eastAsia"/>
          <w:sz w:val="28"/>
          <w:szCs w:val="28"/>
        </w:rPr>
        <w:t>，</w:t>
      </w:r>
      <w:r w:rsidR="002D1C8A" w:rsidRPr="00E764E7">
        <w:rPr>
          <w:rFonts w:hAnsi="Times New Roman"/>
          <w:color w:val="000000" w:themeColor="text1"/>
          <w:sz w:val="28"/>
          <w:szCs w:val="28"/>
        </w:rPr>
        <w:t>主要原因</w:t>
      </w:r>
      <w:r w:rsidR="00D2661D" w:rsidRPr="00E764E7">
        <w:rPr>
          <w:rFonts w:hAnsi="Times New Roman" w:hint="eastAsia"/>
          <w:color w:val="000000" w:themeColor="text1"/>
          <w:sz w:val="28"/>
          <w:szCs w:val="28"/>
        </w:rPr>
        <w:t>是</w:t>
      </w:r>
      <w:r w:rsidR="00834D32" w:rsidRPr="00E764E7">
        <w:rPr>
          <w:rFonts w:hAnsi="Times New Roman" w:hint="eastAsia"/>
          <w:color w:val="000000" w:themeColor="text1"/>
          <w:sz w:val="28"/>
          <w:szCs w:val="28"/>
        </w:rPr>
        <w:t>学校</w:t>
      </w:r>
      <w:r w:rsidR="00C96872" w:rsidRPr="00E764E7">
        <w:rPr>
          <w:rFonts w:hint="eastAsia"/>
          <w:color w:val="000000" w:themeColor="text1"/>
          <w:sz w:val="28"/>
          <w:szCs w:val="28"/>
          <w:lang w:val="zh-CN"/>
        </w:rPr>
        <w:t>为改</w:t>
      </w:r>
      <w:r w:rsidR="00834D32" w:rsidRPr="00E764E7">
        <w:rPr>
          <w:rFonts w:hint="eastAsia"/>
          <w:color w:val="000000" w:themeColor="text1"/>
          <w:sz w:val="28"/>
          <w:szCs w:val="28"/>
          <w:lang w:val="zh-CN"/>
        </w:rPr>
        <w:t>善办学条件、优化科研环境，</w:t>
      </w:r>
      <w:r w:rsidR="00C96872" w:rsidRPr="00E764E7">
        <w:rPr>
          <w:rFonts w:hint="eastAsia"/>
          <w:color w:val="000000" w:themeColor="text1"/>
          <w:sz w:val="28"/>
          <w:szCs w:val="28"/>
          <w:lang w:val="zh-CN"/>
        </w:rPr>
        <w:t>大幅度增加相关教育支出，包括实施</w:t>
      </w:r>
      <w:r w:rsidR="00834D32" w:rsidRPr="00E764E7">
        <w:rPr>
          <w:rFonts w:hint="eastAsia"/>
          <w:color w:val="000000" w:themeColor="text1"/>
          <w:sz w:val="28"/>
          <w:szCs w:val="28"/>
          <w:lang w:val="zh-CN"/>
        </w:rPr>
        <w:t>校园电力扩容工程</w:t>
      </w:r>
      <w:r w:rsidR="00C96872" w:rsidRPr="00E764E7">
        <w:rPr>
          <w:rFonts w:hint="eastAsia"/>
          <w:color w:val="000000" w:themeColor="text1"/>
          <w:sz w:val="28"/>
          <w:szCs w:val="28"/>
          <w:lang w:val="zh-CN"/>
        </w:rPr>
        <w:t>、学生宿舍空调安装工作、学生宿舍修建以及其他校区基础设施建设等。此外，随着学校的招生规模扩大，相关的</w:t>
      </w:r>
      <w:r w:rsidR="00170AEE" w:rsidRPr="00E764E7">
        <w:rPr>
          <w:rFonts w:hint="eastAsia"/>
          <w:color w:val="000000" w:themeColor="text1"/>
          <w:sz w:val="28"/>
          <w:szCs w:val="28"/>
          <w:lang w:val="zh-CN"/>
        </w:rPr>
        <w:t>人员经费以及</w:t>
      </w:r>
      <w:r w:rsidR="00C96872" w:rsidRPr="00E764E7">
        <w:rPr>
          <w:rFonts w:hint="eastAsia"/>
          <w:color w:val="000000" w:themeColor="text1"/>
          <w:sz w:val="28"/>
          <w:szCs w:val="28"/>
          <w:lang w:val="zh-CN"/>
        </w:rPr>
        <w:t>教学运行、水电和物业管理费等</w:t>
      </w:r>
      <w:r w:rsidR="00170AEE" w:rsidRPr="00E764E7">
        <w:rPr>
          <w:rFonts w:hint="eastAsia"/>
          <w:color w:val="000000" w:themeColor="text1"/>
          <w:sz w:val="28"/>
          <w:szCs w:val="28"/>
          <w:lang w:val="zh-CN"/>
        </w:rPr>
        <w:t>公用经费</w:t>
      </w:r>
      <w:r w:rsidR="00C96872" w:rsidRPr="00E764E7">
        <w:rPr>
          <w:rFonts w:hint="eastAsia"/>
          <w:color w:val="000000" w:themeColor="text1"/>
          <w:sz w:val="28"/>
          <w:szCs w:val="28"/>
          <w:lang w:val="zh-CN"/>
        </w:rPr>
        <w:t>也较上年有所增加。</w:t>
      </w:r>
    </w:p>
    <w:p w:rsidR="00EA492B" w:rsidRDefault="002D1C8A" w:rsidP="00EA492B">
      <w:pPr>
        <w:spacing w:line="360" w:lineRule="auto"/>
        <w:ind w:firstLineChars="200" w:firstLine="562"/>
        <w:rPr>
          <w:sz w:val="28"/>
          <w:szCs w:val="28"/>
        </w:rPr>
      </w:pPr>
      <w:bookmarkStart w:id="0" w:name="_GoBack"/>
      <w:bookmarkEnd w:id="0"/>
      <w:r w:rsidRPr="002D1C8A">
        <w:rPr>
          <w:rFonts w:hAnsi="Times New Roman"/>
          <w:b/>
          <w:sz w:val="28"/>
          <w:szCs w:val="28"/>
        </w:rPr>
        <w:t>（二）财政拨款支出决算结构情况</w:t>
      </w:r>
    </w:p>
    <w:p w:rsidR="005D72A6" w:rsidRPr="00EA492B" w:rsidRDefault="005D72A6" w:rsidP="00EA492B">
      <w:pPr>
        <w:spacing w:line="360" w:lineRule="auto"/>
        <w:ind w:firstLineChars="200" w:firstLine="560"/>
        <w:rPr>
          <w:sz w:val="28"/>
          <w:szCs w:val="28"/>
        </w:rPr>
      </w:pPr>
      <w:r w:rsidRPr="00EA492B">
        <w:rPr>
          <w:sz w:val="28"/>
          <w:szCs w:val="28"/>
          <w:lang w:val="zh-CN"/>
        </w:rPr>
        <w:t>2022</w:t>
      </w:r>
      <w:r w:rsidRPr="00EA492B">
        <w:rPr>
          <w:rFonts w:hint="eastAsia"/>
          <w:sz w:val="28"/>
          <w:szCs w:val="28"/>
          <w:lang w:val="zh-CN"/>
        </w:rPr>
        <w:t>年度财政拨款支出</w:t>
      </w:r>
      <w:r w:rsidRPr="00EA492B">
        <w:rPr>
          <w:sz w:val="28"/>
          <w:szCs w:val="28"/>
          <w:lang w:val="zh-CN"/>
        </w:rPr>
        <w:t>44458.42</w:t>
      </w:r>
      <w:r w:rsidRPr="00EA492B">
        <w:rPr>
          <w:rFonts w:hint="eastAsia"/>
          <w:sz w:val="28"/>
          <w:szCs w:val="28"/>
          <w:lang w:val="zh-CN"/>
        </w:rPr>
        <w:t>万元，主要用于以下方面：一般公共服务（类）支出</w:t>
      </w:r>
      <w:r w:rsidRPr="00EA492B">
        <w:rPr>
          <w:sz w:val="28"/>
          <w:szCs w:val="28"/>
          <w:lang w:val="zh-CN"/>
        </w:rPr>
        <w:t>92.88</w:t>
      </w:r>
      <w:r w:rsidRPr="00EA492B">
        <w:rPr>
          <w:rFonts w:hint="eastAsia"/>
          <w:sz w:val="28"/>
          <w:szCs w:val="28"/>
          <w:lang w:val="zh-CN"/>
        </w:rPr>
        <w:t>万元，占</w:t>
      </w:r>
      <w:r w:rsidRPr="00EA492B">
        <w:rPr>
          <w:sz w:val="28"/>
          <w:szCs w:val="28"/>
          <w:lang w:val="zh-CN"/>
        </w:rPr>
        <w:t>0.21%</w:t>
      </w:r>
      <w:r w:rsidRPr="00EA492B">
        <w:rPr>
          <w:rFonts w:hint="eastAsia"/>
          <w:sz w:val="28"/>
          <w:szCs w:val="28"/>
          <w:lang w:val="zh-CN"/>
        </w:rPr>
        <w:t>；教育（类）支出</w:t>
      </w:r>
      <w:r w:rsidRPr="00EA492B">
        <w:rPr>
          <w:sz w:val="28"/>
          <w:szCs w:val="28"/>
          <w:lang w:val="zh-CN"/>
        </w:rPr>
        <w:t>43446.28</w:t>
      </w:r>
      <w:r w:rsidRPr="00EA492B">
        <w:rPr>
          <w:rFonts w:hint="eastAsia"/>
          <w:sz w:val="28"/>
          <w:szCs w:val="28"/>
          <w:lang w:val="zh-CN"/>
        </w:rPr>
        <w:t>万元，占</w:t>
      </w:r>
      <w:r w:rsidRPr="00EA492B">
        <w:rPr>
          <w:sz w:val="28"/>
          <w:szCs w:val="28"/>
          <w:lang w:val="zh-CN"/>
        </w:rPr>
        <w:t>97.72%</w:t>
      </w:r>
      <w:r w:rsidRPr="00EA492B">
        <w:rPr>
          <w:rFonts w:hint="eastAsia"/>
          <w:sz w:val="28"/>
          <w:szCs w:val="28"/>
          <w:lang w:val="zh-CN"/>
        </w:rPr>
        <w:t>；科学技术（类）支出</w:t>
      </w:r>
      <w:r w:rsidRPr="00EA492B">
        <w:rPr>
          <w:sz w:val="28"/>
          <w:szCs w:val="28"/>
          <w:lang w:val="zh-CN"/>
        </w:rPr>
        <w:t>306.5</w:t>
      </w:r>
      <w:r w:rsidRPr="00EA492B">
        <w:rPr>
          <w:rFonts w:hint="eastAsia"/>
          <w:sz w:val="28"/>
          <w:szCs w:val="28"/>
          <w:lang w:val="zh-CN"/>
        </w:rPr>
        <w:t>万元，占</w:t>
      </w:r>
      <w:r w:rsidRPr="00EA492B">
        <w:rPr>
          <w:sz w:val="28"/>
          <w:szCs w:val="28"/>
          <w:lang w:val="zh-CN"/>
        </w:rPr>
        <w:t>0.69%</w:t>
      </w:r>
      <w:r w:rsidRPr="00EA492B">
        <w:rPr>
          <w:rFonts w:hint="eastAsia"/>
          <w:sz w:val="28"/>
          <w:szCs w:val="28"/>
          <w:lang w:val="zh-CN"/>
        </w:rPr>
        <w:t>；文化旅游体育与传媒（类）支出</w:t>
      </w:r>
      <w:r w:rsidRPr="00EA492B">
        <w:rPr>
          <w:sz w:val="28"/>
          <w:szCs w:val="28"/>
          <w:lang w:val="zh-CN"/>
        </w:rPr>
        <w:t>50</w:t>
      </w:r>
      <w:r w:rsidRPr="00EA492B">
        <w:rPr>
          <w:rFonts w:hint="eastAsia"/>
          <w:sz w:val="28"/>
          <w:szCs w:val="28"/>
          <w:lang w:val="zh-CN"/>
        </w:rPr>
        <w:t>万元，占</w:t>
      </w:r>
      <w:r w:rsidRPr="00EA492B">
        <w:rPr>
          <w:sz w:val="28"/>
          <w:szCs w:val="28"/>
          <w:lang w:val="zh-CN"/>
        </w:rPr>
        <w:t>0.11%</w:t>
      </w:r>
      <w:r w:rsidRPr="00EA492B">
        <w:rPr>
          <w:rFonts w:hint="eastAsia"/>
          <w:sz w:val="28"/>
          <w:szCs w:val="28"/>
          <w:lang w:val="zh-CN"/>
        </w:rPr>
        <w:t>；社会保障和就业（类）支出</w:t>
      </w:r>
      <w:r w:rsidRPr="00EA492B">
        <w:rPr>
          <w:sz w:val="28"/>
          <w:szCs w:val="28"/>
          <w:lang w:val="zh-CN"/>
        </w:rPr>
        <w:t>19.38</w:t>
      </w:r>
      <w:r w:rsidRPr="00EA492B">
        <w:rPr>
          <w:rFonts w:hint="eastAsia"/>
          <w:sz w:val="28"/>
          <w:szCs w:val="28"/>
          <w:lang w:val="zh-CN"/>
        </w:rPr>
        <w:t>万元，占</w:t>
      </w:r>
      <w:r w:rsidRPr="00EA492B">
        <w:rPr>
          <w:sz w:val="28"/>
          <w:szCs w:val="28"/>
          <w:lang w:val="zh-CN"/>
        </w:rPr>
        <w:t>0.04%</w:t>
      </w:r>
      <w:r w:rsidRPr="00EA492B">
        <w:rPr>
          <w:rFonts w:hint="eastAsia"/>
          <w:sz w:val="28"/>
          <w:szCs w:val="28"/>
          <w:lang w:val="zh-CN"/>
        </w:rPr>
        <w:t>；卫生健康（类）支出</w:t>
      </w:r>
      <w:r w:rsidRPr="00EA492B">
        <w:rPr>
          <w:sz w:val="28"/>
          <w:szCs w:val="28"/>
          <w:lang w:val="zh-CN"/>
        </w:rPr>
        <w:t>523.39</w:t>
      </w:r>
      <w:r w:rsidRPr="00EA492B">
        <w:rPr>
          <w:rFonts w:hint="eastAsia"/>
          <w:sz w:val="28"/>
          <w:szCs w:val="28"/>
          <w:lang w:val="zh-CN"/>
        </w:rPr>
        <w:t>万元，占</w:t>
      </w:r>
      <w:r w:rsidRPr="00EA492B">
        <w:rPr>
          <w:sz w:val="28"/>
          <w:szCs w:val="28"/>
          <w:lang w:val="zh-CN"/>
        </w:rPr>
        <w:t>1.18%</w:t>
      </w:r>
      <w:r w:rsidRPr="00EA492B">
        <w:rPr>
          <w:rFonts w:hint="eastAsia"/>
          <w:sz w:val="28"/>
          <w:szCs w:val="28"/>
          <w:lang w:val="zh-CN"/>
        </w:rPr>
        <w:t>；农林水（类）支出</w:t>
      </w:r>
      <w:r w:rsidRPr="00EA492B">
        <w:rPr>
          <w:sz w:val="28"/>
          <w:szCs w:val="28"/>
          <w:lang w:val="zh-CN"/>
        </w:rPr>
        <w:t>20</w:t>
      </w:r>
      <w:r w:rsidRPr="00EA492B">
        <w:rPr>
          <w:rFonts w:hint="eastAsia"/>
          <w:sz w:val="28"/>
          <w:szCs w:val="28"/>
          <w:lang w:val="zh-CN"/>
        </w:rPr>
        <w:t>万元，占</w:t>
      </w:r>
      <w:r w:rsidRPr="00EA492B">
        <w:rPr>
          <w:sz w:val="28"/>
          <w:szCs w:val="28"/>
          <w:lang w:val="zh-CN"/>
        </w:rPr>
        <w:t>0.04%</w:t>
      </w:r>
      <w:r w:rsidR="00556574">
        <w:rPr>
          <w:rFonts w:hint="eastAsia"/>
          <w:sz w:val="28"/>
          <w:szCs w:val="28"/>
          <w:lang w:val="zh-CN"/>
        </w:rPr>
        <w:t>。</w:t>
      </w:r>
    </w:p>
    <w:p w:rsidR="00B87C8A" w:rsidRPr="002D1C8A" w:rsidRDefault="002D1C8A">
      <w:pPr>
        <w:spacing w:line="360" w:lineRule="auto"/>
        <w:ind w:firstLineChars="200" w:firstLine="562"/>
        <w:rPr>
          <w:sz w:val="28"/>
          <w:szCs w:val="28"/>
        </w:rPr>
      </w:pPr>
      <w:r w:rsidRPr="002D1C8A">
        <w:rPr>
          <w:b/>
          <w:sz w:val="28"/>
          <w:szCs w:val="28"/>
        </w:rPr>
        <w:t>（三）财政拨款支出决算具体情况</w:t>
      </w:r>
    </w:p>
    <w:p w:rsidR="00B87C8A" w:rsidRPr="00EA492B" w:rsidRDefault="00EA492B" w:rsidP="002D1C8A">
      <w:pPr>
        <w:spacing w:line="360" w:lineRule="auto"/>
        <w:ind w:firstLineChars="200" w:firstLine="560"/>
        <w:rPr>
          <w:sz w:val="28"/>
          <w:szCs w:val="28"/>
          <w:lang w:val="zh-CN"/>
        </w:rPr>
      </w:pPr>
      <w:r>
        <w:rPr>
          <w:sz w:val="28"/>
          <w:szCs w:val="28"/>
          <w:lang w:val="zh-CN"/>
        </w:rPr>
        <w:t>202</w:t>
      </w:r>
      <w:r>
        <w:rPr>
          <w:rFonts w:hint="eastAsia"/>
          <w:sz w:val="28"/>
          <w:szCs w:val="28"/>
          <w:lang w:val="zh-CN"/>
        </w:rPr>
        <w:t>2</w:t>
      </w:r>
      <w:r w:rsidR="002D1C8A" w:rsidRPr="002D1C8A">
        <w:rPr>
          <w:sz w:val="28"/>
          <w:szCs w:val="28"/>
          <w:lang w:val="zh-CN"/>
        </w:rPr>
        <w:t>年度财政拨款支出年初预算为</w:t>
      </w:r>
      <w:r w:rsidRPr="00EA492B">
        <w:rPr>
          <w:sz w:val="28"/>
          <w:szCs w:val="28"/>
          <w:lang w:val="zh-CN"/>
        </w:rPr>
        <w:t>43474.92</w:t>
      </w:r>
      <w:r w:rsidR="002D1C8A" w:rsidRPr="002D1C8A">
        <w:rPr>
          <w:sz w:val="28"/>
          <w:szCs w:val="28"/>
          <w:lang w:val="zh-CN"/>
        </w:rPr>
        <w:t>万元，支出决算为</w:t>
      </w:r>
      <w:r w:rsidRPr="00EA492B">
        <w:rPr>
          <w:sz w:val="28"/>
          <w:szCs w:val="28"/>
          <w:lang w:val="zh-CN"/>
        </w:rPr>
        <w:t>44458.42</w:t>
      </w:r>
      <w:r w:rsidR="002D1C8A" w:rsidRPr="002D1C8A">
        <w:rPr>
          <w:sz w:val="28"/>
          <w:szCs w:val="28"/>
          <w:lang w:val="zh-CN"/>
        </w:rPr>
        <w:t>万元，</w:t>
      </w:r>
      <w:r w:rsidR="002D1C8A" w:rsidRPr="00EA492B">
        <w:rPr>
          <w:sz w:val="28"/>
          <w:szCs w:val="28"/>
          <w:lang w:val="zh-CN"/>
        </w:rPr>
        <w:t>因年中有财政拨款追加，所以年初预算执行率超过100%</w:t>
      </w:r>
      <w:r w:rsidR="002D1C8A" w:rsidRPr="002D1C8A">
        <w:rPr>
          <w:sz w:val="28"/>
          <w:szCs w:val="28"/>
          <w:lang w:val="zh-CN"/>
        </w:rPr>
        <w:t>。</w:t>
      </w:r>
      <w:r w:rsidR="002D1C8A" w:rsidRPr="00F967E8">
        <w:rPr>
          <w:color w:val="000000" w:themeColor="text1"/>
          <w:sz w:val="28"/>
          <w:szCs w:val="28"/>
          <w:lang w:val="zh-CN"/>
        </w:rPr>
        <w:t>其中</w:t>
      </w:r>
      <w:r w:rsidR="002D1C8A" w:rsidRPr="002D1C8A">
        <w:rPr>
          <w:sz w:val="28"/>
          <w:szCs w:val="28"/>
          <w:lang w:val="zh-CN"/>
        </w:rPr>
        <w:t>：</w:t>
      </w:r>
    </w:p>
    <w:p w:rsidR="00B87C8A" w:rsidRPr="002D1C8A" w:rsidRDefault="002D1C8A">
      <w:pPr>
        <w:pStyle w:val="Default"/>
        <w:spacing w:line="360" w:lineRule="auto"/>
        <w:ind w:firstLineChars="200" w:firstLine="560"/>
        <w:rPr>
          <w:rFonts w:ascii="宋体" w:eastAsia="宋体" w:hAnsi="宋体" w:hint="default"/>
          <w:color w:val="auto"/>
          <w:sz w:val="28"/>
          <w:szCs w:val="28"/>
        </w:rPr>
      </w:pPr>
      <w:r w:rsidRPr="002D1C8A">
        <w:rPr>
          <w:rFonts w:ascii="宋体" w:eastAsia="宋体" w:hAnsi="宋体"/>
          <w:color w:val="auto"/>
          <w:sz w:val="28"/>
          <w:szCs w:val="28"/>
        </w:rPr>
        <w:t>1、</w:t>
      </w:r>
      <w:r w:rsidR="00EC5189" w:rsidRPr="00EC5189">
        <w:rPr>
          <w:rFonts w:ascii="宋体" w:eastAsia="宋体" w:hAnsi="宋体"/>
          <w:color w:val="auto"/>
          <w:sz w:val="28"/>
          <w:szCs w:val="28"/>
        </w:rPr>
        <w:t>一</w:t>
      </w:r>
      <w:r w:rsidR="00EC5189">
        <w:rPr>
          <w:rFonts w:ascii="宋体" w:eastAsia="宋体" w:hAnsi="宋体"/>
          <w:color w:val="auto"/>
          <w:sz w:val="28"/>
          <w:szCs w:val="28"/>
        </w:rPr>
        <w:t>般公共服务支出（类）财政事务（款）其他财政事务支出（项）</w:t>
      </w:r>
    </w:p>
    <w:p w:rsidR="00EC5189" w:rsidRDefault="00EC5189" w:rsidP="00EC5189">
      <w:pPr>
        <w:pStyle w:val="Default"/>
        <w:spacing w:line="360" w:lineRule="auto"/>
        <w:ind w:firstLineChars="200" w:firstLine="560"/>
        <w:rPr>
          <w:rFonts w:ascii="宋体" w:eastAsia="宋体" w:hAnsi="宋体" w:hint="default"/>
          <w:color w:val="auto"/>
          <w:sz w:val="28"/>
          <w:szCs w:val="28"/>
        </w:rPr>
      </w:pPr>
      <w:r w:rsidRPr="00EC5189">
        <w:rPr>
          <w:rFonts w:ascii="宋体" w:eastAsia="宋体" w:hAnsi="宋体"/>
          <w:color w:val="auto"/>
          <w:sz w:val="28"/>
          <w:szCs w:val="28"/>
        </w:rPr>
        <w:t>年初预算为0万元，支出决算为2.38万元，决算数大于预算数的</w:t>
      </w:r>
      <w:r w:rsidRPr="005832F9">
        <w:rPr>
          <w:rFonts w:ascii="宋体" w:eastAsia="宋体" w:hAnsi="宋体"/>
          <w:color w:val="000000" w:themeColor="text1"/>
          <w:sz w:val="28"/>
          <w:szCs w:val="28"/>
        </w:rPr>
        <w:t>主要原因</w:t>
      </w:r>
      <w:r w:rsidRPr="00EC5189">
        <w:rPr>
          <w:rFonts w:ascii="宋体" w:eastAsia="宋体" w:hAnsi="宋体"/>
          <w:color w:val="auto"/>
          <w:sz w:val="28"/>
          <w:szCs w:val="28"/>
        </w:rPr>
        <w:t>是</w:t>
      </w:r>
      <w:r>
        <w:rPr>
          <w:rFonts w:ascii="宋体" w:eastAsia="宋体" w:hAnsi="宋体"/>
          <w:color w:val="auto"/>
          <w:sz w:val="28"/>
          <w:szCs w:val="28"/>
        </w:rPr>
        <w:t>：</w:t>
      </w:r>
      <w:r w:rsidR="00591AB9" w:rsidRPr="002D1C8A">
        <w:rPr>
          <w:rFonts w:ascii="宋体" w:eastAsia="宋体" w:hAnsi="宋体"/>
          <w:color w:val="auto"/>
          <w:sz w:val="28"/>
          <w:szCs w:val="28"/>
        </w:rPr>
        <w:t>该项经费于年中追加。</w:t>
      </w:r>
    </w:p>
    <w:p w:rsidR="00B87C8A" w:rsidRDefault="002D1C8A" w:rsidP="00EC5189">
      <w:pPr>
        <w:pStyle w:val="Default"/>
        <w:spacing w:line="360" w:lineRule="auto"/>
        <w:ind w:firstLineChars="200" w:firstLine="560"/>
        <w:rPr>
          <w:rFonts w:ascii="宋体" w:eastAsia="宋体" w:hAnsi="宋体" w:hint="default"/>
          <w:color w:val="auto"/>
          <w:sz w:val="28"/>
          <w:szCs w:val="28"/>
        </w:rPr>
      </w:pPr>
      <w:r w:rsidRPr="002D1C8A">
        <w:rPr>
          <w:rFonts w:ascii="宋体" w:eastAsia="宋体" w:hAnsi="宋体"/>
          <w:color w:val="auto"/>
          <w:sz w:val="28"/>
          <w:szCs w:val="28"/>
        </w:rPr>
        <w:t>2、</w:t>
      </w:r>
      <w:r w:rsidR="00EC5189" w:rsidRPr="00EC5189">
        <w:rPr>
          <w:rFonts w:ascii="宋体" w:eastAsia="宋体" w:hAnsi="宋体"/>
          <w:color w:val="auto"/>
          <w:sz w:val="28"/>
          <w:szCs w:val="28"/>
        </w:rPr>
        <w:t>一般</w:t>
      </w:r>
      <w:r w:rsidR="00EC5189">
        <w:rPr>
          <w:rFonts w:ascii="宋体" w:eastAsia="宋体" w:hAnsi="宋体"/>
          <w:color w:val="auto"/>
          <w:sz w:val="28"/>
          <w:szCs w:val="28"/>
        </w:rPr>
        <w:t>公共服务支出（类）知识产权事务（款）其他知识产权事务支出（项）</w:t>
      </w:r>
    </w:p>
    <w:p w:rsidR="00B87C8A" w:rsidRPr="002D1C8A" w:rsidRDefault="00EC5189" w:rsidP="00EC5189">
      <w:pPr>
        <w:pStyle w:val="Default"/>
        <w:spacing w:line="360" w:lineRule="auto"/>
        <w:ind w:firstLineChars="200" w:firstLine="560"/>
        <w:rPr>
          <w:rFonts w:ascii="宋体" w:eastAsia="宋体" w:hAnsi="宋体" w:hint="default"/>
          <w:color w:val="auto"/>
          <w:sz w:val="28"/>
          <w:szCs w:val="28"/>
        </w:rPr>
      </w:pPr>
      <w:r w:rsidRPr="00EC5189">
        <w:rPr>
          <w:rFonts w:ascii="宋体" w:eastAsia="宋体" w:hAnsi="宋体"/>
          <w:color w:val="auto"/>
          <w:sz w:val="28"/>
          <w:szCs w:val="28"/>
        </w:rPr>
        <w:t>年初预算为0万元，支出决算为49.5万元，决算数大于预算数的</w:t>
      </w:r>
      <w:r w:rsidRPr="005832F9">
        <w:rPr>
          <w:rFonts w:ascii="宋体" w:eastAsia="宋体" w:hAnsi="宋体"/>
          <w:color w:val="000000" w:themeColor="text1"/>
          <w:sz w:val="28"/>
          <w:szCs w:val="28"/>
        </w:rPr>
        <w:t>主</w:t>
      </w:r>
      <w:r w:rsidRPr="005832F9">
        <w:rPr>
          <w:rFonts w:ascii="宋体" w:eastAsia="宋体" w:hAnsi="宋体"/>
          <w:color w:val="000000" w:themeColor="text1"/>
          <w:sz w:val="28"/>
          <w:szCs w:val="28"/>
        </w:rPr>
        <w:lastRenderedPageBreak/>
        <w:t>要原因</w:t>
      </w:r>
      <w:r w:rsidRPr="00EC5189">
        <w:rPr>
          <w:rFonts w:ascii="宋体" w:eastAsia="宋体" w:hAnsi="宋体"/>
          <w:color w:val="auto"/>
          <w:sz w:val="28"/>
          <w:szCs w:val="28"/>
        </w:rPr>
        <w:t>是</w:t>
      </w:r>
      <w:r w:rsidR="002D1C8A" w:rsidRPr="002D1C8A">
        <w:rPr>
          <w:rFonts w:ascii="宋体" w:eastAsia="宋体" w:hAnsi="宋体"/>
          <w:color w:val="auto"/>
          <w:sz w:val="28"/>
          <w:szCs w:val="28"/>
        </w:rPr>
        <w:t>：该项经费于年中追加。</w:t>
      </w:r>
    </w:p>
    <w:p w:rsidR="00B87C8A" w:rsidRPr="002D1C8A" w:rsidRDefault="002D1C8A">
      <w:pPr>
        <w:pStyle w:val="Default"/>
        <w:spacing w:line="360" w:lineRule="auto"/>
        <w:ind w:firstLineChars="200" w:firstLine="560"/>
        <w:rPr>
          <w:rFonts w:ascii="宋体" w:eastAsia="宋体" w:hAnsi="宋体" w:hint="default"/>
          <w:color w:val="auto"/>
          <w:sz w:val="28"/>
          <w:szCs w:val="28"/>
        </w:rPr>
      </w:pPr>
      <w:r w:rsidRPr="002D1C8A">
        <w:rPr>
          <w:rFonts w:ascii="宋体" w:eastAsia="宋体" w:hAnsi="宋体"/>
          <w:color w:val="auto"/>
          <w:sz w:val="28"/>
          <w:szCs w:val="28"/>
        </w:rPr>
        <w:t>3、</w:t>
      </w:r>
      <w:r w:rsidR="00EC5189">
        <w:rPr>
          <w:rFonts w:ascii="宋体" w:eastAsia="宋体" w:hAnsi="宋体"/>
          <w:color w:val="auto"/>
          <w:sz w:val="28"/>
          <w:szCs w:val="28"/>
        </w:rPr>
        <w:t>一般公共服务支出（类）民族事务（款）民族工作专项（项）</w:t>
      </w:r>
    </w:p>
    <w:p w:rsidR="00B87C8A" w:rsidRDefault="00EC5189" w:rsidP="00EC5189">
      <w:pPr>
        <w:pStyle w:val="Default"/>
        <w:spacing w:line="360" w:lineRule="auto"/>
        <w:ind w:firstLineChars="200" w:firstLine="560"/>
        <w:rPr>
          <w:rFonts w:ascii="宋体" w:eastAsia="宋体" w:hAnsi="宋体" w:hint="default"/>
          <w:color w:val="auto"/>
          <w:sz w:val="28"/>
          <w:szCs w:val="28"/>
        </w:rPr>
      </w:pPr>
      <w:r w:rsidRPr="00EC5189">
        <w:rPr>
          <w:rFonts w:ascii="宋体" w:eastAsia="宋体" w:hAnsi="宋体"/>
          <w:color w:val="auto"/>
          <w:sz w:val="28"/>
          <w:szCs w:val="28"/>
        </w:rPr>
        <w:t>年初预算为0万元，支出决算为36万元，决算数大于预算数的</w:t>
      </w:r>
      <w:r w:rsidRPr="005832F9">
        <w:rPr>
          <w:rFonts w:ascii="宋体" w:eastAsia="宋体" w:hAnsi="宋体"/>
          <w:color w:val="000000" w:themeColor="text1"/>
          <w:sz w:val="28"/>
          <w:szCs w:val="28"/>
        </w:rPr>
        <w:t>主要原因</w:t>
      </w:r>
      <w:r w:rsidRPr="00EC5189">
        <w:rPr>
          <w:rFonts w:ascii="宋体" w:eastAsia="宋体" w:hAnsi="宋体"/>
          <w:color w:val="auto"/>
          <w:sz w:val="28"/>
          <w:szCs w:val="28"/>
        </w:rPr>
        <w:t>是</w:t>
      </w:r>
      <w:r w:rsidR="002D1C8A" w:rsidRPr="002D1C8A">
        <w:rPr>
          <w:rFonts w:ascii="宋体" w:eastAsia="宋体" w:hAnsi="宋体"/>
          <w:color w:val="auto"/>
          <w:sz w:val="28"/>
          <w:szCs w:val="28"/>
        </w:rPr>
        <w:t>：该项经费于年中追加。</w:t>
      </w:r>
    </w:p>
    <w:p w:rsidR="00EC5189" w:rsidRDefault="00EC5189" w:rsidP="00EC5189">
      <w:pPr>
        <w:pStyle w:val="Default"/>
        <w:spacing w:line="360" w:lineRule="auto"/>
        <w:ind w:firstLineChars="200" w:firstLine="560"/>
        <w:rPr>
          <w:rFonts w:ascii="宋体" w:eastAsia="宋体" w:hAnsi="宋体" w:hint="default"/>
          <w:color w:val="auto"/>
          <w:sz w:val="28"/>
          <w:szCs w:val="28"/>
        </w:rPr>
      </w:pPr>
      <w:r>
        <w:rPr>
          <w:rFonts w:ascii="宋体" w:eastAsia="宋体" w:hAnsi="宋体"/>
          <w:color w:val="auto"/>
          <w:sz w:val="28"/>
          <w:szCs w:val="28"/>
        </w:rPr>
        <w:t>4、一般公共服务支出（类）群众团体事务（款）一般行政管理事务（项）</w:t>
      </w:r>
    </w:p>
    <w:p w:rsidR="00EC5189" w:rsidRPr="002D1C8A" w:rsidRDefault="00EC5189" w:rsidP="00EC5189">
      <w:pPr>
        <w:pStyle w:val="Default"/>
        <w:spacing w:line="360" w:lineRule="auto"/>
        <w:ind w:firstLineChars="200" w:firstLine="560"/>
        <w:rPr>
          <w:rFonts w:ascii="宋体" w:eastAsia="宋体" w:hAnsi="宋体" w:hint="default"/>
          <w:color w:val="auto"/>
          <w:sz w:val="28"/>
          <w:szCs w:val="28"/>
        </w:rPr>
      </w:pPr>
      <w:r w:rsidRPr="00EC5189">
        <w:rPr>
          <w:rFonts w:ascii="宋体" w:eastAsia="宋体" w:hAnsi="宋体"/>
          <w:color w:val="auto"/>
          <w:sz w:val="28"/>
          <w:szCs w:val="28"/>
        </w:rPr>
        <w:t>年初预算为0万元，支出决算为5万元，决算数大于预算数的主</w:t>
      </w:r>
      <w:r w:rsidRPr="005832F9">
        <w:rPr>
          <w:rFonts w:ascii="宋体" w:eastAsia="宋体" w:hAnsi="宋体"/>
          <w:color w:val="000000" w:themeColor="text1"/>
          <w:sz w:val="28"/>
          <w:szCs w:val="28"/>
        </w:rPr>
        <w:t>要原因</w:t>
      </w:r>
      <w:r w:rsidRPr="00EC5189">
        <w:rPr>
          <w:rFonts w:ascii="宋体" w:eastAsia="宋体" w:hAnsi="宋体"/>
          <w:color w:val="auto"/>
          <w:sz w:val="28"/>
          <w:szCs w:val="28"/>
        </w:rPr>
        <w:t>是</w:t>
      </w:r>
      <w:r>
        <w:rPr>
          <w:rFonts w:ascii="宋体" w:eastAsia="宋体" w:hAnsi="宋体"/>
          <w:color w:val="auto"/>
          <w:sz w:val="28"/>
          <w:szCs w:val="28"/>
        </w:rPr>
        <w:t>：</w:t>
      </w:r>
      <w:r w:rsidR="00F967E8" w:rsidRPr="002D1C8A">
        <w:rPr>
          <w:rFonts w:ascii="宋体" w:eastAsia="宋体" w:hAnsi="宋体"/>
          <w:color w:val="auto"/>
          <w:sz w:val="28"/>
          <w:szCs w:val="28"/>
        </w:rPr>
        <w:t>该项经费于年中追加。</w:t>
      </w:r>
    </w:p>
    <w:p w:rsidR="00B87C8A" w:rsidRPr="002D1C8A" w:rsidRDefault="00AD5EDE">
      <w:pPr>
        <w:pStyle w:val="Default"/>
        <w:spacing w:line="360" w:lineRule="auto"/>
        <w:ind w:firstLineChars="200" w:firstLine="560"/>
        <w:rPr>
          <w:rFonts w:ascii="宋体" w:eastAsia="宋体" w:hAnsi="宋体" w:hint="default"/>
          <w:color w:val="auto"/>
          <w:sz w:val="28"/>
          <w:szCs w:val="28"/>
        </w:rPr>
      </w:pPr>
      <w:r>
        <w:rPr>
          <w:rFonts w:ascii="宋体" w:eastAsia="宋体" w:hAnsi="宋体"/>
          <w:color w:val="auto"/>
          <w:sz w:val="28"/>
          <w:szCs w:val="28"/>
        </w:rPr>
        <w:t>5</w:t>
      </w:r>
      <w:r w:rsidR="002D1C8A" w:rsidRPr="002D1C8A">
        <w:rPr>
          <w:rFonts w:ascii="宋体" w:eastAsia="宋体" w:hAnsi="宋体"/>
          <w:color w:val="auto"/>
          <w:sz w:val="28"/>
          <w:szCs w:val="28"/>
        </w:rPr>
        <w:t>、</w:t>
      </w:r>
      <w:r w:rsidR="00EC5189">
        <w:rPr>
          <w:rFonts w:ascii="宋体" w:eastAsia="宋体" w:hAnsi="宋体"/>
          <w:color w:val="auto"/>
          <w:sz w:val="28"/>
          <w:szCs w:val="28"/>
        </w:rPr>
        <w:t>教育支出（类）普通教育（款）高等教育（项）</w:t>
      </w:r>
    </w:p>
    <w:p w:rsidR="00B87C8A" w:rsidRDefault="00EC5189" w:rsidP="00EC5189">
      <w:pPr>
        <w:pStyle w:val="Default"/>
        <w:spacing w:line="360" w:lineRule="auto"/>
        <w:ind w:firstLineChars="200" w:firstLine="560"/>
        <w:rPr>
          <w:rFonts w:ascii="宋体" w:eastAsia="宋体" w:hAnsi="宋体" w:hint="default"/>
          <w:color w:val="auto"/>
          <w:sz w:val="28"/>
          <w:szCs w:val="28"/>
        </w:rPr>
      </w:pPr>
      <w:r w:rsidRPr="00EC5189">
        <w:rPr>
          <w:rFonts w:ascii="宋体" w:eastAsia="宋体" w:hAnsi="宋体"/>
          <w:color w:val="auto"/>
          <w:sz w:val="28"/>
          <w:szCs w:val="28"/>
        </w:rPr>
        <w:t>年初预算为43329.32万元，支出决算为43446.28万元，完成年初预算的100.27%</w:t>
      </w:r>
      <w:r>
        <w:rPr>
          <w:rFonts w:ascii="宋体" w:eastAsia="宋体" w:hAnsi="宋体"/>
          <w:color w:val="auto"/>
          <w:sz w:val="28"/>
          <w:szCs w:val="28"/>
        </w:rPr>
        <w:t>。</w:t>
      </w:r>
      <w:r w:rsidRPr="0052056A">
        <w:rPr>
          <w:rFonts w:ascii="宋体" w:eastAsia="宋体" w:hAnsi="宋体"/>
          <w:color w:val="000000" w:themeColor="text1"/>
          <w:sz w:val="28"/>
          <w:szCs w:val="28"/>
        </w:rPr>
        <w:t>决算数大于预算数的主要原因</w:t>
      </w:r>
      <w:r w:rsidR="002D1C8A" w:rsidRPr="0052056A">
        <w:rPr>
          <w:rFonts w:ascii="宋体" w:eastAsia="宋体" w:hAnsi="宋体"/>
          <w:color w:val="000000" w:themeColor="text1"/>
          <w:sz w:val="28"/>
          <w:szCs w:val="28"/>
        </w:rPr>
        <w:t>是</w:t>
      </w:r>
      <w:r w:rsidR="002D1C8A" w:rsidRPr="002D1C8A">
        <w:rPr>
          <w:rFonts w:ascii="宋体" w:eastAsia="宋体" w:hAnsi="宋体"/>
          <w:color w:val="auto"/>
          <w:sz w:val="28"/>
          <w:szCs w:val="28"/>
        </w:rPr>
        <w:t>：年中追加“十四五”基建专项、中央支持地方高校建设专项、高校学生奖助学金、教育部预科生培养经费及其他财政专项经费。</w:t>
      </w:r>
    </w:p>
    <w:p w:rsidR="00B87C8A" w:rsidRPr="002D1C8A" w:rsidRDefault="00AD5EDE">
      <w:pPr>
        <w:pStyle w:val="Default"/>
        <w:spacing w:line="360" w:lineRule="auto"/>
        <w:ind w:firstLineChars="200" w:firstLine="560"/>
        <w:rPr>
          <w:rFonts w:ascii="宋体" w:eastAsia="宋体" w:hAnsi="宋体" w:hint="default"/>
          <w:color w:val="auto"/>
          <w:sz w:val="28"/>
          <w:szCs w:val="28"/>
        </w:rPr>
      </w:pPr>
      <w:r>
        <w:rPr>
          <w:rFonts w:ascii="宋体" w:eastAsia="宋体" w:hAnsi="宋体"/>
          <w:color w:val="auto"/>
          <w:sz w:val="28"/>
          <w:szCs w:val="28"/>
        </w:rPr>
        <w:t>6</w:t>
      </w:r>
      <w:r w:rsidR="002D1C8A" w:rsidRPr="002D1C8A">
        <w:rPr>
          <w:rFonts w:ascii="宋体" w:eastAsia="宋体" w:hAnsi="宋体"/>
          <w:color w:val="auto"/>
          <w:sz w:val="28"/>
          <w:szCs w:val="28"/>
        </w:rPr>
        <w:t>、</w:t>
      </w:r>
      <w:r w:rsidR="00EC5189">
        <w:rPr>
          <w:rFonts w:ascii="宋体" w:eastAsia="宋体" w:hAnsi="宋体"/>
          <w:color w:val="auto"/>
          <w:sz w:val="28"/>
          <w:szCs w:val="28"/>
        </w:rPr>
        <w:t>科学技术支出（类）基础研究（款）自然科学基金（项）</w:t>
      </w:r>
    </w:p>
    <w:p w:rsidR="00B87C8A" w:rsidRPr="002D1C8A" w:rsidRDefault="00EC5189" w:rsidP="00EC5189">
      <w:pPr>
        <w:pStyle w:val="Default"/>
        <w:spacing w:line="360" w:lineRule="auto"/>
        <w:ind w:firstLineChars="200" w:firstLine="560"/>
        <w:rPr>
          <w:rFonts w:ascii="宋体" w:eastAsia="宋体" w:hAnsi="宋体" w:hint="default"/>
          <w:color w:val="auto"/>
          <w:sz w:val="28"/>
          <w:szCs w:val="28"/>
        </w:rPr>
      </w:pPr>
      <w:r w:rsidRPr="00EC5189">
        <w:rPr>
          <w:rFonts w:ascii="宋体" w:eastAsia="宋体" w:hAnsi="宋体"/>
          <w:color w:val="auto"/>
          <w:sz w:val="28"/>
          <w:szCs w:val="28"/>
        </w:rPr>
        <w:t>年初预算为0万元，支出决算为85万元，决算数大于预算数的</w:t>
      </w:r>
      <w:r w:rsidRPr="0052056A">
        <w:rPr>
          <w:rFonts w:ascii="宋体" w:eastAsia="宋体" w:hAnsi="宋体"/>
          <w:color w:val="000000" w:themeColor="text1"/>
          <w:sz w:val="28"/>
          <w:szCs w:val="28"/>
        </w:rPr>
        <w:t>主要原因</w:t>
      </w:r>
      <w:r w:rsidRPr="00EC5189">
        <w:rPr>
          <w:rFonts w:ascii="宋体" w:eastAsia="宋体" w:hAnsi="宋体"/>
          <w:color w:val="auto"/>
          <w:sz w:val="28"/>
          <w:szCs w:val="28"/>
        </w:rPr>
        <w:t>是</w:t>
      </w:r>
      <w:r w:rsidR="002D1C8A" w:rsidRPr="002D1C8A">
        <w:rPr>
          <w:rFonts w:ascii="宋体" w:eastAsia="宋体" w:hAnsi="宋体"/>
          <w:color w:val="auto"/>
          <w:sz w:val="28"/>
          <w:szCs w:val="28"/>
        </w:rPr>
        <w:t>：该项经费于年中追加。</w:t>
      </w:r>
    </w:p>
    <w:p w:rsidR="00B87C8A" w:rsidRPr="002D1C8A" w:rsidRDefault="00AD5EDE">
      <w:pPr>
        <w:pStyle w:val="Default"/>
        <w:spacing w:line="360" w:lineRule="auto"/>
        <w:ind w:firstLineChars="200" w:firstLine="560"/>
        <w:rPr>
          <w:rFonts w:ascii="宋体" w:eastAsia="宋体" w:hAnsi="宋体" w:hint="default"/>
          <w:color w:val="auto"/>
          <w:sz w:val="28"/>
          <w:szCs w:val="28"/>
        </w:rPr>
      </w:pPr>
      <w:r>
        <w:rPr>
          <w:rFonts w:ascii="宋体" w:eastAsia="宋体" w:hAnsi="宋体"/>
          <w:color w:val="auto"/>
          <w:sz w:val="28"/>
          <w:szCs w:val="28"/>
        </w:rPr>
        <w:t>7</w:t>
      </w:r>
      <w:r w:rsidR="002D1C8A" w:rsidRPr="002D1C8A">
        <w:rPr>
          <w:rFonts w:ascii="宋体" w:eastAsia="宋体" w:hAnsi="宋体"/>
          <w:color w:val="auto"/>
          <w:sz w:val="28"/>
          <w:szCs w:val="28"/>
        </w:rPr>
        <w:t>、</w:t>
      </w:r>
      <w:r w:rsidR="00EC5189" w:rsidRPr="00EC5189">
        <w:rPr>
          <w:rFonts w:ascii="宋体" w:eastAsia="宋体" w:hAnsi="宋体"/>
          <w:color w:val="auto"/>
          <w:sz w:val="28"/>
          <w:szCs w:val="28"/>
        </w:rPr>
        <w:t>科学技术</w:t>
      </w:r>
      <w:r w:rsidR="00EC5189">
        <w:rPr>
          <w:rFonts w:ascii="宋体" w:eastAsia="宋体" w:hAnsi="宋体"/>
          <w:color w:val="auto"/>
          <w:sz w:val="28"/>
          <w:szCs w:val="28"/>
        </w:rPr>
        <w:t>支出（类）科技条件与服务（款）其他科技条件与服务支出（项）</w:t>
      </w:r>
    </w:p>
    <w:p w:rsidR="00B87C8A" w:rsidRPr="002D1C8A" w:rsidRDefault="00EC5189" w:rsidP="00EC5189">
      <w:pPr>
        <w:pStyle w:val="Default"/>
        <w:spacing w:line="360" w:lineRule="auto"/>
        <w:ind w:firstLineChars="200" w:firstLine="560"/>
        <w:rPr>
          <w:rFonts w:ascii="宋体" w:eastAsia="宋体" w:hAnsi="宋体" w:hint="default"/>
          <w:color w:val="auto"/>
          <w:sz w:val="28"/>
          <w:szCs w:val="28"/>
        </w:rPr>
      </w:pPr>
      <w:r w:rsidRPr="00EC5189">
        <w:rPr>
          <w:rFonts w:ascii="宋体" w:eastAsia="宋体" w:hAnsi="宋体"/>
          <w:color w:val="auto"/>
          <w:sz w:val="28"/>
          <w:szCs w:val="28"/>
        </w:rPr>
        <w:t>年初预算为0万元，支出决算为60万元，决算数大于预算数的</w:t>
      </w:r>
      <w:r w:rsidRPr="0052056A">
        <w:rPr>
          <w:rFonts w:ascii="宋体" w:eastAsia="宋体" w:hAnsi="宋体"/>
          <w:color w:val="000000" w:themeColor="text1"/>
          <w:sz w:val="28"/>
          <w:szCs w:val="28"/>
        </w:rPr>
        <w:t>主要原因是</w:t>
      </w:r>
      <w:r w:rsidR="002D1C8A" w:rsidRPr="002D1C8A">
        <w:rPr>
          <w:rFonts w:ascii="宋体" w:eastAsia="宋体" w:hAnsi="宋体"/>
          <w:color w:val="auto"/>
          <w:sz w:val="28"/>
          <w:szCs w:val="28"/>
        </w:rPr>
        <w:t>：该项经费于年中追加。</w:t>
      </w:r>
    </w:p>
    <w:p w:rsidR="00B87C8A" w:rsidRDefault="00AD5EDE">
      <w:pPr>
        <w:pStyle w:val="Default"/>
        <w:spacing w:line="360" w:lineRule="auto"/>
        <w:ind w:firstLineChars="200" w:firstLine="560"/>
        <w:rPr>
          <w:rFonts w:ascii="宋体" w:eastAsia="宋体" w:hAnsi="宋体" w:hint="default"/>
          <w:color w:val="auto"/>
          <w:sz w:val="28"/>
          <w:szCs w:val="28"/>
        </w:rPr>
      </w:pPr>
      <w:r>
        <w:rPr>
          <w:rFonts w:ascii="宋体" w:eastAsia="宋体" w:hAnsi="宋体"/>
          <w:color w:val="auto"/>
          <w:sz w:val="28"/>
          <w:szCs w:val="28"/>
        </w:rPr>
        <w:t>8</w:t>
      </w:r>
      <w:r w:rsidR="002D1C8A" w:rsidRPr="002D1C8A">
        <w:rPr>
          <w:rFonts w:ascii="宋体" w:eastAsia="宋体" w:hAnsi="宋体"/>
          <w:color w:val="auto"/>
          <w:sz w:val="28"/>
          <w:szCs w:val="28"/>
        </w:rPr>
        <w:t>、</w:t>
      </w:r>
      <w:r w:rsidR="00EC5189">
        <w:rPr>
          <w:rFonts w:ascii="宋体" w:eastAsia="宋体" w:hAnsi="宋体"/>
          <w:color w:val="auto"/>
          <w:sz w:val="28"/>
          <w:szCs w:val="28"/>
        </w:rPr>
        <w:t>科学技术支出（类）社会科学（款）其他社会科学支出（项）</w:t>
      </w:r>
    </w:p>
    <w:p w:rsidR="00EC5189" w:rsidRDefault="00EC5189" w:rsidP="00EC5189">
      <w:pPr>
        <w:pStyle w:val="Default"/>
        <w:spacing w:line="360" w:lineRule="auto"/>
        <w:ind w:firstLineChars="200" w:firstLine="560"/>
        <w:rPr>
          <w:rFonts w:ascii="宋体" w:eastAsia="宋体" w:hAnsi="宋体" w:hint="default"/>
          <w:color w:val="auto"/>
          <w:sz w:val="28"/>
          <w:szCs w:val="28"/>
        </w:rPr>
      </w:pPr>
      <w:r w:rsidRPr="00EC5189">
        <w:rPr>
          <w:rFonts w:ascii="宋体" w:eastAsia="宋体" w:hAnsi="宋体"/>
          <w:color w:val="auto"/>
          <w:sz w:val="28"/>
          <w:szCs w:val="28"/>
        </w:rPr>
        <w:t>年初预算为0万元，支出决算为69.5万元，决算数大于预算数的</w:t>
      </w:r>
      <w:r w:rsidRPr="0052056A">
        <w:rPr>
          <w:rFonts w:ascii="宋体" w:eastAsia="宋体" w:hAnsi="宋体"/>
          <w:color w:val="000000" w:themeColor="text1"/>
          <w:sz w:val="28"/>
          <w:szCs w:val="28"/>
        </w:rPr>
        <w:t>主要原因</w:t>
      </w:r>
      <w:r w:rsidRPr="00EC5189">
        <w:rPr>
          <w:rFonts w:ascii="宋体" w:eastAsia="宋体" w:hAnsi="宋体"/>
          <w:color w:val="auto"/>
          <w:sz w:val="28"/>
          <w:szCs w:val="28"/>
        </w:rPr>
        <w:t>是</w:t>
      </w:r>
      <w:r>
        <w:rPr>
          <w:rFonts w:ascii="宋体" w:eastAsia="宋体" w:hAnsi="宋体"/>
          <w:color w:val="auto"/>
          <w:sz w:val="28"/>
          <w:szCs w:val="28"/>
        </w:rPr>
        <w:t>：</w:t>
      </w:r>
      <w:r w:rsidR="004B40B1" w:rsidRPr="002D1C8A">
        <w:rPr>
          <w:rFonts w:ascii="宋体" w:eastAsia="宋体" w:hAnsi="宋体"/>
          <w:color w:val="auto"/>
          <w:sz w:val="28"/>
          <w:szCs w:val="28"/>
        </w:rPr>
        <w:t>该项经费于年中追加。</w:t>
      </w:r>
    </w:p>
    <w:p w:rsidR="00B87C8A" w:rsidRPr="002D1C8A" w:rsidRDefault="00AD5EDE" w:rsidP="00EC5189">
      <w:pPr>
        <w:pStyle w:val="Default"/>
        <w:spacing w:line="360" w:lineRule="auto"/>
        <w:ind w:firstLineChars="200" w:firstLine="560"/>
        <w:rPr>
          <w:rFonts w:ascii="宋体" w:eastAsia="宋体" w:hAnsi="宋体" w:hint="default"/>
          <w:color w:val="auto"/>
          <w:sz w:val="28"/>
          <w:szCs w:val="28"/>
        </w:rPr>
      </w:pPr>
      <w:r>
        <w:rPr>
          <w:rFonts w:ascii="宋体" w:eastAsia="宋体" w:hAnsi="宋体"/>
          <w:color w:val="auto"/>
          <w:sz w:val="28"/>
          <w:szCs w:val="28"/>
        </w:rPr>
        <w:t>9</w:t>
      </w:r>
      <w:r w:rsidR="002D1C8A" w:rsidRPr="002D1C8A">
        <w:rPr>
          <w:rFonts w:ascii="宋体" w:eastAsia="宋体" w:hAnsi="宋体"/>
          <w:color w:val="auto"/>
          <w:sz w:val="28"/>
          <w:szCs w:val="28"/>
        </w:rPr>
        <w:t>、</w:t>
      </w:r>
      <w:r w:rsidR="00EC5189">
        <w:rPr>
          <w:rFonts w:ascii="宋体" w:eastAsia="宋体" w:hAnsi="宋体"/>
          <w:color w:val="auto"/>
          <w:sz w:val="28"/>
          <w:szCs w:val="28"/>
        </w:rPr>
        <w:t>科学技术支出（类）科学技术普及（款）其他科学技术普及支</w:t>
      </w:r>
      <w:r w:rsidR="00EC5189">
        <w:rPr>
          <w:rFonts w:ascii="宋体" w:eastAsia="宋体" w:hAnsi="宋体"/>
          <w:color w:val="auto"/>
          <w:sz w:val="28"/>
          <w:szCs w:val="28"/>
        </w:rPr>
        <w:lastRenderedPageBreak/>
        <w:t>出（项）</w:t>
      </w:r>
    </w:p>
    <w:p w:rsidR="00B87C8A" w:rsidRPr="002D1C8A" w:rsidRDefault="00EC5189" w:rsidP="00EC5189">
      <w:pPr>
        <w:pStyle w:val="Default"/>
        <w:spacing w:line="360" w:lineRule="auto"/>
        <w:ind w:firstLineChars="200" w:firstLine="560"/>
        <w:rPr>
          <w:rFonts w:ascii="宋体" w:eastAsia="宋体" w:hAnsi="宋体" w:hint="default"/>
          <w:color w:val="auto"/>
          <w:sz w:val="28"/>
          <w:szCs w:val="28"/>
        </w:rPr>
      </w:pPr>
      <w:r w:rsidRPr="00EC5189">
        <w:rPr>
          <w:rFonts w:ascii="宋体" w:eastAsia="宋体" w:hAnsi="宋体"/>
          <w:color w:val="auto"/>
          <w:sz w:val="28"/>
          <w:szCs w:val="28"/>
        </w:rPr>
        <w:t>年初预算为0万元，支出决算为2万元，决算数大于预算数的</w:t>
      </w:r>
      <w:r w:rsidRPr="0052056A">
        <w:rPr>
          <w:rFonts w:ascii="宋体" w:eastAsia="宋体" w:hAnsi="宋体"/>
          <w:color w:val="000000" w:themeColor="text1"/>
          <w:sz w:val="28"/>
          <w:szCs w:val="28"/>
        </w:rPr>
        <w:t>主要原因是</w:t>
      </w:r>
      <w:r w:rsidR="002D1C8A" w:rsidRPr="0052056A">
        <w:rPr>
          <w:rFonts w:ascii="宋体" w:eastAsia="宋体" w:hAnsi="宋体"/>
          <w:color w:val="000000" w:themeColor="text1"/>
          <w:sz w:val="28"/>
          <w:szCs w:val="28"/>
        </w:rPr>
        <w:t>：</w:t>
      </w:r>
      <w:r w:rsidR="002D1C8A" w:rsidRPr="002D1C8A">
        <w:rPr>
          <w:rFonts w:ascii="宋体" w:eastAsia="宋体" w:hAnsi="宋体"/>
          <w:color w:val="auto"/>
          <w:sz w:val="28"/>
          <w:szCs w:val="28"/>
        </w:rPr>
        <w:t>该项经费于年中追加。</w:t>
      </w:r>
    </w:p>
    <w:p w:rsidR="00B87C8A" w:rsidRPr="002D1C8A" w:rsidRDefault="00AD5EDE">
      <w:pPr>
        <w:pStyle w:val="Default"/>
        <w:spacing w:line="360" w:lineRule="auto"/>
        <w:ind w:firstLineChars="200" w:firstLine="560"/>
        <w:rPr>
          <w:rFonts w:ascii="宋体" w:eastAsia="宋体" w:hAnsi="宋体" w:hint="default"/>
          <w:color w:val="auto"/>
          <w:sz w:val="28"/>
          <w:szCs w:val="28"/>
        </w:rPr>
      </w:pPr>
      <w:r>
        <w:rPr>
          <w:rFonts w:ascii="宋体" w:eastAsia="宋体" w:hAnsi="宋体"/>
          <w:color w:val="auto"/>
          <w:sz w:val="28"/>
          <w:szCs w:val="28"/>
        </w:rPr>
        <w:t>10</w:t>
      </w:r>
      <w:r w:rsidR="002D1C8A" w:rsidRPr="002D1C8A">
        <w:rPr>
          <w:rFonts w:ascii="宋体" w:eastAsia="宋体" w:hAnsi="宋体"/>
          <w:color w:val="auto"/>
          <w:sz w:val="28"/>
          <w:szCs w:val="28"/>
        </w:rPr>
        <w:t>、</w:t>
      </w:r>
      <w:r>
        <w:rPr>
          <w:rFonts w:ascii="宋体" w:eastAsia="宋体" w:hAnsi="宋体"/>
          <w:color w:val="auto"/>
          <w:sz w:val="28"/>
          <w:szCs w:val="28"/>
        </w:rPr>
        <w:t>科学技术支出（类）科技重大项目（款）重点研发计划（项）</w:t>
      </w:r>
    </w:p>
    <w:p w:rsidR="00B87C8A" w:rsidRPr="002D1C8A" w:rsidRDefault="00AD5EDE" w:rsidP="00AD5EDE">
      <w:pPr>
        <w:pStyle w:val="Default"/>
        <w:spacing w:line="360" w:lineRule="auto"/>
        <w:ind w:firstLineChars="200" w:firstLine="560"/>
        <w:rPr>
          <w:rFonts w:ascii="宋体" w:eastAsia="宋体" w:hAnsi="宋体" w:hint="default"/>
          <w:color w:val="auto"/>
          <w:sz w:val="28"/>
          <w:szCs w:val="28"/>
        </w:rPr>
      </w:pPr>
      <w:r w:rsidRPr="00AD5EDE">
        <w:rPr>
          <w:rFonts w:ascii="宋体" w:eastAsia="宋体" w:hAnsi="宋体"/>
          <w:color w:val="auto"/>
          <w:sz w:val="28"/>
          <w:szCs w:val="28"/>
        </w:rPr>
        <w:t>年初预算为0万元，支出决算为50万元，决算数大于预算数的</w:t>
      </w:r>
      <w:r w:rsidRPr="0052056A">
        <w:rPr>
          <w:rFonts w:ascii="宋体" w:eastAsia="宋体" w:hAnsi="宋体"/>
          <w:color w:val="000000" w:themeColor="text1"/>
          <w:sz w:val="28"/>
          <w:szCs w:val="28"/>
        </w:rPr>
        <w:t>主要原因是：</w:t>
      </w:r>
      <w:r w:rsidR="004B40B1" w:rsidRPr="002D1C8A">
        <w:rPr>
          <w:rFonts w:ascii="宋体" w:eastAsia="宋体" w:hAnsi="宋体"/>
          <w:color w:val="auto"/>
          <w:sz w:val="28"/>
          <w:szCs w:val="28"/>
        </w:rPr>
        <w:t>该项经费于年中追加。</w:t>
      </w:r>
    </w:p>
    <w:p w:rsidR="00B87C8A" w:rsidRPr="002D1C8A" w:rsidRDefault="002D1C8A">
      <w:pPr>
        <w:pStyle w:val="Default"/>
        <w:spacing w:line="360" w:lineRule="auto"/>
        <w:ind w:firstLineChars="200" w:firstLine="560"/>
        <w:rPr>
          <w:rFonts w:ascii="宋体" w:eastAsia="宋体" w:hAnsi="宋体" w:hint="default"/>
          <w:color w:val="auto"/>
          <w:sz w:val="28"/>
          <w:szCs w:val="28"/>
        </w:rPr>
      </w:pPr>
      <w:r w:rsidRPr="002D1C8A">
        <w:rPr>
          <w:rFonts w:ascii="宋体" w:eastAsia="宋体" w:hAnsi="宋体"/>
          <w:color w:val="auto"/>
          <w:sz w:val="28"/>
          <w:szCs w:val="28"/>
        </w:rPr>
        <w:t>1</w:t>
      </w:r>
      <w:r w:rsidR="00AD5EDE">
        <w:rPr>
          <w:rFonts w:ascii="宋体" w:eastAsia="宋体" w:hAnsi="宋体"/>
          <w:color w:val="auto"/>
          <w:sz w:val="28"/>
          <w:szCs w:val="28"/>
        </w:rPr>
        <w:t>1</w:t>
      </w:r>
      <w:r w:rsidRPr="002D1C8A">
        <w:rPr>
          <w:rFonts w:ascii="宋体" w:eastAsia="宋体" w:hAnsi="宋体"/>
          <w:color w:val="auto"/>
          <w:sz w:val="28"/>
          <w:szCs w:val="28"/>
        </w:rPr>
        <w:t>、</w:t>
      </w:r>
      <w:r w:rsidR="00AD5EDE" w:rsidRPr="00AD5EDE">
        <w:rPr>
          <w:rFonts w:ascii="宋体" w:eastAsia="宋体" w:hAnsi="宋体"/>
          <w:color w:val="auto"/>
          <w:sz w:val="28"/>
          <w:szCs w:val="28"/>
        </w:rPr>
        <w:t>科学技术支出（类）其他科学技术支出（款）其他科学技术支</w:t>
      </w:r>
      <w:r w:rsidR="00AD5EDE">
        <w:rPr>
          <w:rFonts w:ascii="宋体" w:eastAsia="宋体" w:hAnsi="宋体"/>
          <w:color w:val="auto"/>
          <w:sz w:val="28"/>
          <w:szCs w:val="28"/>
        </w:rPr>
        <w:t>出（项）</w:t>
      </w:r>
    </w:p>
    <w:p w:rsidR="00B87C8A" w:rsidRPr="002D1C8A" w:rsidRDefault="00AD5EDE" w:rsidP="00AD5EDE">
      <w:pPr>
        <w:pStyle w:val="Default"/>
        <w:spacing w:line="360" w:lineRule="auto"/>
        <w:ind w:firstLineChars="200" w:firstLine="560"/>
        <w:rPr>
          <w:rFonts w:ascii="宋体" w:eastAsia="宋体" w:hAnsi="宋体" w:hint="default"/>
          <w:color w:val="auto"/>
          <w:sz w:val="28"/>
          <w:szCs w:val="28"/>
        </w:rPr>
      </w:pPr>
      <w:r w:rsidRPr="00AD5EDE">
        <w:rPr>
          <w:rFonts w:ascii="宋体" w:eastAsia="宋体" w:hAnsi="宋体"/>
          <w:color w:val="auto"/>
          <w:sz w:val="28"/>
          <w:szCs w:val="28"/>
        </w:rPr>
        <w:t>年初预算为0万元，支出决算为40万元，决算数大于预算数的</w:t>
      </w:r>
      <w:r w:rsidRPr="0052056A">
        <w:rPr>
          <w:rFonts w:ascii="宋体" w:eastAsia="宋体" w:hAnsi="宋体"/>
          <w:color w:val="000000" w:themeColor="text1"/>
          <w:sz w:val="28"/>
          <w:szCs w:val="28"/>
        </w:rPr>
        <w:t>主要原因是</w:t>
      </w:r>
      <w:r w:rsidR="002D1C8A" w:rsidRPr="002D1C8A">
        <w:rPr>
          <w:rFonts w:ascii="宋体" w:eastAsia="宋体" w:hAnsi="宋体"/>
          <w:color w:val="auto"/>
          <w:sz w:val="28"/>
          <w:szCs w:val="28"/>
        </w:rPr>
        <w:t>：该项经费于年中追加。</w:t>
      </w:r>
    </w:p>
    <w:p w:rsidR="00B87C8A" w:rsidRPr="002D1C8A" w:rsidRDefault="002D1C8A">
      <w:pPr>
        <w:pStyle w:val="Default"/>
        <w:spacing w:line="360" w:lineRule="auto"/>
        <w:ind w:firstLineChars="200" w:firstLine="560"/>
        <w:rPr>
          <w:rFonts w:ascii="宋体" w:eastAsia="宋体" w:hAnsi="宋体" w:hint="default"/>
          <w:color w:val="auto"/>
          <w:sz w:val="28"/>
          <w:szCs w:val="28"/>
        </w:rPr>
      </w:pPr>
      <w:r w:rsidRPr="002D1C8A">
        <w:rPr>
          <w:rFonts w:ascii="宋体" w:eastAsia="宋体" w:hAnsi="宋体"/>
          <w:color w:val="auto"/>
          <w:sz w:val="28"/>
          <w:szCs w:val="28"/>
        </w:rPr>
        <w:t>1</w:t>
      </w:r>
      <w:r w:rsidR="00AD5EDE">
        <w:rPr>
          <w:rFonts w:ascii="宋体" w:eastAsia="宋体" w:hAnsi="宋体"/>
          <w:color w:val="auto"/>
          <w:sz w:val="28"/>
          <w:szCs w:val="28"/>
        </w:rPr>
        <w:t>2</w:t>
      </w:r>
      <w:r w:rsidRPr="002D1C8A">
        <w:rPr>
          <w:rFonts w:ascii="宋体" w:eastAsia="宋体" w:hAnsi="宋体"/>
          <w:color w:val="auto"/>
          <w:sz w:val="28"/>
          <w:szCs w:val="28"/>
        </w:rPr>
        <w:t>、</w:t>
      </w:r>
      <w:r w:rsidR="00AD5EDE" w:rsidRPr="00AD5EDE">
        <w:rPr>
          <w:rFonts w:ascii="宋体" w:eastAsia="宋体" w:hAnsi="宋体"/>
          <w:color w:val="auto"/>
          <w:sz w:val="28"/>
          <w:szCs w:val="28"/>
        </w:rPr>
        <w:t>文</w:t>
      </w:r>
      <w:r w:rsidR="00AD5EDE">
        <w:rPr>
          <w:rFonts w:ascii="宋体" w:eastAsia="宋体" w:hAnsi="宋体"/>
          <w:color w:val="auto"/>
          <w:sz w:val="28"/>
          <w:szCs w:val="28"/>
        </w:rPr>
        <w:t>化旅游体育与传媒支出（类）文化和旅游（款）文化创作与保护（项）</w:t>
      </w:r>
    </w:p>
    <w:p w:rsidR="00B87C8A" w:rsidRPr="002D1C8A" w:rsidRDefault="00AD5EDE" w:rsidP="00AD5EDE">
      <w:pPr>
        <w:pStyle w:val="Default"/>
        <w:spacing w:line="360" w:lineRule="auto"/>
        <w:ind w:firstLineChars="200" w:firstLine="560"/>
        <w:rPr>
          <w:rFonts w:ascii="宋体" w:eastAsia="宋体" w:hAnsi="宋体" w:hint="default"/>
          <w:color w:val="auto"/>
          <w:sz w:val="28"/>
          <w:szCs w:val="28"/>
        </w:rPr>
      </w:pPr>
      <w:r w:rsidRPr="00AD5EDE">
        <w:rPr>
          <w:rFonts w:ascii="宋体" w:eastAsia="宋体" w:hAnsi="宋体"/>
          <w:color w:val="auto"/>
          <w:sz w:val="28"/>
          <w:szCs w:val="28"/>
        </w:rPr>
        <w:t>年初预算为0万元，支出决算为50万元，决算数大于预算数的</w:t>
      </w:r>
      <w:r w:rsidRPr="0052056A">
        <w:rPr>
          <w:rFonts w:ascii="宋体" w:eastAsia="宋体" w:hAnsi="宋体"/>
          <w:color w:val="000000" w:themeColor="text1"/>
          <w:sz w:val="28"/>
          <w:szCs w:val="28"/>
        </w:rPr>
        <w:t>主要原因是</w:t>
      </w:r>
      <w:r w:rsidR="004B40B1">
        <w:rPr>
          <w:rFonts w:ascii="宋体" w:eastAsia="宋体" w:hAnsi="宋体"/>
          <w:color w:val="auto"/>
          <w:sz w:val="28"/>
          <w:szCs w:val="28"/>
        </w:rPr>
        <w:t>：</w:t>
      </w:r>
      <w:r w:rsidR="004B40B1" w:rsidRPr="004B40B1">
        <w:rPr>
          <w:rFonts w:ascii="宋体" w:eastAsia="宋体" w:hAnsi="宋体"/>
          <w:color w:val="auto"/>
          <w:sz w:val="28"/>
          <w:szCs w:val="28"/>
        </w:rPr>
        <w:t>该项经费于年中追加。</w:t>
      </w:r>
    </w:p>
    <w:p w:rsidR="00B87C8A" w:rsidRPr="002D1C8A" w:rsidRDefault="002D1C8A">
      <w:pPr>
        <w:pStyle w:val="Default"/>
        <w:spacing w:line="360" w:lineRule="auto"/>
        <w:ind w:firstLineChars="200" w:firstLine="560"/>
        <w:rPr>
          <w:rFonts w:ascii="宋体" w:eastAsia="宋体" w:hAnsi="宋体" w:hint="default"/>
          <w:color w:val="auto"/>
          <w:sz w:val="28"/>
          <w:szCs w:val="28"/>
        </w:rPr>
      </w:pPr>
      <w:r w:rsidRPr="002D1C8A">
        <w:rPr>
          <w:rFonts w:ascii="宋体" w:eastAsia="宋体" w:hAnsi="宋体"/>
          <w:color w:val="auto"/>
          <w:sz w:val="28"/>
          <w:szCs w:val="28"/>
        </w:rPr>
        <w:t>1</w:t>
      </w:r>
      <w:r w:rsidR="00AD5EDE">
        <w:rPr>
          <w:rFonts w:ascii="宋体" w:eastAsia="宋体" w:hAnsi="宋体"/>
          <w:color w:val="auto"/>
          <w:sz w:val="28"/>
          <w:szCs w:val="28"/>
        </w:rPr>
        <w:t>3</w:t>
      </w:r>
      <w:r w:rsidRPr="002D1C8A">
        <w:rPr>
          <w:rFonts w:ascii="宋体" w:eastAsia="宋体" w:hAnsi="宋体"/>
          <w:color w:val="auto"/>
          <w:sz w:val="28"/>
          <w:szCs w:val="28"/>
        </w:rPr>
        <w:t>、</w:t>
      </w:r>
      <w:r w:rsidR="00AD5EDE">
        <w:rPr>
          <w:rFonts w:ascii="宋体" w:eastAsia="宋体" w:hAnsi="宋体"/>
          <w:color w:val="auto"/>
          <w:sz w:val="28"/>
          <w:szCs w:val="28"/>
        </w:rPr>
        <w:t>社会保障和就业支出（类）就业补助（款）其他就业补助支出（项）</w:t>
      </w:r>
    </w:p>
    <w:p w:rsidR="00B87C8A" w:rsidRPr="002D1C8A" w:rsidRDefault="00AD5EDE" w:rsidP="00AD5EDE">
      <w:pPr>
        <w:pStyle w:val="Default"/>
        <w:spacing w:line="360" w:lineRule="auto"/>
        <w:ind w:firstLineChars="200" w:firstLine="560"/>
        <w:rPr>
          <w:rFonts w:ascii="宋体" w:eastAsia="宋体" w:hAnsi="宋体" w:hint="default"/>
          <w:color w:val="auto"/>
          <w:sz w:val="28"/>
          <w:szCs w:val="28"/>
        </w:rPr>
      </w:pPr>
      <w:r w:rsidRPr="00AD5EDE">
        <w:rPr>
          <w:rFonts w:ascii="宋体" w:eastAsia="宋体" w:hAnsi="宋体"/>
          <w:color w:val="auto"/>
          <w:sz w:val="28"/>
          <w:szCs w:val="28"/>
        </w:rPr>
        <w:t>年初预算为0万元，支出决算为18.4万元，决算数大于预算数的</w:t>
      </w:r>
      <w:r w:rsidRPr="0052056A">
        <w:rPr>
          <w:rFonts w:ascii="宋体" w:eastAsia="宋体" w:hAnsi="宋体"/>
          <w:color w:val="000000" w:themeColor="text1"/>
          <w:sz w:val="28"/>
          <w:szCs w:val="28"/>
        </w:rPr>
        <w:t>主要原因</w:t>
      </w:r>
      <w:r w:rsidRPr="00AD5EDE">
        <w:rPr>
          <w:rFonts w:ascii="宋体" w:eastAsia="宋体" w:hAnsi="宋体"/>
          <w:color w:val="auto"/>
          <w:sz w:val="28"/>
          <w:szCs w:val="28"/>
        </w:rPr>
        <w:t>是</w:t>
      </w:r>
      <w:r w:rsidR="00DE490E" w:rsidRPr="004B40B1">
        <w:rPr>
          <w:rFonts w:ascii="宋体" w:eastAsia="宋体" w:hAnsi="宋体"/>
          <w:color w:val="auto"/>
          <w:sz w:val="28"/>
          <w:szCs w:val="28"/>
        </w:rPr>
        <w:t>该项经费于年中追加。</w:t>
      </w:r>
    </w:p>
    <w:p w:rsidR="00B87C8A" w:rsidRPr="002D1C8A" w:rsidRDefault="002D1C8A">
      <w:pPr>
        <w:pStyle w:val="Default"/>
        <w:spacing w:line="360" w:lineRule="auto"/>
        <w:ind w:firstLineChars="200" w:firstLine="560"/>
        <w:rPr>
          <w:rFonts w:ascii="宋体" w:eastAsia="宋体" w:hAnsi="宋体" w:hint="default"/>
          <w:color w:val="auto"/>
          <w:sz w:val="28"/>
          <w:szCs w:val="28"/>
        </w:rPr>
      </w:pPr>
      <w:r w:rsidRPr="002D1C8A">
        <w:rPr>
          <w:rFonts w:ascii="宋体" w:eastAsia="宋体" w:hAnsi="宋体"/>
          <w:color w:val="auto"/>
          <w:sz w:val="28"/>
          <w:szCs w:val="28"/>
        </w:rPr>
        <w:t>1</w:t>
      </w:r>
      <w:r w:rsidR="00AD5EDE">
        <w:rPr>
          <w:rFonts w:ascii="宋体" w:eastAsia="宋体" w:hAnsi="宋体"/>
          <w:color w:val="auto"/>
          <w:sz w:val="28"/>
          <w:szCs w:val="28"/>
        </w:rPr>
        <w:t>4</w:t>
      </w:r>
      <w:r w:rsidRPr="002D1C8A">
        <w:rPr>
          <w:rFonts w:ascii="宋体" w:eastAsia="宋体" w:hAnsi="宋体"/>
          <w:color w:val="auto"/>
          <w:sz w:val="28"/>
          <w:szCs w:val="28"/>
        </w:rPr>
        <w:t>、</w:t>
      </w:r>
      <w:r w:rsidR="00AD5EDE" w:rsidRPr="00AD5EDE">
        <w:rPr>
          <w:rFonts w:ascii="宋体" w:eastAsia="宋体" w:hAnsi="宋体"/>
          <w:color w:val="auto"/>
          <w:sz w:val="28"/>
          <w:szCs w:val="28"/>
        </w:rPr>
        <w:t>社会保障和就业支出</w:t>
      </w:r>
      <w:r w:rsidR="00AD5EDE">
        <w:rPr>
          <w:rFonts w:ascii="宋体" w:eastAsia="宋体" w:hAnsi="宋体"/>
          <w:color w:val="auto"/>
          <w:sz w:val="28"/>
          <w:szCs w:val="28"/>
        </w:rPr>
        <w:t>（类）其他社会保障和就业支出（款）其他社会保障和就业支出（项）</w:t>
      </w:r>
    </w:p>
    <w:p w:rsidR="00B87C8A" w:rsidRPr="002D1C8A" w:rsidRDefault="00AD5EDE" w:rsidP="00AD5EDE">
      <w:pPr>
        <w:pStyle w:val="Default"/>
        <w:spacing w:line="360" w:lineRule="auto"/>
        <w:ind w:firstLineChars="200" w:firstLine="560"/>
        <w:rPr>
          <w:rFonts w:ascii="宋体" w:eastAsia="宋体" w:hAnsi="宋体" w:hint="default"/>
          <w:color w:val="auto"/>
          <w:sz w:val="28"/>
          <w:szCs w:val="28"/>
        </w:rPr>
      </w:pPr>
      <w:r w:rsidRPr="00AD5EDE">
        <w:rPr>
          <w:rFonts w:ascii="宋体" w:eastAsia="宋体" w:hAnsi="宋体"/>
          <w:color w:val="auto"/>
          <w:sz w:val="28"/>
          <w:szCs w:val="28"/>
        </w:rPr>
        <w:t>年初预算为0万元，支出决算为0.98万元，决算数大于预算数的</w:t>
      </w:r>
      <w:r w:rsidRPr="0052056A">
        <w:rPr>
          <w:rFonts w:ascii="宋体" w:eastAsia="宋体" w:hAnsi="宋体"/>
          <w:color w:val="000000" w:themeColor="text1"/>
          <w:sz w:val="28"/>
          <w:szCs w:val="28"/>
        </w:rPr>
        <w:t>主要原因</w:t>
      </w:r>
      <w:r w:rsidRPr="00AD5EDE">
        <w:rPr>
          <w:rFonts w:ascii="宋体" w:eastAsia="宋体" w:hAnsi="宋体"/>
          <w:color w:val="auto"/>
          <w:sz w:val="28"/>
          <w:szCs w:val="28"/>
        </w:rPr>
        <w:t>是</w:t>
      </w:r>
      <w:r>
        <w:rPr>
          <w:rFonts w:ascii="宋体" w:eastAsia="宋体" w:hAnsi="宋体"/>
          <w:color w:val="auto"/>
          <w:sz w:val="28"/>
          <w:szCs w:val="28"/>
        </w:rPr>
        <w:t>：</w:t>
      </w:r>
      <w:r w:rsidR="00DE490E" w:rsidRPr="004B40B1">
        <w:rPr>
          <w:rFonts w:ascii="宋体" w:eastAsia="宋体" w:hAnsi="宋体"/>
          <w:color w:val="auto"/>
          <w:sz w:val="28"/>
          <w:szCs w:val="28"/>
        </w:rPr>
        <w:t>该项经费于年中追加。</w:t>
      </w:r>
    </w:p>
    <w:p w:rsidR="00B87C8A" w:rsidRPr="002D1C8A" w:rsidRDefault="002D1C8A">
      <w:pPr>
        <w:pStyle w:val="Default"/>
        <w:spacing w:line="360" w:lineRule="auto"/>
        <w:ind w:firstLineChars="200" w:firstLine="560"/>
        <w:rPr>
          <w:rFonts w:ascii="宋体" w:eastAsia="宋体" w:hAnsi="宋体" w:hint="default"/>
          <w:color w:val="auto"/>
          <w:sz w:val="28"/>
          <w:szCs w:val="28"/>
        </w:rPr>
      </w:pPr>
      <w:r w:rsidRPr="002D1C8A">
        <w:rPr>
          <w:rFonts w:ascii="宋体" w:eastAsia="宋体" w:hAnsi="宋体"/>
          <w:color w:val="auto"/>
          <w:sz w:val="28"/>
          <w:szCs w:val="28"/>
        </w:rPr>
        <w:t>1</w:t>
      </w:r>
      <w:r w:rsidR="00AD5EDE">
        <w:rPr>
          <w:rFonts w:ascii="宋体" w:eastAsia="宋体" w:hAnsi="宋体"/>
          <w:color w:val="auto"/>
          <w:sz w:val="28"/>
          <w:szCs w:val="28"/>
        </w:rPr>
        <w:t>5</w:t>
      </w:r>
      <w:r w:rsidRPr="002D1C8A">
        <w:rPr>
          <w:rFonts w:ascii="宋体" w:eastAsia="宋体" w:hAnsi="宋体"/>
          <w:color w:val="auto"/>
          <w:sz w:val="28"/>
          <w:szCs w:val="28"/>
        </w:rPr>
        <w:t>、</w:t>
      </w:r>
      <w:r w:rsidR="00AD5EDE">
        <w:rPr>
          <w:rFonts w:ascii="宋体" w:eastAsia="宋体" w:hAnsi="宋体"/>
          <w:color w:val="auto"/>
          <w:sz w:val="28"/>
          <w:szCs w:val="28"/>
        </w:rPr>
        <w:t>卫生健康支出（类）公共卫生（款）其他公共卫生支出（项）</w:t>
      </w:r>
    </w:p>
    <w:p w:rsidR="00B87C8A" w:rsidRPr="002D1C8A" w:rsidRDefault="00AD5EDE" w:rsidP="00AD5EDE">
      <w:pPr>
        <w:pStyle w:val="Default"/>
        <w:spacing w:line="360" w:lineRule="auto"/>
        <w:ind w:firstLineChars="200" w:firstLine="560"/>
        <w:rPr>
          <w:rFonts w:ascii="宋体" w:eastAsia="宋体" w:hAnsi="宋体" w:hint="default"/>
          <w:color w:val="auto"/>
          <w:sz w:val="28"/>
          <w:szCs w:val="28"/>
        </w:rPr>
      </w:pPr>
      <w:r w:rsidRPr="00AD5EDE">
        <w:rPr>
          <w:rFonts w:ascii="宋体" w:eastAsia="宋体" w:hAnsi="宋体"/>
          <w:color w:val="auto"/>
          <w:sz w:val="28"/>
          <w:szCs w:val="28"/>
        </w:rPr>
        <w:t>年初预算为125.6万元，支出决算为519.39万元</w:t>
      </w:r>
      <w:r w:rsidR="003009D3" w:rsidRPr="003009D3">
        <w:rPr>
          <w:rFonts w:ascii="宋体" w:eastAsia="宋体" w:hAnsi="宋体"/>
          <w:color w:val="auto"/>
          <w:sz w:val="28"/>
          <w:szCs w:val="28"/>
        </w:rPr>
        <w:t>，</w:t>
      </w:r>
      <w:r w:rsidRPr="00AD5EDE">
        <w:rPr>
          <w:rFonts w:ascii="宋体" w:eastAsia="宋体" w:hAnsi="宋体"/>
          <w:color w:val="auto"/>
          <w:sz w:val="28"/>
          <w:szCs w:val="28"/>
        </w:rPr>
        <w:t>决算数大于预算</w:t>
      </w:r>
      <w:r w:rsidRPr="00AD5EDE">
        <w:rPr>
          <w:rFonts w:ascii="宋体" w:eastAsia="宋体" w:hAnsi="宋体"/>
          <w:color w:val="auto"/>
          <w:sz w:val="28"/>
          <w:szCs w:val="28"/>
        </w:rPr>
        <w:lastRenderedPageBreak/>
        <w:t>数的</w:t>
      </w:r>
      <w:r w:rsidRPr="0052056A">
        <w:rPr>
          <w:rFonts w:ascii="宋体" w:eastAsia="宋体" w:hAnsi="宋体"/>
          <w:color w:val="000000" w:themeColor="text1"/>
          <w:sz w:val="28"/>
          <w:szCs w:val="28"/>
        </w:rPr>
        <w:t>主要原因</w:t>
      </w:r>
      <w:r w:rsidRPr="00AD5EDE">
        <w:rPr>
          <w:rFonts w:ascii="宋体" w:eastAsia="宋体" w:hAnsi="宋体"/>
          <w:color w:val="auto"/>
          <w:sz w:val="28"/>
          <w:szCs w:val="28"/>
        </w:rPr>
        <w:t>是</w:t>
      </w:r>
      <w:r>
        <w:rPr>
          <w:rFonts w:ascii="宋体" w:eastAsia="宋体" w:hAnsi="宋体"/>
          <w:color w:val="auto"/>
          <w:sz w:val="28"/>
          <w:szCs w:val="28"/>
        </w:rPr>
        <w:t>：</w:t>
      </w:r>
      <w:r w:rsidR="002D1C8A" w:rsidRPr="002D1C8A">
        <w:rPr>
          <w:rFonts w:ascii="宋体" w:eastAsia="宋体" w:hAnsi="宋体"/>
          <w:color w:val="auto"/>
          <w:sz w:val="28"/>
          <w:szCs w:val="28"/>
        </w:rPr>
        <w:t>该项经费于年中追加。</w:t>
      </w:r>
    </w:p>
    <w:p w:rsidR="00B87C8A" w:rsidRPr="002D1C8A" w:rsidRDefault="002D1C8A" w:rsidP="00AD5EDE">
      <w:pPr>
        <w:pStyle w:val="Default"/>
        <w:spacing w:line="360" w:lineRule="auto"/>
        <w:ind w:firstLineChars="200" w:firstLine="560"/>
        <w:rPr>
          <w:rFonts w:ascii="宋体" w:eastAsia="宋体" w:hAnsi="宋体" w:hint="default"/>
          <w:color w:val="auto"/>
          <w:sz w:val="28"/>
          <w:szCs w:val="28"/>
        </w:rPr>
      </w:pPr>
      <w:r w:rsidRPr="002D1C8A">
        <w:rPr>
          <w:rFonts w:ascii="宋体" w:eastAsia="宋体" w:hAnsi="宋体"/>
          <w:color w:val="auto"/>
          <w:sz w:val="28"/>
          <w:szCs w:val="28"/>
        </w:rPr>
        <w:t>1</w:t>
      </w:r>
      <w:r w:rsidR="00AD5EDE">
        <w:rPr>
          <w:rFonts w:ascii="宋体" w:eastAsia="宋体" w:hAnsi="宋体"/>
          <w:color w:val="auto"/>
          <w:sz w:val="28"/>
          <w:szCs w:val="28"/>
        </w:rPr>
        <w:t>6</w:t>
      </w:r>
      <w:r w:rsidRPr="002D1C8A">
        <w:rPr>
          <w:rFonts w:ascii="宋体" w:eastAsia="宋体" w:hAnsi="宋体"/>
          <w:color w:val="auto"/>
          <w:sz w:val="28"/>
          <w:szCs w:val="28"/>
        </w:rPr>
        <w:t>、</w:t>
      </w:r>
      <w:r w:rsidR="00AD5EDE" w:rsidRPr="00AD5EDE">
        <w:rPr>
          <w:rFonts w:ascii="宋体" w:eastAsia="宋体" w:hAnsi="宋体"/>
          <w:color w:val="auto"/>
          <w:sz w:val="28"/>
          <w:szCs w:val="28"/>
        </w:rPr>
        <w:t>卫生健康支出（类）中医药（款）中医（民族医）药专项（项）</w:t>
      </w:r>
    </w:p>
    <w:p w:rsidR="00B87C8A" w:rsidRPr="002D1C8A" w:rsidRDefault="00AD5EDE" w:rsidP="00AD5EDE">
      <w:pPr>
        <w:pStyle w:val="Default"/>
        <w:spacing w:line="360" w:lineRule="auto"/>
        <w:ind w:firstLineChars="200" w:firstLine="560"/>
        <w:rPr>
          <w:rFonts w:ascii="宋体" w:eastAsia="宋体" w:hAnsi="宋体" w:hint="default"/>
          <w:color w:val="auto"/>
          <w:sz w:val="28"/>
          <w:szCs w:val="28"/>
        </w:rPr>
      </w:pPr>
      <w:r w:rsidRPr="00AD5EDE">
        <w:rPr>
          <w:rFonts w:ascii="宋体" w:eastAsia="宋体" w:hAnsi="宋体"/>
          <w:color w:val="auto"/>
          <w:sz w:val="28"/>
          <w:szCs w:val="28"/>
        </w:rPr>
        <w:t>年初预算为0万元，支出决算为2万元，决算数大于预算数的</w:t>
      </w:r>
      <w:r w:rsidRPr="0052056A">
        <w:rPr>
          <w:rFonts w:ascii="宋体" w:eastAsia="宋体" w:hAnsi="宋体"/>
          <w:color w:val="000000" w:themeColor="text1"/>
          <w:sz w:val="28"/>
          <w:szCs w:val="28"/>
        </w:rPr>
        <w:t>主要原因是</w:t>
      </w:r>
      <w:r w:rsidR="002D1C8A" w:rsidRPr="002D1C8A">
        <w:rPr>
          <w:rFonts w:ascii="宋体" w:eastAsia="宋体" w:hAnsi="宋体"/>
          <w:color w:val="auto"/>
          <w:sz w:val="28"/>
          <w:szCs w:val="28"/>
        </w:rPr>
        <w:t>：该项经费于年中追加。</w:t>
      </w:r>
    </w:p>
    <w:p w:rsidR="00B87C8A" w:rsidRPr="002D1C8A" w:rsidRDefault="002D1C8A">
      <w:pPr>
        <w:pStyle w:val="Default"/>
        <w:spacing w:line="360" w:lineRule="auto"/>
        <w:ind w:firstLineChars="200" w:firstLine="560"/>
        <w:rPr>
          <w:rFonts w:ascii="宋体" w:eastAsia="宋体" w:hAnsi="宋体" w:hint="default"/>
          <w:color w:val="auto"/>
          <w:sz w:val="28"/>
          <w:szCs w:val="28"/>
        </w:rPr>
      </w:pPr>
      <w:r w:rsidRPr="002D1C8A">
        <w:rPr>
          <w:rFonts w:ascii="宋体" w:eastAsia="宋体" w:hAnsi="宋体"/>
          <w:color w:val="auto"/>
          <w:sz w:val="28"/>
          <w:szCs w:val="28"/>
        </w:rPr>
        <w:t>1</w:t>
      </w:r>
      <w:r w:rsidR="00AD5EDE">
        <w:rPr>
          <w:rFonts w:ascii="宋体" w:eastAsia="宋体" w:hAnsi="宋体"/>
          <w:color w:val="auto"/>
          <w:sz w:val="28"/>
          <w:szCs w:val="28"/>
        </w:rPr>
        <w:t>7</w:t>
      </w:r>
      <w:r w:rsidRPr="002D1C8A">
        <w:rPr>
          <w:rFonts w:ascii="宋体" w:eastAsia="宋体" w:hAnsi="宋体"/>
          <w:color w:val="auto"/>
          <w:sz w:val="28"/>
          <w:szCs w:val="28"/>
        </w:rPr>
        <w:t>、</w:t>
      </w:r>
      <w:r w:rsidR="00AD5EDE" w:rsidRPr="00AD5EDE">
        <w:rPr>
          <w:rFonts w:ascii="宋体" w:eastAsia="宋体" w:hAnsi="宋体"/>
          <w:color w:val="auto"/>
          <w:sz w:val="28"/>
          <w:szCs w:val="28"/>
        </w:rPr>
        <w:t>卫生健康支出（类）其他卫生健康支出（款）其他卫生健康支出（项）</w:t>
      </w:r>
    </w:p>
    <w:p w:rsidR="00B87C8A" w:rsidRPr="002D1C8A" w:rsidRDefault="00AD5EDE" w:rsidP="00AD5EDE">
      <w:pPr>
        <w:pStyle w:val="Default"/>
        <w:spacing w:line="360" w:lineRule="auto"/>
        <w:ind w:firstLineChars="200" w:firstLine="560"/>
        <w:rPr>
          <w:rFonts w:ascii="宋体" w:eastAsia="宋体" w:hAnsi="宋体" w:hint="default"/>
          <w:color w:val="auto"/>
          <w:sz w:val="28"/>
          <w:szCs w:val="28"/>
        </w:rPr>
      </w:pPr>
      <w:r w:rsidRPr="00AD5EDE">
        <w:rPr>
          <w:rFonts w:ascii="宋体" w:eastAsia="宋体" w:hAnsi="宋体"/>
          <w:color w:val="auto"/>
          <w:sz w:val="28"/>
          <w:szCs w:val="28"/>
        </w:rPr>
        <w:t>年初预算为0万元，支出决算为2万元，决算数大于预算数的</w:t>
      </w:r>
      <w:r w:rsidRPr="0052056A">
        <w:rPr>
          <w:rFonts w:ascii="宋体" w:eastAsia="宋体" w:hAnsi="宋体"/>
          <w:color w:val="000000" w:themeColor="text1"/>
          <w:sz w:val="28"/>
          <w:szCs w:val="28"/>
        </w:rPr>
        <w:t>主要原因是</w:t>
      </w:r>
      <w:r w:rsidR="002D1C8A" w:rsidRPr="002D1C8A">
        <w:rPr>
          <w:rFonts w:ascii="宋体" w:eastAsia="宋体" w:hAnsi="宋体"/>
          <w:color w:val="auto"/>
          <w:sz w:val="28"/>
          <w:szCs w:val="28"/>
        </w:rPr>
        <w:t>：该项经费于年中追加。</w:t>
      </w:r>
    </w:p>
    <w:p w:rsidR="00B87C8A" w:rsidRPr="002D1C8A" w:rsidRDefault="002D1C8A">
      <w:pPr>
        <w:pStyle w:val="Default"/>
        <w:spacing w:line="360" w:lineRule="auto"/>
        <w:ind w:firstLineChars="200" w:firstLine="560"/>
        <w:rPr>
          <w:rFonts w:ascii="宋体" w:eastAsia="宋体" w:hAnsi="宋体" w:hint="default"/>
          <w:color w:val="auto"/>
          <w:sz w:val="28"/>
          <w:szCs w:val="28"/>
        </w:rPr>
      </w:pPr>
      <w:r w:rsidRPr="002D1C8A">
        <w:rPr>
          <w:rFonts w:ascii="宋体" w:eastAsia="宋体" w:hAnsi="宋体"/>
          <w:color w:val="auto"/>
          <w:sz w:val="28"/>
          <w:szCs w:val="28"/>
        </w:rPr>
        <w:t>1</w:t>
      </w:r>
      <w:r w:rsidR="00AD5EDE">
        <w:rPr>
          <w:rFonts w:ascii="宋体" w:eastAsia="宋体" w:hAnsi="宋体"/>
          <w:color w:val="auto"/>
          <w:sz w:val="28"/>
          <w:szCs w:val="28"/>
        </w:rPr>
        <w:t>8</w:t>
      </w:r>
      <w:r w:rsidRPr="002D1C8A">
        <w:rPr>
          <w:rFonts w:ascii="宋体" w:eastAsia="宋体" w:hAnsi="宋体"/>
          <w:color w:val="auto"/>
          <w:sz w:val="28"/>
          <w:szCs w:val="28"/>
        </w:rPr>
        <w:t>、</w:t>
      </w:r>
      <w:r w:rsidR="00AD5EDE" w:rsidRPr="00AD5EDE">
        <w:rPr>
          <w:rFonts w:ascii="宋体" w:eastAsia="宋体" w:hAnsi="宋体"/>
          <w:color w:val="auto"/>
          <w:sz w:val="28"/>
          <w:szCs w:val="28"/>
        </w:rPr>
        <w:t>农林</w:t>
      </w:r>
      <w:r w:rsidR="00AD5EDE">
        <w:rPr>
          <w:rFonts w:ascii="宋体" w:eastAsia="宋体" w:hAnsi="宋体"/>
          <w:color w:val="auto"/>
          <w:sz w:val="28"/>
          <w:szCs w:val="28"/>
        </w:rPr>
        <w:t>水支出（类）城市基础设施配套费安排的支出（款）动植物保护（项）</w:t>
      </w:r>
    </w:p>
    <w:p w:rsidR="00B87C8A" w:rsidRPr="002D1C8A" w:rsidRDefault="00AD5EDE" w:rsidP="00AD5EDE">
      <w:pPr>
        <w:pStyle w:val="Default"/>
        <w:spacing w:line="360" w:lineRule="auto"/>
        <w:ind w:firstLineChars="200" w:firstLine="560"/>
        <w:rPr>
          <w:rFonts w:ascii="宋体" w:eastAsia="宋体" w:hAnsi="宋体" w:hint="default"/>
          <w:color w:val="auto"/>
          <w:sz w:val="28"/>
          <w:szCs w:val="28"/>
        </w:rPr>
      </w:pPr>
      <w:r w:rsidRPr="00AD5EDE">
        <w:rPr>
          <w:rFonts w:ascii="宋体" w:eastAsia="宋体" w:hAnsi="宋体"/>
          <w:color w:val="auto"/>
          <w:sz w:val="28"/>
          <w:szCs w:val="28"/>
        </w:rPr>
        <w:t>年初预算为20万元，支出决算为20万元，完成年初预算的100%。  决算数与预算数一致，我单位严格按预算执行决算。</w:t>
      </w:r>
    </w:p>
    <w:p w:rsidR="00B87C8A" w:rsidRDefault="002D1C8A">
      <w:pPr>
        <w:pStyle w:val="Default"/>
        <w:spacing w:line="360" w:lineRule="auto"/>
        <w:ind w:firstLineChars="200" w:firstLine="640"/>
        <w:rPr>
          <w:rFonts w:hint="default"/>
          <w:color w:val="auto"/>
          <w:sz w:val="32"/>
          <w:szCs w:val="32"/>
        </w:rPr>
      </w:pPr>
      <w:r>
        <w:rPr>
          <w:color w:val="auto"/>
          <w:sz w:val="32"/>
          <w:szCs w:val="32"/>
        </w:rPr>
        <w:t>六、一般公共预算财政拨款基本支出决算情况说明</w:t>
      </w:r>
    </w:p>
    <w:p w:rsidR="00AD474E" w:rsidRDefault="00AD474E" w:rsidP="00AD474E">
      <w:pPr>
        <w:pStyle w:val="Default"/>
        <w:spacing w:line="360" w:lineRule="auto"/>
        <w:ind w:firstLineChars="200" w:firstLine="560"/>
        <w:rPr>
          <w:rFonts w:hint="default"/>
        </w:rPr>
      </w:pPr>
      <w:r w:rsidRPr="00AD474E">
        <w:rPr>
          <w:rFonts w:ascii="宋体" w:eastAsia="宋体" w:hAnsi="宋体"/>
          <w:color w:val="auto"/>
          <w:sz w:val="28"/>
          <w:szCs w:val="28"/>
          <w:lang w:val="zh-CN"/>
        </w:rPr>
        <w:t>2022年度</w:t>
      </w:r>
      <w:r w:rsidRPr="00AD474E">
        <w:rPr>
          <w:rFonts w:ascii="宋体" w:eastAsia="宋体" w:hAnsi="宋体"/>
          <w:color w:val="auto"/>
          <w:sz w:val="28"/>
          <w:szCs w:val="28"/>
        </w:rPr>
        <w:t>财政拨款基本支出25661.85万元，其中:</w:t>
      </w:r>
    </w:p>
    <w:p w:rsidR="00AD474E" w:rsidRDefault="00AD474E" w:rsidP="00AD474E">
      <w:pPr>
        <w:pStyle w:val="Default"/>
        <w:spacing w:line="360" w:lineRule="auto"/>
        <w:ind w:firstLineChars="200" w:firstLine="560"/>
        <w:rPr>
          <w:rFonts w:ascii="宋体" w:eastAsia="宋体" w:hAnsi="宋体" w:hint="default"/>
          <w:color w:val="auto"/>
          <w:sz w:val="28"/>
          <w:szCs w:val="28"/>
        </w:rPr>
      </w:pPr>
      <w:r w:rsidRPr="00AD474E">
        <w:rPr>
          <w:rFonts w:ascii="宋体" w:eastAsia="宋体" w:hAnsi="宋体"/>
          <w:color w:val="auto"/>
          <w:sz w:val="28"/>
          <w:szCs w:val="28"/>
        </w:rPr>
        <w:t>人员经费23887.74万元，占基本支出的93.09%，主要包括基本工资、津贴补贴、奖金、伙食补助费、绩效工资、机关事业单位基本养老保险缴费、职业年金缴费、职工基本医疗保险缴费、公务员医疗补助缴费、其他社会保障缴费、住房公积金、医疗费、其他工资福利支出、离休费、退休费</w:t>
      </w:r>
      <w:r w:rsidR="00556574">
        <w:rPr>
          <w:rFonts w:ascii="宋体" w:eastAsia="宋体" w:hAnsi="宋体"/>
          <w:color w:val="auto"/>
          <w:sz w:val="28"/>
          <w:szCs w:val="28"/>
        </w:rPr>
        <w:t>、抚恤金、生活补助、医疗费补助、奖励金、其他对个人和家庭的补助。</w:t>
      </w:r>
    </w:p>
    <w:p w:rsidR="00AD474E" w:rsidRPr="00AD474E" w:rsidRDefault="00AD474E" w:rsidP="00AD474E">
      <w:pPr>
        <w:pStyle w:val="Default"/>
        <w:spacing w:line="360" w:lineRule="auto"/>
        <w:ind w:firstLineChars="200" w:firstLine="560"/>
        <w:rPr>
          <w:rFonts w:ascii="宋体" w:eastAsia="宋体" w:hAnsi="宋体" w:hint="default"/>
          <w:color w:val="auto"/>
          <w:sz w:val="28"/>
          <w:szCs w:val="28"/>
        </w:rPr>
      </w:pPr>
      <w:r w:rsidRPr="00AD474E">
        <w:rPr>
          <w:rFonts w:ascii="宋体" w:eastAsia="宋体" w:hAnsi="宋体"/>
          <w:color w:val="auto"/>
          <w:sz w:val="28"/>
          <w:szCs w:val="28"/>
        </w:rPr>
        <w:t>公用经费1774.11万元，占基本支出的6.91%，主要包括办公费、印刷费、咨询费、手续费、水费、电费、邮电费、取暖费、物业管理费、差旅费、因公出国（境）费用、维修（护）费、租赁费、会议费、培训</w:t>
      </w:r>
      <w:r w:rsidRPr="00AD474E">
        <w:rPr>
          <w:rFonts w:ascii="宋体" w:eastAsia="宋体" w:hAnsi="宋体"/>
          <w:color w:val="auto"/>
          <w:sz w:val="28"/>
          <w:szCs w:val="28"/>
        </w:rPr>
        <w:lastRenderedPageBreak/>
        <w:t>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rsidR="00AD474E" w:rsidRDefault="00AD474E" w:rsidP="00AD474E">
      <w:pPr>
        <w:autoSpaceDE w:val="0"/>
        <w:autoSpaceDN w:val="0"/>
        <w:adjustRightInd w:val="0"/>
        <w:spacing w:line="360" w:lineRule="auto"/>
        <w:ind w:firstLineChars="200" w:firstLine="640"/>
        <w:rPr>
          <w:sz w:val="28"/>
          <w:szCs w:val="28"/>
        </w:rPr>
      </w:pPr>
      <w:r>
        <w:rPr>
          <w:rFonts w:ascii="黑体" w:eastAsia="黑体" w:cs="黑体" w:hint="eastAsia"/>
          <w:sz w:val="32"/>
          <w:szCs w:val="32"/>
          <w:lang w:val="zh-CN"/>
        </w:rPr>
        <w:t>七</w:t>
      </w:r>
      <w:r>
        <w:rPr>
          <w:rFonts w:ascii="黑体" w:eastAsia="黑体" w:cs="黑体"/>
          <w:sz w:val="32"/>
          <w:szCs w:val="32"/>
          <w:lang w:val="zh-CN"/>
        </w:rPr>
        <w:t>、政府性基金预算收入支出决算情况</w:t>
      </w:r>
    </w:p>
    <w:p w:rsidR="00AD474E" w:rsidRPr="002D1C8A" w:rsidRDefault="00AD474E" w:rsidP="00AD474E">
      <w:pPr>
        <w:autoSpaceDE w:val="0"/>
        <w:autoSpaceDN w:val="0"/>
        <w:adjustRightInd w:val="0"/>
        <w:spacing w:line="360" w:lineRule="auto"/>
        <w:ind w:firstLineChars="200" w:firstLine="560"/>
        <w:rPr>
          <w:rFonts w:ascii="Times New Roman" w:hAnsi="Times New Roman"/>
          <w:sz w:val="28"/>
          <w:szCs w:val="28"/>
        </w:rPr>
      </w:pPr>
      <w:r>
        <w:rPr>
          <w:sz w:val="28"/>
          <w:szCs w:val="28"/>
          <w:lang w:val="zh-CN"/>
        </w:rPr>
        <w:t>202</w:t>
      </w:r>
      <w:r>
        <w:rPr>
          <w:rFonts w:hint="eastAsia"/>
          <w:sz w:val="28"/>
          <w:szCs w:val="28"/>
          <w:lang w:val="zh-CN"/>
        </w:rPr>
        <w:t>2</w:t>
      </w:r>
      <w:r w:rsidRPr="002D1C8A">
        <w:rPr>
          <w:sz w:val="28"/>
          <w:szCs w:val="28"/>
          <w:lang w:val="zh-CN"/>
        </w:rPr>
        <w:t>年本单位没有使用政府性基金预算财政拨款安排的收支。</w:t>
      </w:r>
    </w:p>
    <w:p w:rsidR="00AD474E" w:rsidRDefault="00AD474E" w:rsidP="00AD474E">
      <w:pPr>
        <w:autoSpaceDE w:val="0"/>
        <w:autoSpaceDN w:val="0"/>
        <w:adjustRightInd w:val="0"/>
        <w:spacing w:line="360" w:lineRule="auto"/>
        <w:ind w:firstLineChars="200" w:firstLine="640"/>
        <w:rPr>
          <w:rFonts w:hAnsi="Times New Roman"/>
          <w:sz w:val="32"/>
          <w:szCs w:val="32"/>
          <w:lang w:val="zh-CN"/>
        </w:rPr>
      </w:pPr>
      <w:r>
        <w:rPr>
          <w:rFonts w:ascii="黑体" w:eastAsia="黑体" w:hAnsi="Times New Roman" w:cs="黑体" w:hint="eastAsia"/>
          <w:sz w:val="32"/>
          <w:szCs w:val="32"/>
          <w:lang w:val="zh-CN"/>
        </w:rPr>
        <w:t>八</w:t>
      </w:r>
      <w:r>
        <w:rPr>
          <w:rFonts w:ascii="黑体" w:eastAsia="黑体" w:hAnsi="Times New Roman" w:cs="黑体"/>
          <w:sz w:val="32"/>
          <w:szCs w:val="32"/>
          <w:lang w:val="zh-CN"/>
        </w:rPr>
        <w:t>、国有资本经营预算财政拨款支出决算情况</w:t>
      </w:r>
    </w:p>
    <w:p w:rsidR="00AD474E" w:rsidRPr="00AD474E" w:rsidRDefault="00AD474E" w:rsidP="00AD474E">
      <w:pPr>
        <w:autoSpaceDE w:val="0"/>
        <w:autoSpaceDN w:val="0"/>
        <w:adjustRightInd w:val="0"/>
        <w:spacing w:line="360" w:lineRule="auto"/>
        <w:ind w:firstLineChars="200" w:firstLine="560"/>
        <w:rPr>
          <w:rFonts w:hAnsi="Times New Roman"/>
          <w:sz w:val="28"/>
          <w:szCs w:val="28"/>
          <w:lang w:val="zh-CN"/>
        </w:rPr>
      </w:pPr>
      <w:r>
        <w:rPr>
          <w:rFonts w:hAnsi="Times New Roman"/>
          <w:sz w:val="28"/>
          <w:szCs w:val="28"/>
          <w:lang w:val="zh-CN"/>
        </w:rPr>
        <w:t>202</w:t>
      </w:r>
      <w:r>
        <w:rPr>
          <w:rFonts w:hAnsi="Times New Roman" w:hint="eastAsia"/>
          <w:sz w:val="28"/>
          <w:szCs w:val="28"/>
          <w:lang w:val="zh-CN"/>
        </w:rPr>
        <w:t>2</w:t>
      </w:r>
      <w:r w:rsidRPr="002D1C8A">
        <w:rPr>
          <w:rFonts w:hAnsi="Times New Roman"/>
          <w:sz w:val="28"/>
          <w:szCs w:val="28"/>
          <w:lang w:val="zh-CN"/>
        </w:rPr>
        <w:t>年本单位没有使用国有资本经营预算安排的支出。</w:t>
      </w:r>
    </w:p>
    <w:p w:rsidR="00B87C8A" w:rsidRDefault="00AD474E" w:rsidP="00AD474E">
      <w:pPr>
        <w:pStyle w:val="Default"/>
        <w:spacing w:line="360" w:lineRule="auto"/>
        <w:ind w:firstLineChars="200" w:firstLine="640"/>
        <w:rPr>
          <w:rFonts w:hint="default"/>
          <w:color w:val="auto"/>
          <w:sz w:val="32"/>
          <w:szCs w:val="32"/>
          <w:lang w:val="zh-CN"/>
        </w:rPr>
      </w:pPr>
      <w:r w:rsidRPr="00AD474E">
        <w:rPr>
          <w:color w:val="auto"/>
          <w:sz w:val="32"/>
          <w:szCs w:val="32"/>
          <w:lang w:val="zh-CN"/>
        </w:rPr>
        <w:t>九、财政拨款“三公”经费支出决算情况说明</w:t>
      </w:r>
    </w:p>
    <w:p w:rsidR="00B87C8A" w:rsidRDefault="002D1C8A">
      <w:pPr>
        <w:pStyle w:val="Default"/>
        <w:spacing w:line="360" w:lineRule="auto"/>
        <w:ind w:firstLineChars="200" w:firstLine="562"/>
        <w:rPr>
          <w:rFonts w:ascii="宋体" w:eastAsia="宋体" w:hAnsi="宋体" w:cs="宋体" w:hint="default"/>
          <w:b/>
          <w:color w:val="auto"/>
          <w:sz w:val="28"/>
          <w:szCs w:val="28"/>
          <w:lang w:val="zh-CN"/>
        </w:rPr>
      </w:pPr>
      <w:r>
        <w:rPr>
          <w:rFonts w:ascii="宋体" w:eastAsia="宋体" w:hAnsi="宋体" w:cs="宋体"/>
          <w:b/>
          <w:color w:val="auto"/>
          <w:sz w:val="28"/>
          <w:szCs w:val="28"/>
          <w:lang w:val="zh-CN"/>
        </w:rPr>
        <w:t>（一）“三公”经费财政拨款支出决算总体情况说明</w:t>
      </w:r>
    </w:p>
    <w:p w:rsidR="00B87C8A" w:rsidRPr="00556574" w:rsidRDefault="00C379C8" w:rsidP="00556574">
      <w:pPr>
        <w:pStyle w:val="Default"/>
        <w:spacing w:line="360" w:lineRule="auto"/>
        <w:ind w:firstLineChars="200" w:firstLine="560"/>
        <w:rPr>
          <w:rFonts w:ascii="宋体" w:eastAsia="宋体" w:hAnsi="宋体" w:hint="default"/>
          <w:color w:val="auto"/>
          <w:sz w:val="28"/>
          <w:szCs w:val="28"/>
        </w:rPr>
      </w:pPr>
      <w:r w:rsidRPr="00C379C8">
        <w:rPr>
          <w:rFonts w:ascii="宋体" w:eastAsia="宋体" w:hAnsi="宋体"/>
          <w:color w:val="auto"/>
          <w:sz w:val="28"/>
          <w:szCs w:val="28"/>
        </w:rPr>
        <w:t>2022年度“三公”经费财政拨款支出预算为25.26万元，支出决算为25.26万元,完成预算的100%</w:t>
      </w:r>
      <w:r>
        <w:rPr>
          <w:rFonts w:ascii="宋体" w:eastAsia="宋体" w:hAnsi="宋体"/>
          <w:color w:val="auto"/>
          <w:sz w:val="28"/>
          <w:szCs w:val="28"/>
        </w:rPr>
        <w:t>，其中</w:t>
      </w:r>
      <w:r w:rsidR="002D1C8A">
        <w:rPr>
          <w:rFonts w:ascii="宋体" w:eastAsia="宋体" w:hAnsi="宋体"/>
          <w:color w:val="auto"/>
          <w:sz w:val="28"/>
          <w:szCs w:val="28"/>
        </w:rPr>
        <w:t>：</w:t>
      </w:r>
      <w:r w:rsidRPr="00C379C8">
        <w:rPr>
          <w:rFonts w:ascii="宋体" w:eastAsia="宋体" w:hAnsi="宋体"/>
          <w:color w:val="auto"/>
          <w:sz w:val="28"/>
          <w:szCs w:val="28"/>
        </w:rPr>
        <w:t>因公出国（境）费支出预算为0万元，支出决算为0万元，</w:t>
      </w:r>
      <w:r w:rsidR="00E5561C">
        <w:rPr>
          <w:rFonts w:ascii="宋体" w:eastAsia="宋体" w:hAnsi="宋体"/>
          <w:color w:val="auto"/>
          <w:sz w:val="28"/>
          <w:szCs w:val="28"/>
        </w:rPr>
        <w:t>2022</w:t>
      </w:r>
      <w:r>
        <w:rPr>
          <w:rFonts w:ascii="宋体" w:eastAsia="宋体" w:hAnsi="宋体"/>
          <w:color w:val="auto"/>
          <w:sz w:val="28"/>
          <w:szCs w:val="28"/>
        </w:rPr>
        <w:t>年无因公</w:t>
      </w:r>
      <w:r w:rsidRPr="00C379C8">
        <w:rPr>
          <w:rFonts w:ascii="宋体" w:eastAsia="宋体" w:hAnsi="宋体"/>
          <w:color w:val="auto"/>
          <w:sz w:val="28"/>
          <w:szCs w:val="28"/>
        </w:rPr>
        <w:t>出国（境）</w:t>
      </w:r>
      <w:r>
        <w:rPr>
          <w:rFonts w:ascii="宋体" w:eastAsia="宋体" w:hAnsi="宋体"/>
          <w:color w:val="auto"/>
          <w:sz w:val="28"/>
          <w:szCs w:val="28"/>
        </w:rPr>
        <w:t>工作任务。</w:t>
      </w:r>
      <w:r w:rsidR="00E5561C" w:rsidRPr="00E5561C">
        <w:rPr>
          <w:rFonts w:ascii="宋体" w:eastAsia="宋体" w:hAnsi="宋体"/>
          <w:color w:val="auto"/>
          <w:sz w:val="28"/>
          <w:szCs w:val="28"/>
        </w:rPr>
        <w:t>公务接待费支出预算为25.26万元，支出决算为25.26万元,与决算持平；完成预算的</w:t>
      </w:r>
      <w:r w:rsidR="00E5561C">
        <w:rPr>
          <w:rFonts w:ascii="宋体" w:eastAsia="宋体" w:hAnsi="宋体"/>
          <w:color w:val="auto"/>
          <w:sz w:val="28"/>
          <w:szCs w:val="28"/>
        </w:rPr>
        <w:t>100%，</w:t>
      </w:r>
      <w:r w:rsidR="00E5561C" w:rsidRPr="00E5561C">
        <w:rPr>
          <w:rFonts w:ascii="宋体" w:eastAsia="宋体" w:hAnsi="宋体"/>
          <w:color w:val="auto"/>
          <w:sz w:val="28"/>
          <w:szCs w:val="28"/>
        </w:rPr>
        <w:t>决算数与预算数一致，我单位严格按预算执行决算。与上年相比增加7.26万元，增长40.33%,增长的</w:t>
      </w:r>
      <w:r w:rsidR="00E5561C" w:rsidRPr="00556574">
        <w:rPr>
          <w:rFonts w:ascii="宋体" w:eastAsia="宋体" w:hAnsi="宋体"/>
          <w:color w:val="000000" w:themeColor="text1"/>
          <w:sz w:val="28"/>
          <w:szCs w:val="28"/>
        </w:rPr>
        <w:t>主要原因</w:t>
      </w:r>
      <w:r w:rsidR="00E5561C" w:rsidRPr="00E5561C">
        <w:rPr>
          <w:rFonts w:ascii="宋体" w:eastAsia="宋体" w:hAnsi="宋体"/>
          <w:color w:val="auto"/>
          <w:sz w:val="28"/>
          <w:szCs w:val="28"/>
        </w:rPr>
        <w:t>是：</w:t>
      </w:r>
      <w:r w:rsidR="003F084F">
        <w:rPr>
          <w:rFonts w:ascii="宋体" w:eastAsia="宋体" w:hAnsi="宋体"/>
          <w:color w:val="auto"/>
          <w:sz w:val="28"/>
          <w:szCs w:val="28"/>
        </w:rPr>
        <w:t>学校办学规模扩大，办学层次提高，</w:t>
      </w:r>
      <w:r w:rsidR="003F084F" w:rsidRPr="003F084F">
        <w:rPr>
          <w:rFonts w:ascii="宋体" w:eastAsia="宋体" w:hAnsi="宋体"/>
          <w:color w:val="auto"/>
          <w:sz w:val="28"/>
          <w:szCs w:val="28"/>
        </w:rPr>
        <w:t>教学及科研</w:t>
      </w:r>
      <w:r w:rsidR="003F084F">
        <w:rPr>
          <w:rFonts w:ascii="宋体" w:eastAsia="宋体" w:hAnsi="宋体"/>
          <w:color w:val="auto"/>
          <w:sz w:val="28"/>
          <w:szCs w:val="28"/>
        </w:rPr>
        <w:t>的</w:t>
      </w:r>
      <w:r w:rsidR="003F084F" w:rsidRPr="003F084F">
        <w:rPr>
          <w:rFonts w:ascii="宋体" w:eastAsia="宋体" w:hAnsi="宋体"/>
          <w:color w:val="auto"/>
          <w:sz w:val="28"/>
          <w:szCs w:val="28"/>
        </w:rPr>
        <w:t>各种交流</w:t>
      </w:r>
      <w:r w:rsidR="003F084F">
        <w:rPr>
          <w:rFonts w:ascii="宋体" w:eastAsia="宋体" w:hAnsi="宋体"/>
          <w:color w:val="auto"/>
          <w:sz w:val="28"/>
          <w:szCs w:val="28"/>
        </w:rPr>
        <w:t>合作</w:t>
      </w:r>
      <w:r w:rsidR="003F084F" w:rsidRPr="003F084F">
        <w:rPr>
          <w:rFonts w:ascii="宋体" w:eastAsia="宋体" w:hAnsi="宋体"/>
          <w:color w:val="auto"/>
          <w:sz w:val="28"/>
          <w:szCs w:val="28"/>
        </w:rPr>
        <w:t>增多</w:t>
      </w:r>
      <w:r w:rsidR="00E5561C" w:rsidRPr="00E5561C">
        <w:rPr>
          <w:rFonts w:ascii="宋体" w:eastAsia="宋体" w:hAnsi="宋体"/>
          <w:color w:val="auto"/>
          <w:sz w:val="28"/>
          <w:szCs w:val="28"/>
        </w:rPr>
        <w:t>。</w:t>
      </w:r>
      <w:r w:rsidR="002D1C8A">
        <w:rPr>
          <w:rFonts w:ascii="宋体" w:eastAsia="宋体" w:hAnsi="宋体"/>
          <w:color w:val="auto"/>
          <w:sz w:val="28"/>
          <w:szCs w:val="28"/>
        </w:rPr>
        <w:t>公务用车购置费及运行维护费支出预算为0万元，支出决算为0万元，与上年情况一致，无公务用车购置费及运行维护费支出预算与决算</w:t>
      </w:r>
      <w:r w:rsidR="003F084F">
        <w:rPr>
          <w:rFonts w:ascii="宋体" w:eastAsia="宋体" w:hAnsi="宋体"/>
          <w:color w:val="auto"/>
          <w:sz w:val="28"/>
          <w:szCs w:val="28"/>
        </w:rPr>
        <w:t>。</w:t>
      </w:r>
    </w:p>
    <w:p w:rsidR="00B87C8A" w:rsidRDefault="002D1C8A">
      <w:pPr>
        <w:pStyle w:val="Default"/>
        <w:spacing w:line="360" w:lineRule="auto"/>
        <w:ind w:firstLineChars="200" w:firstLine="562"/>
        <w:rPr>
          <w:rFonts w:ascii="宋体" w:eastAsia="宋体" w:hAnsi="宋体" w:cs="宋体" w:hint="default"/>
          <w:color w:val="auto"/>
          <w:sz w:val="28"/>
          <w:szCs w:val="28"/>
        </w:rPr>
      </w:pPr>
      <w:r>
        <w:rPr>
          <w:rFonts w:ascii="宋体" w:eastAsia="宋体" w:hAnsi="宋体" w:cs="宋体"/>
          <w:b/>
          <w:color w:val="auto"/>
          <w:sz w:val="28"/>
          <w:szCs w:val="28"/>
          <w:lang w:val="zh-CN"/>
        </w:rPr>
        <w:t>（二）“三公”经费财政拨款支出决算具体情况说明</w:t>
      </w:r>
    </w:p>
    <w:p w:rsidR="00E5561C" w:rsidRDefault="00E5561C" w:rsidP="00E5561C">
      <w:pPr>
        <w:pStyle w:val="Default"/>
        <w:spacing w:line="360" w:lineRule="auto"/>
        <w:ind w:firstLineChars="200" w:firstLine="560"/>
        <w:rPr>
          <w:rFonts w:ascii="宋体" w:eastAsia="宋体" w:hAnsi="宋体" w:hint="default"/>
          <w:color w:val="auto"/>
          <w:sz w:val="28"/>
          <w:szCs w:val="28"/>
        </w:rPr>
      </w:pPr>
      <w:r w:rsidRPr="00E5561C">
        <w:rPr>
          <w:rFonts w:ascii="宋体" w:eastAsia="宋体" w:hAnsi="宋体"/>
          <w:color w:val="auto"/>
          <w:sz w:val="28"/>
          <w:szCs w:val="28"/>
        </w:rPr>
        <w:t>2022年度“三公”经费财政拨款支出决算中，因公出国（境）费支出决算0万元，占0%；公务接待费支出决算25.26万元，占100%。公务用</w:t>
      </w:r>
      <w:r w:rsidRPr="00E5561C">
        <w:rPr>
          <w:rFonts w:ascii="宋体" w:eastAsia="宋体" w:hAnsi="宋体"/>
          <w:color w:val="auto"/>
          <w:sz w:val="28"/>
          <w:szCs w:val="28"/>
        </w:rPr>
        <w:lastRenderedPageBreak/>
        <w:t>车购置费及运行维护费支出决算0万元，占0%</w:t>
      </w:r>
      <w:r>
        <w:rPr>
          <w:rFonts w:ascii="宋体" w:eastAsia="宋体" w:hAnsi="宋体"/>
          <w:color w:val="auto"/>
          <w:sz w:val="28"/>
          <w:szCs w:val="28"/>
        </w:rPr>
        <w:t>。</w:t>
      </w:r>
      <w:r w:rsidR="002D1C8A">
        <w:rPr>
          <w:rFonts w:ascii="宋体" w:eastAsia="宋体" w:hAnsi="宋体"/>
          <w:color w:val="auto"/>
          <w:sz w:val="28"/>
          <w:szCs w:val="28"/>
        </w:rPr>
        <w:t>其中：</w:t>
      </w:r>
    </w:p>
    <w:p w:rsidR="00E5561C" w:rsidRDefault="00E5561C" w:rsidP="00E5561C">
      <w:pPr>
        <w:pStyle w:val="Default"/>
        <w:spacing w:line="360" w:lineRule="auto"/>
        <w:ind w:firstLineChars="200" w:firstLine="560"/>
        <w:rPr>
          <w:rFonts w:ascii="宋体" w:eastAsia="宋体" w:hAnsi="宋体" w:hint="default"/>
          <w:color w:val="auto"/>
          <w:sz w:val="28"/>
          <w:szCs w:val="28"/>
        </w:rPr>
      </w:pPr>
      <w:r w:rsidRPr="00E5561C">
        <w:rPr>
          <w:rFonts w:ascii="宋体" w:eastAsia="宋体" w:hAnsi="宋体"/>
          <w:color w:val="auto"/>
          <w:sz w:val="28"/>
          <w:szCs w:val="28"/>
        </w:rPr>
        <w:t>1、因公出国（境）费支出决算0万元，全年安排因公出国（境）团组0个，累计0人次。</w:t>
      </w:r>
    </w:p>
    <w:p w:rsidR="00E5561C" w:rsidRDefault="00E5561C" w:rsidP="00E5561C">
      <w:pPr>
        <w:pStyle w:val="Default"/>
        <w:spacing w:line="360" w:lineRule="auto"/>
        <w:ind w:firstLineChars="200" w:firstLine="560"/>
        <w:rPr>
          <w:rFonts w:ascii="宋体" w:eastAsia="宋体" w:hAnsi="宋体" w:hint="default"/>
          <w:color w:val="auto"/>
          <w:sz w:val="28"/>
          <w:szCs w:val="28"/>
        </w:rPr>
      </w:pPr>
      <w:r w:rsidRPr="00E5561C">
        <w:rPr>
          <w:rFonts w:ascii="宋体" w:eastAsia="宋体" w:hAnsi="宋体"/>
          <w:color w:val="auto"/>
          <w:sz w:val="28"/>
          <w:szCs w:val="28"/>
        </w:rPr>
        <w:t>2、公务接待费支出决算为25.26万元，其中：其他国内公务接待支出25.26万元,主要用于与有关单位交流工作情况及接受相关部门检查指导工作发生的接待支出。2022年共接待国内公务接待批次218个、接待人次2110人次（不包括陪同人员）。</w:t>
      </w:r>
    </w:p>
    <w:p w:rsidR="00E5561C" w:rsidRDefault="00E5561C" w:rsidP="00E5561C">
      <w:pPr>
        <w:pStyle w:val="Default"/>
        <w:spacing w:line="360" w:lineRule="auto"/>
        <w:ind w:firstLineChars="200" w:firstLine="560"/>
        <w:rPr>
          <w:rFonts w:ascii="宋体" w:eastAsia="宋体" w:hAnsi="宋体" w:hint="default"/>
          <w:color w:val="auto"/>
          <w:sz w:val="28"/>
          <w:szCs w:val="28"/>
        </w:rPr>
      </w:pPr>
      <w:r w:rsidRPr="00E5561C">
        <w:rPr>
          <w:rFonts w:ascii="宋体" w:eastAsia="宋体" w:hAnsi="宋体"/>
          <w:color w:val="auto"/>
          <w:sz w:val="28"/>
          <w:szCs w:val="28"/>
        </w:rPr>
        <w:t>3、公务用车购置费及运行维护费支出决算0万元，其中：公务用车购置费0万元，更新公务用车0辆。公务用车运行维护费0元，截止2022年12月31日，我单位开支财政拨款的公务用车保有量为0辆。</w:t>
      </w:r>
    </w:p>
    <w:p w:rsidR="00B87C8A" w:rsidRDefault="002D1C8A">
      <w:pPr>
        <w:autoSpaceDE w:val="0"/>
        <w:autoSpaceDN w:val="0"/>
        <w:adjustRightInd w:val="0"/>
        <w:spacing w:line="360" w:lineRule="auto"/>
        <w:ind w:firstLineChars="200" w:firstLine="640"/>
        <w:rPr>
          <w:sz w:val="28"/>
          <w:szCs w:val="28"/>
        </w:rPr>
      </w:pPr>
      <w:r>
        <w:rPr>
          <w:rFonts w:ascii="黑体" w:eastAsia="黑体" w:cs="黑体"/>
          <w:sz w:val="32"/>
          <w:szCs w:val="32"/>
          <w:lang w:val="zh-CN"/>
        </w:rPr>
        <w:t>八、政府性基金预算收入支出决算情况</w:t>
      </w:r>
    </w:p>
    <w:p w:rsidR="00B87C8A" w:rsidRPr="002D1C8A" w:rsidRDefault="00C62F1C" w:rsidP="002D1C8A">
      <w:pPr>
        <w:autoSpaceDE w:val="0"/>
        <w:autoSpaceDN w:val="0"/>
        <w:adjustRightInd w:val="0"/>
        <w:spacing w:line="360" w:lineRule="auto"/>
        <w:ind w:firstLineChars="200" w:firstLine="560"/>
        <w:rPr>
          <w:rFonts w:ascii="Times New Roman" w:hAnsi="Times New Roman"/>
          <w:sz w:val="28"/>
          <w:szCs w:val="28"/>
        </w:rPr>
      </w:pPr>
      <w:r>
        <w:rPr>
          <w:sz w:val="28"/>
          <w:szCs w:val="28"/>
          <w:lang w:val="zh-CN"/>
        </w:rPr>
        <w:t>202</w:t>
      </w:r>
      <w:r>
        <w:rPr>
          <w:rFonts w:hint="eastAsia"/>
          <w:sz w:val="28"/>
          <w:szCs w:val="28"/>
          <w:lang w:val="zh-CN"/>
        </w:rPr>
        <w:t>2</w:t>
      </w:r>
      <w:r w:rsidR="002D1C8A" w:rsidRPr="002D1C8A">
        <w:rPr>
          <w:sz w:val="28"/>
          <w:szCs w:val="28"/>
          <w:lang w:val="zh-CN"/>
        </w:rPr>
        <w:t>年本单位没有使用政府性基金预算财政拨款安排的收支。</w:t>
      </w:r>
    </w:p>
    <w:p w:rsidR="00B87C8A" w:rsidRDefault="002D1C8A">
      <w:pPr>
        <w:autoSpaceDE w:val="0"/>
        <w:autoSpaceDN w:val="0"/>
        <w:adjustRightInd w:val="0"/>
        <w:spacing w:line="360" w:lineRule="auto"/>
        <w:ind w:firstLineChars="200" w:firstLine="640"/>
        <w:rPr>
          <w:rFonts w:hAnsi="Times New Roman"/>
          <w:sz w:val="32"/>
          <w:szCs w:val="32"/>
          <w:lang w:val="zh-CN"/>
        </w:rPr>
      </w:pPr>
      <w:r>
        <w:rPr>
          <w:rFonts w:ascii="黑体" w:eastAsia="黑体" w:hAnsi="Times New Roman" w:cs="黑体"/>
          <w:sz w:val="32"/>
          <w:szCs w:val="32"/>
          <w:lang w:val="zh-CN"/>
        </w:rPr>
        <w:t>九、国有资本经营预算财政拨款支出决算情况</w:t>
      </w:r>
    </w:p>
    <w:p w:rsidR="00B87C8A" w:rsidRPr="002D1C8A" w:rsidRDefault="00C62F1C" w:rsidP="002D1C8A">
      <w:pPr>
        <w:autoSpaceDE w:val="0"/>
        <w:autoSpaceDN w:val="0"/>
        <w:adjustRightInd w:val="0"/>
        <w:spacing w:line="360" w:lineRule="auto"/>
        <w:ind w:firstLineChars="200" w:firstLine="560"/>
        <w:rPr>
          <w:rFonts w:hAnsi="Times New Roman"/>
          <w:sz w:val="28"/>
          <w:szCs w:val="28"/>
          <w:lang w:val="zh-CN"/>
        </w:rPr>
      </w:pPr>
      <w:r>
        <w:rPr>
          <w:rFonts w:hAnsi="Times New Roman"/>
          <w:sz w:val="28"/>
          <w:szCs w:val="28"/>
          <w:lang w:val="zh-CN"/>
        </w:rPr>
        <w:t>202</w:t>
      </w:r>
      <w:r>
        <w:rPr>
          <w:rFonts w:hAnsi="Times New Roman" w:hint="eastAsia"/>
          <w:sz w:val="28"/>
          <w:szCs w:val="28"/>
          <w:lang w:val="zh-CN"/>
        </w:rPr>
        <w:t>2</w:t>
      </w:r>
      <w:r w:rsidR="002D1C8A" w:rsidRPr="002D1C8A">
        <w:rPr>
          <w:rFonts w:hAnsi="Times New Roman"/>
          <w:sz w:val="28"/>
          <w:szCs w:val="28"/>
          <w:lang w:val="zh-CN"/>
        </w:rPr>
        <w:t>年本单位没有使用国有资本经营预算安排的支出。</w:t>
      </w:r>
    </w:p>
    <w:p w:rsidR="00B87C8A" w:rsidRDefault="002D1C8A">
      <w:pPr>
        <w:autoSpaceDE w:val="0"/>
        <w:autoSpaceDN w:val="0"/>
        <w:adjustRightInd w:val="0"/>
        <w:spacing w:line="360" w:lineRule="auto"/>
        <w:ind w:firstLineChars="200" w:firstLine="640"/>
        <w:rPr>
          <w:rFonts w:hAnsi="Times New Roman"/>
          <w:sz w:val="32"/>
          <w:szCs w:val="32"/>
          <w:lang w:val="zh-CN"/>
        </w:rPr>
      </w:pPr>
      <w:r>
        <w:rPr>
          <w:rFonts w:ascii="黑体" w:eastAsia="黑体" w:hAnsi="Times New Roman" w:cs="黑体"/>
          <w:sz w:val="32"/>
          <w:szCs w:val="32"/>
        </w:rPr>
        <w:t>十、机关运行经费支出说明</w:t>
      </w:r>
    </w:p>
    <w:p w:rsidR="00B87C8A" w:rsidRPr="002D1C8A" w:rsidRDefault="002D1C8A" w:rsidP="002D1C8A">
      <w:pPr>
        <w:autoSpaceDE w:val="0"/>
        <w:autoSpaceDN w:val="0"/>
        <w:adjustRightInd w:val="0"/>
        <w:spacing w:line="360" w:lineRule="auto"/>
        <w:ind w:firstLineChars="200" w:firstLine="560"/>
        <w:rPr>
          <w:rFonts w:hAnsi="Times New Roman"/>
          <w:sz w:val="28"/>
          <w:szCs w:val="28"/>
          <w:lang w:val="zh-CN"/>
        </w:rPr>
      </w:pPr>
      <w:r w:rsidRPr="002D1C8A">
        <w:rPr>
          <w:rFonts w:hAnsi="Times New Roman"/>
          <w:sz w:val="28"/>
          <w:szCs w:val="28"/>
        </w:rPr>
        <w:t>吉首大学单位性质为财政补助事业单位，部门决算报表没有机关运行经费统计数据。</w:t>
      </w:r>
    </w:p>
    <w:p w:rsidR="00B87C8A" w:rsidRPr="003F4204" w:rsidRDefault="002D1C8A">
      <w:pPr>
        <w:autoSpaceDE w:val="0"/>
        <w:autoSpaceDN w:val="0"/>
        <w:adjustRightInd w:val="0"/>
        <w:spacing w:line="360" w:lineRule="auto"/>
        <w:ind w:firstLineChars="200" w:firstLine="640"/>
        <w:rPr>
          <w:rFonts w:hAnsi="Times New Roman"/>
          <w:color w:val="000000" w:themeColor="text1"/>
          <w:sz w:val="32"/>
          <w:szCs w:val="32"/>
          <w:lang w:val="zh-CN"/>
        </w:rPr>
      </w:pPr>
      <w:r w:rsidRPr="003F4204">
        <w:rPr>
          <w:rFonts w:ascii="黑体" w:eastAsia="黑体" w:hAnsi="Times New Roman" w:cs="黑体"/>
          <w:color w:val="000000" w:themeColor="text1"/>
          <w:sz w:val="32"/>
          <w:szCs w:val="32"/>
        </w:rPr>
        <w:t>十一、一般性支出情况</w:t>
      </w:r>
    </w:p>
    <w:p w:rsidR="00B87C8A" w:rsidRPr="002D1C8A" w:rsidRDefault="00C62F1C">
      <w:pPr>
        <w:autoSpaceDE w:val="0"/>
        <w:autoSpaceDN w:val="0"/>
        <w:adjustRightInd w:val="0"/>
        <w:spacing w:line="360" w:lineRule="auto"/>
        <w:ind w:firstLineChars="200" w:firstLine="560"/>
        <w:rPr>
          <w:rFonts w:hAnsi="Times New Roman"/>
          <w:sz w:val="28"/>
          <w:szCs w:val="28"/>
        </w:rPr>
      </w:pPr>
      <w:r>
        <w:rPr>
          <w:sz w:val="28"/>
          <w:szCs w:val="28"/>
        </w:rPr>
        <w:t>202</w:t>
      </w:r>
      <w:r>
        <w:rPr>
          <w:rFonts w:hint="eastAsia"/>
          <w:sz w:val="28"/>
          <w:szCs w:val="28"/>
        </w:rPr>
        <w:t>2</w:t>
      </w:r>
      <w:r w:rsidR="002D1C8A" w:rsidRPr="002D1C8A">
        <w:rPr>
          <w:sz w:val="28"/>
          <w:szCs w:val="28"/>
        </w:rPr>
        <w:t>年本部门</w:t>
      </w:r>
      <w:r w:rsidR="002D1C8A" w:rsidRPr="002D1C8A">
        <w:rPr>
          <w:sz w:val="28"/>
          <w:szCs w:val="28"/>
          <w:lang w:val="zh-CN"/>
        </w:rPr>
        <w:t>一般公共预算财政拨款支出决算</w:t>
      </w:r>
      <w:r w:rsidR="002D1C8A" w:rsidRPr="002D1C8A">
        <w:rPr>
          <w:sz w:val="28"/>
          <w:szCs w:val="28"/>
        </w:rPr>
        <w:t>无</w:t>
      </w:r>
      <w:r w:rsidR="002D1C8A" w:rsidRPr="002D1C8A">
        <w:rPr>
          <w:rFonts w:hAnsi="Times New Roman"/>
          <w:sz w:val="28"/>
          <w:szCs w:val="28"/>
        </w:rPr>
        <w:t>举办节庆、晚会、论坛、赛事活动等相关的</w:t>
      </w:r>
      <w:r w:rsidR="002D1C8A" w:rsidRPr="002D1C8A">
        <w:rPr>
          <w:sz w:val="28"/>
          <w:szCs w:val="28"/>
        </w:rPr>
        <w:t>会议费开支。</w:t>
      </w:r>
    </w:p>
    <w:p w:rsidR="00AB139F" w:rsidRPr="00FD41F4" w:rsidRDefault="002D1C8A" w:rsidP="00FD41F4">
      <w:pPr>
        <w:autoSpaceDE w:val="0"/>
        <w:autoSpaceDN w:val="0"/>
        <w:adjustRightInd w:val="0"/>
        <w:spacing w:line="360" w:lineRule="auto"/>
        <w:ind w:firstLineChars="200" w:firstLine="640"/>
        <w:rPr>
          <w:rFonts w:hAnsi="Times New Roman"/>
          <w:sz w:val="32"/>
          <w:szCs w:val="32"/>
        </w:rPr>
      </w:pPr>
      <w:r>
        <w:rPr>
          <w:rFonts w:ascii="黑体" w:eastAsia="黑体" w:hAnsi="Times New Roman" w:cs="黑体"/>
          <w:sz w:val="32"/>
          <w:szCs w:val="32"/>
        </w:rPr>
        <w:t>十二、关于政府采购支出说明</w:t>
      </w:r>
    </w:p>
    <w:p w:rsidR="00B87C8A" w:rsidRPr="002D1C8A" w:rsidRDefault="00AB139F" w:rsidP="00AB139F">
      <w:pPr>
        <w:autoSpaceDE w:val="0"/>
        <w:autoSpaceDN w:val="0"/>
        <w:adjustRightInd w:val="0"/>
        <w:spacing w:line="360" w:lineRule="auto"/>
        <w:ind w:firstLineChars="200" w:firstLine="560"/>
        <w:rPr>
          <w:rFonts w:hAnsi="Times New Roman"/>
          <w:sz w:val="28"/>
          <w:szCs w:val="28"/>
        </w:rPr>
      </w:pPr>
      <w:r w:rsidRPr="00AB139F">
        <w:rPr>
          <w:rFonts w:hAnsi="Times New Roman"/>
          <w:sz w:val="28"/>
          <w:szCs w:val="28"/>
        </w:rPr>
        <w:t>2022年度政府采购支出总额13941.14万元，其中：政府采购货物支出5172.65万元；政府采购工程支出6703.48万元；政府采购服务支出</w:t>
      </w:r>
      <w:r w:rsidRPr="00AB139F">
        <w:rPr>
          <w:rFonts w:hAnsi="Times New Roman"/>
          <w:sz w:val="28"/>
          <w:szCs w:val="28"/>
        </w:rPr>
        <w:lastRenderedPageBreak/>
        <w:t>2065.01万元；授予中小企业合同金额7912.85万元，占政府采购支出总额的56.76%，</w:t>
      </w:r>
      <w:r w:rsidRPr="00AB139F">
        <w:rPr>
          <w:rFonts w:hAnsi="Times New Roman" w:hint="eastAsia"/>
          <w:sz w:val="28"/>
          <w:szCs w:val="28"/>
        </w:rPr>
        <w:t>其中：授予小微企业合同金额</w:t>
      </w:r>
      <w:r w:rsidRPr="00AB139F">
        <w:rPr>
          <w:rFonts w:hAnsi="Times New Roman"/>
          <w:sz w:val="28"/>
          <w:szCs w:val="28"/>
        </w:rPr>
        <w:t>7912.85万元，占授予中小企业合同金额的100%。货物采购授予中小企业合同金额占货物支出金额的37.1%。工程采购授予中小企业合同金额占工程支出金额的48.08%。服务采购授予中小企业合同金额占服务支出金额的14.81%。</w:t>
      </w:r>
    </w:p>
    <w:p w:rsidR="00B87C8A" w:rsidRDefault="002D1C8A">
      <w:pPr>
        <w:autoSpaceDE w:val="0"/>
        <w:autoSpaceDN w:val="0"/>
        <w:adjustRightInd w:val="0"/>
        <w:spacing w:line="360" w:lineRule="auto"/>
        <w:ind w:firstLineChars="200" w:firstLine="640"/>
        <w:rPr>
          <w:rFonts w:hAnsi="Times New Roman"/>
          <w:sz w:val="32"/>
          <w:szCs w:val="32"/>
        </w:rPr>
      </w:pPr>
      <w:r>
        <w:rPr>
          <w:rFonts w:ascii="黑体" w:eastAsia="黑体" w:hAnsi="Times New Roman" w:cs="黑体"/>
          <w:sz w:val="32"/>
          <w:szCs w:val="32"/>
        </w:rPr>
        <w:t>十三、关于国有资产占有情况说明</w:t>
      </w:r>
    </w:p>
    <w:p w:rsidR="00B87C8A" w:rsidRPr="002D1C8A" w:rsidRDefault="00AB139F" w:rsidP="00AB139F">
      <w:pPr>
        <w:autoSpaceDE w:val="0"/>
        <w:autoSpaceDN w:val="0"/>
        <w:adjustRightInd w:val="0"/>
        <w:spacing w:line="360" w:lineRule="auto"/>
        <w:ind w:firstLineChars="200" w:firstLine="560"/>
        <w:rPr>
          <w:rFonts w:hAnsi="Times New Roman"/>
          <w:sz w:val="28"/>
          <w:szCs w:val="28"/>
        </w:rPr>
      </w:pPr>
      <w:r w:rsidRPr="00AB139F">
        <w:rPr>
          <w:rFonts w:hAnsi="Times New Roman" w:hint="eastAsia"/>
          <w:sz w:val="28"/>
          <w:szCs w:val="28"/>
        </w:rPr>
        <w:t>截至</w:t>
      </w:r>
      <w:r w:rsidRPr="00AB139F">
        <w:rPr>
          <w:rFonts w:hAnsi="Times New Roman"/>
          <w:sz w:val="28"/>
          <w:szCs w:val="28"/>
        </w:rPr>
        <w:t>2022年12月31日，吉首大学共有车辆10辆。其中：应急保障用车7辆、其他用车3辆，其他用车主要是用于机要通信和应急保障之外公务用途的车辆；单价 100 万元(含)以上设备（不含车辆）3台（套）。</w:t>
      </w:r>
    </w:p>
    <w:p w:rsidR="0088429C" w:rsidRDefault="0088429C" w:rsidP="0088429C">
      <w:pPr>
        <w:autoSpaceDE w:val="0"/>
        <w:autoSpaceDN w:val="0"/>
        <w:adjustRightInd w:val="0"/>
        <w:spacing w:line="360" w:lineRule="auto"/>
        <w:ind w:firstLineChars="200" w:firstLine="640"/>
        <w:rPr>
          <w:rFonts w:ascii="黑体" w:eastAsia="黑体" w:cs="黑体"/>
          <w:sz w:val="32"/>
          <w:szCs w:val="32"/>
        </w:rPr>
      </w:pPr>
      <w:r>
        <w:rPr>
          <w:rFonts w:ascii="黑体" w:eastAsia="黑体" w:cs="黑体"/>
          <w:sz w:val="32"/>
          <w:szCs w:val="32"/>
        </w:rPr>
        <w:t>十四、关于2022年度预算绩效情况的说明</w:t>
      </w:r>
    </w:p>
    <w:p w:rsidR="0088429C" w:rsidRDefault="0088429C" w:rsidP="0088429C">
      <w:pPr>
        <w:spacing w:line="360" w:lineRule="auto"/>
        <w:ind w:firstLineChars="200" w:firstLine="560"/>
        <w:rPr>
          <w:rFonts w:cs="黑体"/>
          <w:sz w:val="28"/>
          <w:szCs w:val="28"/>
        </w:rPr>
      </w:pPr>
      <w:r>
        <w:rPr>
          <w:sz w:val="28"/>
          <w:szCs w:val="28"/>
        </w:rPr>
        <w:t>学校预算管理坚持“量入为出、收支平衡，综合预算、统筹资源，保证重点、兼顾一般，厉行节约、讲求绩效”的原则，</w:t>
      </w:r>
      <w:r w:rsidRPr="008D4313">
        <w:rPr>
          <w:sz w:val="28"/>
          <w:szCs w:val="28"/>
        </w:rPr>
        <w:t>采用“两下两上一集中”的</w:t>
      </w:r>
      <w:r>
        <w:rPr>
          <w:sz w:val="28"/>
          <w:szCs w:val="28"/>
        </w:rPr>
        <w:t>编制</w:t>
      </w:r>
      <w:r w:rsidRPr="008D4313">
        <w:rPr>
          <w:sz w:val="28"/>
          <w:szCs w:val="28"/>
        </w:rPr>
        <w:t>程序，坚持四结合支出预算</w:t>
      </w:r>
      <w:r>
        <w:rPr>
          <w:sz w:val="28"/>
          <w:szCs w:val="28"/>
        </w:rPr>
        <w:t>编制</w:t>
      </w:r>
      <w:r w:rsidRPr="008D4313">
        <w:rPr>
          <w:sz w:val="28"/>
          <w:szCs w:val="28"/>
        </w:rPr>
        <w:t>。按照《2022年度部门整体支出绩效自评表》评分标准，综合自评得分98.5分。</w:t>
      </w:r>
      <w:r>
        <w:rPr>
          <w:sz w:val="28"/>
          <w:szCs w:val="28"/>
        </w:rPr>
        <w:t>为提高资金使用效益，实现“集中力量办大事”，</w:t>
      </w:r>
      <w:r w:rsidRPr="00096526">
        <w:rPr>
          <w:sz w:val="28"/>
          <w:szCs w:val="28"/>
        </w:rPr>
        <w:t>学校主要从以下方面持续加强预算绩效管理。</w:t>
      </w:r>
    </w:p>
    <w:p w:rsidR="0088429C" w:rsidRDefault="0088429C" w:rsidP="0088429C">
      <w:pPr>
        <w:spacing w:line="360" w:lineRule="auto"/>
        <w:ind w:firstLineChars="200" w:firstLine="562"/>
        <w:rPr>
          <w:rFonts w:cs="黑体"/>
          <w:b/>
          <w:sz w:val="28"/>
          <w:szCs w:val="28"/>
        </w:rPr>
      </w:pPr>
      <w:r>
        <w:rPr>
          <w:b/>
          <w:sz w:val="28"/>
          <w:szCs w:val="28"/>
        </w:rPr>
        <w:t>（一）实施全过程绩效管理</w:t>
      </w:r>
    </w:p>
    <w:p w:rsidR="0088429C" w:rsidRDefault="0088429C" w:rsidP="0088429C">
      <w:pPr>
        <w:spacing w:line="360" w:lineRule="auto"/>
        <w:ind w:firstLineChars="200" w:firstLine="560"/>
        <w:rPr>
          <w:rFonts w:cs="黑体"/>
          <w:sz w:val="28"/>
          <w:szCs w:val="28"/>
        </w:rPr>
      </w:pPr>
      <w:r>
        <w:rPr>
          <w:sz w:val="28"/>
          <w:szCs w:val="28"/>
        </w:rPr>
        <w:t>1、预算编制时，明确绩效目标。一是明确申报专项预算时，在对项目建设必要性、可行性分析的同时，需列明项目的绩效目标；二是预算项目遴选时，绩效目标设置的清晰、合理、有效，是项目能否立项的重要影响因素；三是学校预算编制草案及明细方案（含项目绩效目标）须报经学校校务会审议、校党委会决议确定；四是项目绩效目标经整理成档后作为预算绩效评价依据。</w:t>
      </w:r>
    </w:p>
    <w:p w:rsidR="0088429C" w:rsidRDefault="0088429C" w:rsidP="0088429C">
      <w:pPr>
        <w:spacing w:line="360" w:lineRule="auto"/>
        <w:ind w:firstLineChars="200" w:firstLine="560"/>
        <w:rPr>
          <w:rFonts w:cs="黑体"/>
          <w:sz w:val="28"/>
          <w:szCs w:val="28"/>
        </w:rPr>
      </w:pPr>
      <w:r>
        <w:rPr>
          <w:sz w:val="28"/>
          <w:szCs w:val="28"/>
        </w:rPr>
        <w:lastRenderedPageBreak/>
        <w:t>2、预算执行中，实施跟踪问效。年度下达预算后，学校财务部门于年中及下半年及时开展资金执行情况分析、整理和调研，序时公开预算执行情况，分别采取收回预算资金、压缩下年度预算、进行预算调整等方式对预算资金跟踪问效。</w:t>
      </w:r>
    </w:p>
    <w:p w:rsidR="0088429C" w:rsidRDefault="0088429C" w:rsidP="0088429C">
      <w:pPr>
        <w:spacing w:line="360" w:lineRule="auto"/>
        <w:ind w:firstLineChars="200" w:firstLine="560"/>
        <w:rPr>
          <w:rFonts w:cs="黑体"/>
          <w:sz w:val="28"/>
          <w:szCs w:val="28"/>
        </w:rPr>
      </w:pPr>
      <w:r>
        <w:rPr>
          <w:sz w:val="28"/>
          <w:szCs w:val="28"/>
        </w:rPr>
        <w:t>3、预算年度间，开展绩效评价。每年末，开展预算执行情况分析，执行情况与下年预算草案挂钩，对部分执行效果差的项目采取预算削减或暂缓项目立项方式实施跟踪问效。组织或协助开展资金预算绩效评价、预算项目执行审计等工作，通过约谈、公开或披露预算项目执行存在的问题等方式，不断强化预算绩效的全过程管理，有效地提高了资金使用的合规性、效益性。</w:t>
      </w:r>
    </w:p>
    <w:p w:rsidR="0088429C" w:rsidRDefault="0088429C" w:rsidP="0088429C">
      <w:pPr>
        <w:spacing w:line="360" w:lineRule="auto"/>
        <w:ind w:firstLineChars="200" w:firstLine="562"/>
        <w:rPr>
          <w:rFonts w:cs="黑体"/>
          <w:sz w:val="28"/>
          <w:szCs w:val="28"/>
        </w:rPr>
      </w:pPr>
      <w:r w:rsidRPr="00DC0481">
        <w:rPr>
          <w:b/>
          <w:sz w:val="28"/>
          <w:szCs w:val="28"/>
        </w:rPr>
        <w:t>（二）积极开展高校双一流建设专项资金绩效评价</w:t>
      </w:r>
    </w:p>
    <w:p w:rsidR="0088429C" w:rsidRPr="00DC0481" w:rsidRDefault="0088429C" w:rsidP="0088429C">
      <w:pPr>
        <w:spacing w:line="360" w:lineRule="auto"/>
        <w:ind w:firstLineChars="200" w:firstLine="560"/>
        <w:rPr>
          <w:rFonts w:cs="黑体"/>
          <w:sz w:val="28"/>
          <w:szCs w:val="28"/>
        </w:rPr>
      </w:pPr>
      <w:r>
        <w:rPr>
          <w:sz w:val="28"/>
          <w:szCs w:val="28"/>
        </w:rPr>
        <w:t xml:space="preserve">  根据省厅文件要求，积极开展高校双一流建设专项资金绩效评价，以评促建、以评促改。通过专项资金绩效评价的组织实施，对标学校整体资金的预算绩效管理，总结经验，完善预算绩效管理机制。</w:t>
      </w:r>
    </w:p>
    <w:p w:rsidR="0088429C" w:rsidRDefault="0088429C" w:rsidP="0088429C">
      <w:pPr>
        <w:adjustRightInd w:val="0"/>
        <w:snapToGrid w:val="0"/>
        <w:spacing w:line="360" w:lineRule="auto"/>
        <w:ind w:firstLineChars="200" w:firstLine="560"/>
        <w:rPr>
          <w:sz w:val="28"/>
          <w:szCs w:val="28"/>
        </w:rPr>
      </w:pPr>
      <w:r w:rsidRPr="00907DD7">
        <w:rPr>
          <w:sz w:val="28"/>
          <w:szCs w:val="28"/>
        </w:rPr>
        <w:t>学校“双一流”建设项目资金预算以《吉首大学预算管理暂行办法》《吉首大学服务“三高四新”战略实施方案》、《吉首大学事业发展“十四五”总体规划（讨论稿）》、《吉首大学“十四五”学科专业建设专项规划（2021—2025年）（讨论稿）》《吉首大学“十四五”建设发展规划》《吉首大学2021年度党政工作要点》《吉首大学“双一流”学科建设管理办法》《吉首大学一流专业管理办法》《吉首大学教学改革研究项目管理办法》《吉首大学课程建设管理办法》等制度为依据，以项目实施推进工作内容和进度为年度预算金额控制数，结合财政专项拨款与学校自筹资金情况，形成年度“双一流”建设项目预算。2022年度，学校以上年财政专项拨款为限额，结合学校资金现状，编制了年度“双</w:t>
      </w:r>
      <w:r w:rsidRPr="00907DD7">
        <w:rPr>
          <w:sz w:val="28"/>
          <w:szCs w:val="28"/>
        </w:rPr>
        <w:lastRenderedPageBreak/>
        <w:t>一流”建设项目资金预算方案，学校“双一流”建设专项资金年初预算金额为6,049.18万元，较202</w:t>
      </w:r>
      <w:r>
        <w:rPr>
          <w:sz w:val="28"/>
          <w:szCs w:val="28"/>
        </w:rPr>
        <w:t>1</w:t>
      </w:r>
      <w:r w:rsidRPr="00907DD7">
        <w:rPr>
          <w:sz w:val="28"/>
          <w:szCs w:val="28"/>
        </w:rPr>
        <w:t>年5326.39万元增长</w:t>
      </w:r>
      <w:r>
        <w:rPr>
          <w:sz w:val="28"/>
          <w:szCs w:val="28"/>
        </w:rPr>
        <w:t>722.79</w:t>
      </w:r>
      <w:r w:rsidRPr="00907DD7">
        <w:rPr>
          <w:sz w:val="28"/>
          <w:szCs w:val="28"/>
        </w:rPr>
        <w:t>万元</w:t>
      </w:r>
      <w:r>
        <w:rPr>
          <w:sz w:val="28"/>
          <w:szCs w:val="28"/>
        </w:rPr>
        <w:t>，</w:t>
      </w:r>
      <w:r w:rsidRPr="00907DD7">
        <w:rPr>
          <w:sz w:val="28"/>
          <w:szCs w:val="28"/>
        </w:rPr>
        <w:t>实际下拨金额为6,049.18万元（其中省财政厅拨款3,157.10万元，学校自筹经费2,892.08万元），预算指标于学校预算方案下文后下达，预算编制科学、合理，预算资金拨付款及时，到位率100</w:t>
      </w:r>
      <w:r>
        <w:rPr>
          <w:sz w:val="28"/>
          <w:szCs w:val="28"/>
        </w:rPr>
        <w:t>%</w:t>
      </w:r>
      <w:r w:rsidRPr="00907DD7">
        <w:rPr>
          <w:sz w:val="28"/>
          <w:szCs w:val="28"/>
        </w:rPr>
        <w:t>。</w:t>
      </w:r>
    </w:p>
    <w:p w:rsidR="0088429C" w:rsidRPr="00907DD7" w:rsidRDefault="0088429C" w:rsidP="0088429C">
      <w:pPr>
        <w:adjustRightInd w:val="0"/>
        <w:snapToGrid w:val="0"/>
        <w:spacing w:line="360" w:lineRule="auto"/>
        <w:ind w:firstLineChars="200" w:firstLine="560"/>
        <w:rPr>
          <w:sz w:val="28"/>
          <w:szCs w:val="28"/>
        </w:rPr>
      </w:pPr>
      <w:r w:rsidRPr="00D30887">
        <w:rPr>
          <w:sz w:val="28"/>
          <w:szCs w:val="28"/>
        </w:rPr>
        <w:t>根据各归口责任单位和实施单位自查自审，资金支出合理、合理，未发现截留、挪用及损失浪费情况，学校财务严格按照规定，专款专用，对项目实施跟踪问效和中期分析，对年度无法预算执行的项目进行了预算调整，年终对还未完成需继续实施且有结余资金的项目执行预算清零，所需资金纳入下年度支出预算。2022年度专项资金使用情况见下表：</w:t>
      </w:r>
    </w:p>
    <w:p w:rsidR="0088429C" w:rsidRDefault="0088429C" w:rsidP="0088429C">
      <w:pPr>
        <w:adjustRightInd w:val="0"/>
        <w:snapToGrid w:val="0"/>
        <w:spacing w:line="600" w:lineRule="exact"/>
        <w:jc w:val="center"/>
        <w:rPr>
          <w:b/>
        </w:rPr>
      </w:pPr>
      <w:r>
        <w:rPr>
          <w:b/>
        </w:rPr>
        <w:t>吉首大学202</w:t>
      </w:r>
      <w:r>
        <w:rPr>
          <w:rFonts w:hint="eastAsia"/>
          <w:b/>
        </w:rPr>
        <w:t>2</w:t>
      </w:r>
      <w:r>
        <w:rPr>
          <w:b/>
        </w:rPr>
        <w:t>年 “双一流"专项项目执行明细表</w:t>
      </w:r>
    </w:p>
    <w:p w:rsidR="0088429C" w:rsidRDefault="0088429C" w:rsidP="0088429C">
      <w:pPr>
        <w:ind w:right="420"/>
        <w:jc w:val="center"/>
        <w:rPr>
          <w:b/>
          <w:szCs w:val="21"/>
        </w:rPr>
      </w:pPr>
      <w:r>
        <w:rPr>
          <w:b/>
          <w:szCs w:val="21"/>
        </w:rPr>
        <w:t xml:space="preserve">                                                        单位：万元</w:t>
      </w:r>
    </w:p>
    <w:tbl>
      <w:tblPr>
        <w:tblpPr w:leftFromText="180" w:rightFromText="180" w:vertAnchor="text" w:horzAnchor="margin" w:tblpXSpec="center" w:tblpY="141"/>
        <w:tblW w:w="4998" w:type="pct"/>
        <w:jc w:val="center"/>
        <w:tblLook w:val="04A0"/>
      </w:tblPr>
      <w:tblGrid>
        <w:gridCol w:w="2094"/>
        <w:gridCol w:w="1557"/>
        <w:gridCol w:w="1729"/>
        <w:gridCol w:w="1702"/>
        <w:gridCol w:w="1770"/>
      </w:tblGrid>
      <w:tr w:rsidR="0088429C" w:rsidRPr="00D30887" w:rsidTr="009B5C86">
        <w:trPr>
          <w:trHeight w:val="567"/>
          <w:jc w:val="center"/>
        </w:trPr>
        <w:tc>
          <w:tcPr>
            <w:tcW w:w="1182" w:type="pct"/>
            <w:tcBorders>
              <w:top w:val="single" w:sz="4" w:space="0" w:color="auto"/>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rFonts w:ascii="仿宋" w:eastAsia="仿宋" w:hAnsi="仿宋"/>
                <w:b/>
                <w:bCs/>
              </w:rPr>
            </w:pPr>
            <w:r w:rsidRPr="00D30887">
              <w:rPr>
                <w:rFonts w:ascii="仿宋" w:eastAsia="仿宋" w:hAnsi="仿宋"/>
                <w:b/>
                <w:bCs/>
              </w:rPr>
              <w:t>项目名称</w:t>
            </w:r>
          </w:p>
        </w:tc>
        <w:tc>
          <w:tcPr>
            <w:tcW w:w="879" w:type="pct"/>
            <w:tcBorders>
              <w:top w:val="single" w:sz="4" w:space="0" w:color="auto"/>
              <w:left w:val="nil"/>
              <w:bottom w:val="single" w:sz="4" w:space="0" w:color="auto"/>
              <w:right w:val="single" w:sz="4" w:space="0" w:color="auto"/>
            </w:tcBorders>
            <w:shd w:val="clear" w:color="auto" w:fill="auto"/>
            <w:noWrap/>
            <w:vAlign w:val="center"/>
          </w:tcPr>
          <w:p w:rsidR="0088429C" w:rsidRPr="00D30887" w:rsidRDefault="0088429C" w:rsidP="009B5C86">
            <w:pPr>
              <w:jc w:val="center"/>
              <w:rPr>
                <w:rFonts w:ascii="仿宋" w:eastAsia="仿宋" w:hAnsi="仿宋"/>
                <w:b/>
                <w:bCs/>
              </w:rPr>
            </w:pPr>
            <w:r w:rsidRPr="00D30887">
              <w:rPr>
                <w:rFonts w:ascii="仿宋" w:eastAsia="仿宋" w:hAnsi="仿宋"/>
                <w:b/>
                <w:bCs/>
              </w:rPr>
              <w:t>预算金额</w:t>
            </w:r>
          </w:p>
        </w:tc>
        <w:tc>
          <w:tcPr>
            <w:tcW w:w="976" w:type="pct"/>
            <w:tcBorders>
              <w:top w:val="single" w:sz="4" w:space="0" w:color="auto"/>
              <w:left w:val="nil"/>
              <w:bottom w:val="single" w:sz="4" w:space="0" w:color="auto"/>
              <w:right w:val="single" w:sz="4" w:space="0" w:color="auto"/>
            </w:tcBorders>
            <w:shd w:val="clear" w:color="auto" w:fill="auto"/>
            <w:vAlign w:val="center"/>
          </w:tcPr>
          <w:p w:rsidR="0088429C" w:rsidRPr="00D30887" w:rsidRDefault="0088429C" w:rsidP="009B5C86">
            <w:pPr>
              <w:jc w:val="center"/>
              <w:rPr>
                <w:rFonts w:ascii="仿宋" w:eastAsia="仿宋" w:hAnsi="仿宋"/>
                <w:b/>
                <w:bCs/>
              </w:rPr>
            </w:pPr>
            <w:r w:rsidRPr="00D30887">
              <w:rPr>
                <w:rFonts w:ascii="仿宋" w:eastAsia="仿宋" w:hAnsi="仿宋"/>
                <w:b/>
                <w:bCs/>
              </w:rPr>
              <w:t>实际下拨</w:t>
            </w:r>
          </w:p>
        </w:tc>
        <w:tc>
          <w:tcPr>
            <w:tcW w:w="961" w:type="pct"/>
            <w:tcBorders>
              <w:top w:val="single" w:sz="4" w:space="0" w:color="auto"/>
              <w:left w:val="nil"/>
              <w:bottom w:val="single" w:sz="4" w:space="0" w:color="auto"/>
              <w:right w:val="single" w:sz="4" w:space="0" w:color="auto"/>
            </w:tcBorders>
            <w:shd w:val="clear" w:color="auto" w:fill="auto"/>
            <w:vAlign w:val="center"/>
          </w:tcPr>
          <w:p w:rsidR="0088429C" w:rsidRPr="00D30887" w:rsidRDefault="0088429C" w:rsidP="009B5C86">
            <w:pPr>
              <w:jc w:val="center"/>
              <w:rPr>
                <w:rFonts w:ascii="仿宋" w:eastAsia="仿宋" w:hAnsi="仿宋"/>
                <w:b/>
                <w:bCs/>
              </w:rPr>
            </w:pPr>
            <w:r w:rsidRPr="00D30887">
              <w:rPr>
                <w:rFonts w:ascii="仿宋" w:eastAsia="仿宋" w:hAnsi="仿宋"/>
                <w:b/>
                <w:bCs/>
              </w:rPr>
              <w:t>实际支出</w:t>
            </w:r>
          </w:p>
        </w:tc>
        <w:tc>
          <w:tcPr>
            <w:tcW w:w="1000" w:type="pct"/>
            <w:tcBorders>
              <w:top w:val="single" w:sz="4" w:space="0" w:color="auto"/>
              <w:left w:val="nil"/>
              <w:bottom w:val="single" w:sz="4" w:space="0" w:color="auto"/>
              <w:right w:val="single" w:sz="4" w:space="0" w:color="auto"/>
            </w:tcBorders>
            <w:shd w:val="clear" w:color="auto" w:fill="auto"/>
            <w:vAlign w:val="center"/>
          </w:tcPr>
          <w:p w:rsidR="0088429C" w:rsidRPr="00D30887" w:rsidRDefault="0088429C" w:rsidP="009B5C86">
            <w:pPr>
              <w:jc w:val="center"/>
              <w:rPr>
                <w:rFonts w:ascii="仿宋" w:eastAsia="仿宋" w:hAnsi="仿宋"/>
                <w:b/>
                <w:bCs/>
              </w:rPr>
            </w:pPr>
            <w:r w:rsidRPr="00D30887">
              <w:rPr>
                <w:rFonts w:ascii="仿宋" w:eastAsia="仿宋" w:hAnsi="仿宋"/>
                <w:b/>
                <w:bCs/>
              </w:rPr>
              <w:t>预算执行率</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高层次人才特殊报酬</w:t>
            </w:r>
          </w:p>
        </w:tc>
        <w:tc>
          <w:tcPr>
            <w:tcW w:w="879" w:type="pct"/>
            <w:tcBorders>
              <w:top w:val="nil"/>
              <w:left w:val="nil"/>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2528.80</w:t>
            </w:r>
          </w:p>
        </w:tc>
        <w:tc>
          <w:tcPr>
            <w:tcW w:w="976"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2528.80</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2329.05</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92.10%</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人才引进专项</w:t>
            </w:r>
          </w:p>
        </w:tc>
        <w:tc>
          <w:tcPr>
            <w:tcW w:w="879" w:type="pct"/>
            <w:tcBorders>
              <w:top w:val="nil"/>
              <w:left w:val="nil"/>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1000.00</w:t>
            </w:r>
          </w:p>
        </w:tc>
        <w:tc>
          <w:tcPr>
            <w:tcW w:w="976"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1000.00</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459.02</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45.90%</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学科建设经费</w:t>
            </w:r>
          </w:p>
        </w:tc>
        <w:tc>
          <w:tcPr>
            <w:tcW w:w="879" w:type="pct"/>
            <w:tcBorders>
              <w:top w:val="nil"/>
              <w:left w:val="nil"/>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310.00</w:t>
            </w:r>
          </w:p>
        </w:tc>
        <w:tc>
          <w:tcPr>
            <w:tcW w:w="976"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310.00</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298.37</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96.25%</w:t>
            </w:r>
          </w:p>
        </w:tc>
      </w:tr>
      <w:tr w:rsidR="0088429C" w:rsidRPr="00D30887" w:rsidTr="009B5C86">
        <w:trPr>
          <w:trHeight w:val="567"/>
          <w:jc w:val="center"/>
        </w:trPr>
        <w:tc>
          <w:tcPr>
            <w:tcW w:w="1182" w:type="pct"/>
            <w:tcBorders>
              <w:top w:val="single" w:sz="4" w:space="0" w:color="auto"/>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图书购置费</w:t>
            </w:r>
          </w:p>
        </w:tc>
        <w:tc>
          <w:tcPr>
            <w:tcW w:w="8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370.00</w:t>
            </w:r>
          </w:p>
        </w:tc>
        <w:tc>
          <w:tcPr>
            <w:tcW w:w="976" w:type="pct"/>
            <w:tcBorders>
              <w:top w:val="single" w:sz="4" w:space="0" w:color="auto"/>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370.00</w:t>
            </w:r>
          </w:p>
        </w:tc>
        <w:tc>
          <w:tcPr>
            <w:tcW w:w="961" w:type="pct"/>
            <w:tcBorders>
              <w:top w:val="single" w:sz="4" w:space="0" w:color="auto"/>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370.00</w:t>
            </w:r>
          </w:p>
        </w:tc>
        <w:tc>
          <w:tcPr>
            <w:tcW w:w="1000" w:type="pct"/>
            <w:tcBorders>
              <w:top w:val="single" w:sz="4" w:space="0" w:color="auto"/>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100.00%</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互联网+创新创业大赛专项</w:t>
            </w:r>
          </w:p>
        </w:tc>
        <w:tc>
          <w:tcPr>
            <w:tcW w:w="879" w:type="pct"/>
            <w:tcBorders>
              <w:top w:val="nil"/>
              <w:left w:val="nil"/>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15.00</w:t>
            </w:r>
          </w:p>
        </w:tc>
        <w:tc>
          <w:tcPr>
            <w:tcW w:w="976"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15.00</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15.00</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100.00%</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创业支持专项经费</w:t>
            </w:r>
          </w:p>
        </w:tc>
        <w:tc>
          <w:tcPr>
            <w:tcW w:w="879" w:type="pct"/>
            <w:tcBorders>
              <w:top w:val="nil"/>
              <w:left w:val="nil"/>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15.00</w:t>
            </w:r>
          </w:p>
        </w:tc>
        <w:tc>
          <w:tcPr>
            <w:tcW w:w="976"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15.00</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6.79</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45.27%</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挑战杯创业大赛专项</w:t>
            </w:r>
          </w:p>
        </w:tc>
        <w:tc>
          <w:tcPr>
            <w:tcW w:w="879" w:type="pct"/>
            <w:tcBorders>
              <w:top w:val="nil"/>
              <w:left w:val="nil"/>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15.00</w:t>
            </w:r>
          </w:p>
        </w:tc>
        <w:tc>
          <w:tcPr>
            <w:tcW w:w="976"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15.00</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14.98</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99.87%</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学生艺术团专项</w:t>
            </w:r>
          </w:p>
        </w:tc>
        <w:tc>
          <w:tcPr>
            <w:tcW w:w="879" w:type="pct"/>
            <w:tcBorders>
              <w:top w:val="nil"/>
              <w:left w:val="nil"/>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6.00</w:t>
            </w:r>
          </w:p>
        </w:tc>
        <w:tc>
          <w:tcPr>
            <w:tcW w:w="976" w:type="pct"/>
            <w:tcBorders>
              <w:top w:val="single" w:sz="4" w:space="0" w:color="auto"/>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6.00</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6.00</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100.00%</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青年马克思主义者培训费</w:t>
            </w:r>
          </w:p>
        </w:tc>
        <w:tc>
          <w:tcPr>
            <w:tcW w:w="879" w:type="pct"/>
            <w:tcBorders>
              <w:top w:val="single" w:sz="4" w:space="0" w:color="auto"/>
              <w:left w:val="nil"/>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4.00</w:t>
            </w:r>
          </w:p>
        </w:tc>
        <w:tc>
          <w:tcPr>
            <w:tcW w:w="976" w:type="pct"/>
            <w:tcBorders>
              <w:top w:val="single" w:sz="4" w:space="0" w:color="auto"/>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4.00</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3.81</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95.25%</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专业建设研究经费</w:t>
            </w:r>
          </w:p>
        </w:tc>
        <w:tc>
          <w:tcPr>
            <w:tcW w:w="879" w:type="pct"/>
            <w:tcBorders>
              <w:top w:val="nil"/>
              <w:left w:val="nil"/>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558.00</w:t>
            </w:r>
          </w:p>
        </w:tc>
        <w:tc>
          <w:tcPr>
            <w:tcW w:w="1663" w:type="dxa"/>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558.00</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479.68</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85.96%</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lastRenderedPageBreak/>
              <w:t>课程建设研究经费</w:t>
            </w:r>
          </w:p>
        </w:tc>
        <w:tc>
          <w:tcPr>
            <w:tcW w:w="879" w:type="pct"/>
            <w:tcBorders>
              <w:top w:val="nil"/>
              <w:left w:val="nil"/>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176.00</w:t>
            </w:r>
          </w:p>
        </w:tc>
        <w:tc>
          <w:tcPr>
            <w:tcW w:w="1663" w:type="dxa"/>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176.00</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156.36</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88.84%</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高等教育质量与创新计划</w:t>
            </w:r>
          </w:p>
        </w:tc>
        <w:tc>
          <w:tcPr>
            <w:tcW w:w="879" w:type="pct"/>
            <w:tcBorders>
              <w:top w:val="nil"/>
              <w:left w:val="nil"/>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189.15</w:t>
            </w:r>
          </w:p>
        </w:tc>
        <w:tc>
          <w:tcPr>
            <w:tcW w:w="1663" w:type="dxa"/>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189.15</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158.68</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83.89%</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实验室开放及学生自主实验项目专项经费</w:t>
            </w:r>
          </w:p>
        </w:tc>
        <w:tc>
          <w:tcPr>
            <w:tcW w:w="879" w:type="pct"/>
            <w:tcBorders>
              <w:top w:val="nil"/>
              <w:left w:val="nil"/>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21.20</w:t>
            </w:r>
          </w:p>
        </w:tc>
        <w:tc>
          <w:tcPr>
            <w:tcW w:w="976"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21.20</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20.39</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96.18%</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独立设置实验课程建设专项经费</w:t>
            </w:r>
          </w:p>
        </w:tc>
        <w:tc>
          <w:tcPr>
            <w:tcW w:w="879" w:type="pct"/>
            <w:tcBorders>
              <w:top w:val="nil"/>
              <w:left w:val="nil"/>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18.00</w:t>
            </w:r>
          </w:p>
        </w:tc>
        <w:tc>
          <w:tcPr>
            <w:tcW w:w="976"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18.00</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8.20</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45.56%</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高等教育教学成果奖</w:t>
            </w:r>
          </w:p>
        </w:tc>
        <w:tc>
          <w:tcPr>
            <w:tcW w:w="879" w:type="pct"/>
            <w:tcBorders>
              <w:top w:val="nil"/>
              <w:left w:val="nil"/>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11.00</w:t>
            </w:r>
          </w:p>
        </w:tc>
        <w:tc>
          <w:tcPr>
            <w:tcW w:w="976"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11.00</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10.00</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90.91%</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实验室建设专项经费</w:t>
            </w:r>
          </w:p>
        </w:tc>
        <w:tc>
          <w:tcPr>
            <w:tcW w:w="879" w:type="pct"/>
            <w:tcBorders>
              <w:top w:val="nil"/>
              <w:left w:val="nil"/>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215.00</w:t>
            </w:r>
          </w:p>
        </w:tc>
        <w:tc>
          <w:tcPr>
            <w:tcW w:w="976"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215.00</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111.11</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51.68%</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研究生教学内涵式建设专项</w:t>
            </w:r>
          </w:p>
        </w:tc>
        <w:tc>
          <w:tcPr>
            <w:tcW w:w="879" w:type="pct"/>
            <w:tcBorders>
              <w:top w:val="nil"/>
              <w:left w:val="nil"/>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151.65</w:t>
            </w:r>
          </w:p>
        </w:tc>
        <w:tc>
          <w:tcPr>
            <w:tcW w:w="976"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151.65</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123.60</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81.50%</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思政项目</w:t>
            </w:r>
          </w:p>
        </w:tc>
        <w:tc>
          <w:tcPr>
            <w:tcW w:w="879" w:type="pct"/>
            <w:tcBorders>
              <w:top w:val="nil"/>
              <w:left w:val="nil"/>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32.00</w:t>
            </w:r>
          </w:p>
        </w:tc>
        <w:tc>
          <w:tcPr>
            <w:tcW w:w="976"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32.00</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7.09</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22.16%</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研究生暑期学校</w:t>
            </w:r>
          </w:p>
        </w:tc>
        <w:tc>
          <w:tcPr>
            <w:tcW w:w="879" w:type="pct"/>
            <w:tcBorders>
              <w:top w:val="nil"/>
              <w:left w:val="nil"/>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19.20</w:t>
            </w:r>
          </w:p>
        </w:tc>
        <w:tc>
          <w:tcPr>
            <w:tcW w:w="976"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19.20</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21.47</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111.82%</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研究生创新论坛</w:t>
            </w:r>
          </w:p>
        </w:tc>
        <w:tc>
          <w:tcPr>
            <w:tcW w:w="879" w:type="pct"/>
            <w:tcBorders>
              <w:top w:val="nil"/>
              <w:left w:val="nil"/>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4.90</w:t>
            </w:r>
          </w:p>
        </w:tc>
        <w:tc>
          <w:tcPr>
            <w:tcW w:w="976"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4.90</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4.90</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100.00%</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大学生竞赛</w:t>
            </w:r>
          </w:p>
        </w:tc>
        <w:tc>
          <w:tcPr>
            <w:tcW w:w="879" w:type="pct"/>
            <w:tcBorders>
              <w:top w:val="nil"/>
              <w:left w:val="nil"/>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7.00</w:t>
            </w:r>
          </w:p>
        </w:tc>
        <w:tc>
          <w:tcPr>
            <w:tcW w:w="976"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7.00</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7.00</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100.00%</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科研平台运行经费</w:t>
            </w:r>
          </w:p>
        </w:tc>
        <w:tc>
          <w:tcPr>
            <w:tcW w:w="879" w:type="pct"/>
            <w:tcBorders>
              <w:top w:val="nil"/>
              <w:left w:val="nil"/>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119.50</w:t>
            </w:r>
          </w:p>
        </w:tc>
        <w:tc>
          <w:tcPr>
            <w:tcW w:w="976"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119.50</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102.46</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85.74%</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校级、教育厅课题</w:t>
            </w:r>
          </w:p>
        </w:tc>
        <w:tc>
          <w:tcPr>
            <w:tcW w:w="879" w:type="pct"/>
            <w:tcBorders>
              <w:top w:val="nil"/>
              <w:left w:val="nil"/>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237.78</w:t>
            </w:r>
          </w:p>
        </w:tc>
        <w:tc>
          <w:tcPr>
            <w:tcW w:w="976"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237.78</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182.65</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76.81%</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000000" w:fill="FFFFFF"/>
            <w:vAlign w:val="center"/>
          </w:tcPr>
          <w:p w:rsidR="0088429C" w:rsidRPr="00D30887" w:rsidRDefault="0088429C" w:rsidP="009B5C86">
            <w:pPr>
              <w:jc w:val="center"/>
              <w:rPr>
                <w:sz w:val="20"/>
                <w:szCs w:val="20"/>
              </w:rPr>
            </w:pPr>
            <w:r w:rsidRPr="00D30887">
              <w:rPr>
                <w:sz w:val="20"/>
                <w:szCs w:val="20"/>
              </w:rPr>
              <w:t>大学生社会实践</w:t>
            </w:r>
          </w:p>
        </w:tc>
        <w:tc>
          <w:tcPr>
            <w:tcW w:w="879" w:type="pct"/>
            <w:tcBorders>
              <w:top w:val="nil"/>
              <w:left w:val="nil"/>
              <w:bottom w:val="single" w:sz="4" w:space="0" w:color="auto"/>
              <w:right w:val="single" w:sz="4" w:space="0" w:color="auto"/>
            </w:tcBorders>
            <w:shd w:val="clear" w:color="auto" w:fill="auto"/>
            <w:noWrap/>
            <w:vAlign w:val="center"/>
          </w:tcPr>
          <w:p w:rsidR="0088429C" w:rsidRPr="00D30887" w:rsidRDefault="0088429C" w:rsidP="009B5C86">
            <w:pPr>
              <w:jc w:val="center"/>
              <w:rPr>
                <w:sz w:val="20"/>
                <w:szCs w:val="20"/>
              </w:rPr>
            </w:pPr>
            <w:r w:rsidRPr="00D30887">
              <w:rPr>
                <w:sz w:val="20"/>
                <w:szCs w:val="20"/>
              </w:rPr>
              <w:t>25.00</w:t>
            </w:r>
          </w:p>
        </w:tc>
        <w:tc>
          <w:tcPr>
            <w:tcW w:w="976"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25.00</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25.00</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sz w:val="20"/>
                <w:szCs w:val="20"/>
              </w:rPr>
            </w:pPr>
            <w:r w:rsidRPr="00D30887">
              <w:rPr>
                <w:sz w:val="20"/>
                <w:szCs w:val="20"/>
              </w:rPr>
              <w:t>100.00%</w:t>
            </w:r>
          </w:p>
        </w:tc>
      </w:tr>
      <w:tr w:rsidR="0088429C" w:rsidRPr="00D30887" w:rsidTr="009B5C86">
        <w:trPr>
          <w:trHeight w:val="567"/>
          <w:jc w:val="center"/>
        </w:trPr>
        <w:tc>
          <w:tcPr>
            <w:tcW w:w="1182" w:type="pct"/>
            <w:tcBorders>
              <w:top w:val="nil"/>
              <w:left w:val="single" w:sz="4" w:space="0" w:color="auto"/>
              <w:bottom w:val="single" w:sz="4" w:space="0" w:color="auto"/>
              <w:right w:val="single" w:sz="4" w:space="0" w:color="auto"/>
            </w:tcBorders>
            <w:shd w:val="clear" w:color="auto" w:fill="auto"/>
            <w:vAlign w:val="center"/>
          </w:tcPr>
          <w:p w:rsidR="0088429C" w:rsidRPr="00D30887" w:rsidRDefault="0088429C" w:rsidP="009B5C86">
            <w:pPr>
              <w:jc w:val="center"/>
              <w:rPr>
                <w:rFonts w:ascii="仿宋" w:eastAsia="仿宋" w:hAnsi="仿宋"/>
                <w:b/>
                <w:bCs/>
                <w:sz w:val="20"/>
                <w:szCs w:val="20"/>
              </w:rPr>
            </w:pPr>
            <w:r w:rsidRPr="00D30887">
              <w:rPr>
                <w:rFonts w:ascii="仿宋" w:eastAsia="仿宋" w:hAnsi="仿宋"/>
                <w:b/>
                <w:bCs/>
                <w:sz w:val="20"/>
                <w:szCs w:val="20"/>
              </w:rPr>
              <w:t>合计</w:t>
            </w:r>
          </w:p>
        </w:tc>
        <w:tc>
          <w:tcPr>
            <w:tcW w:w="879" w:type="pct"/>
            <w:tcBorders>
              <w:top w:val="nil"/>
              <w:left w:val="nil"/>
              <w:bottom w:val="single" w:sz="4" w:space="0" w:color="auto"/>
              <w:right w:val="single" w:sz="4" w:space="0" w:color="auto"/>
            </w:tcBorders>
            <w:shd w:val="clear" w:color="auto" w:fill="auto"/>
            <w:noWrap/>
            <w:vAlign w:val="center"/>
          </w:tcPr>
          <w:p w:rsidR="0088429C" w:rsidRPr="00D30887" w:rsidRDefault="0088429C" w:rsidP="009B5C86">
            <w:pPr>
              <w:jc w:val="center"/>
              <w:rPr>
                <w:rFonts w:ascii="仿宋" w:eastAsia="仿宋" w:hAnsi="仿宋"/>
                <w:b/>
                <w:bCs/>
                <w:sz w:val="20"/>
                <w:szCs w:val="20"/>
              </w:rPr>
            </w:pPr>
            <w:r w:rsidRPr="00D30887">
              <w:rPr>
                <w:rFonts w:ascii="仿宋" w:eastAsia="仿宋" w:hAnsi="仿宋"/>
                <w:b/>
                <w:bCs/>
                <w:sz w:val="20"/>
                <w:szCs w:val="20"/>
              </w:rPr>
              <w:t>6049.18</w:t>
            </w:r>
          </w:p>
        </w:tc>
        <w:tc>
          <w:tcPr>
            <w:tcW w:w="976"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rPr>
                <w:rFonts w:ascii="仿宋" w:eastAsia="仿宋" w:hAnsi="仿宋"/>
                <w:b/>
                <w:bCs/>
                <w:sz w:val="20"/>
                <w:szCs w:val="20"/>
              </w:rPr>
            </w:pPr>
            <w:r w:rsidRPr="00D30887">
              <w:rPr>
                <w:rFonts w:ascii="仿宋" w:eastAsia="仿宋" w:hAnsi="仿宋"/>
                <w:b/>
                <w:bCs/>
                <w:sz w:val="20"/>
                <w:szCs w:val="20"/>
              </w:rPr>
              <w:t xml:space="preserve">　6049.18</w:t>
            </w:r>
          </w:p>
        </w:tc>
        <w:tc>
          <w:tcPr>
            <w:tcW w:w="961"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rFonts w:ascii="仿宋" w:eastAsia="仿宋" w:hAnsi="仿宋"/>
                <w:b/>
                <w:bCs/>
                <w:sz w:val="20"/>
                <w:szCs w:val="20"/>
              </w:rPr>
            </w:pPr>
            <w:r w:rsidRPr="00D30887">
              <w:rPr>
                <w:rFonts w:ascii="仿宋" w:eastAsia="仿宋" w:hAnsi="仿宋"/>
                <w:b/>
                <w:bCs/>
                <w:sz w:val="20"/>
                <w:szCs w:val="20"/>
              </w:rPr>
              <w:t>4921.61</w:t>
            </w:r>
          </w:p>
        </w:tc>
        <w:tc>
          <w:tcPr>
            <w:tcW w:w="1000" w:type="pct"/>
            <w:tcBorders>
              <w:top w:val="nil"/>
              <w:left w:val="nil"/>
              <w:bottom w:val="single" w:sz="4" w:space="0" w:color="auto"/>
              <w:right w:val="single" w:sz="4" w:space="0" w:color="auto"/>
            </w:tcBorders>
            <w:shd w:val="clear" w:color="auto" w:fill="auto"/>
            <w:vAlign w:val="center"/>
          </w:tcPr>
          <w:p w:rsidR="0088429C" w:rsidRPr="00D30887" w:rsidRDefault="0088429C" w:rsidP="009B5C86">
            <w:pPr>
              <w:jc w:val="center"/>
              <w:rPr>
                <w:rFonts w:ascii="仿宋" w:eastAsia="仿宋" w:hAnsi="仿宋"/>
                <w:b/>
                <w:bCs/>
                <w:sz w:val="20"/>
                <w:szCs w:val="20"/>
              </w:rPr>
            </w:pPr>
            <w:r w:rsidRPr="00D30887">
              <w:rPr>
                <w:rFonts w:ascii="仿宋" w:eastAsia="仿宋" w:hAnsi="仿宋"/>
                <w:b/>
                <w:bCs/>
                <w:sz w:val="20"/>
                <w:szCs w:val="20"/>
              </w:rPr>
              <w:t>81.36%</w:t>
            </w:r>
          </w:p>
        </w:tc>
      </w:tr>
    </w:tbl>
    <w:p w:rsidR="0088429C" w:rsidRDefault="0088429C" w:rsidP="0088429C">
      <w:pPr>
        <w:adjustRightInd w:val="0"/>
        <w:snapToGrid w:val="0"/>
        <w:spacing w:line="360" w:lineRule="auto"/>
        <w:ind w:firstLineChars="200" w:firstLine="360"/>
        <w:rPr>
          <w:sz w:val="18"/>
          <w:szCs w:val="18"/>
        </w:rPr>
      </w:pPr>
    </w:p>
    <w:p w:rsidR="0088429C" w:rsidRDefault="0088429C" w:rsidP="0088429C">
      <w:pPr>
        <w:adjustRightInd w:val="0"/>
        <w:snapToGrid w:val="0"/>
        <w:spacing w:line="360" w:lineRule="auto"/>
        <w:ind w:firstLineChars="200" w:firstLine="560"/>
        <w:rPr>
          <w:sz w:val="28"/>
          <w:szCs w:val="28"/>
        </w:rPr>
      </w:pPr>
      <w:r>
        <w:rPr>
          <w:sz w:val="28"/>
          <w:szCs w:val="28"/>
        </w:rPr>
        <w:t>双一流专项项目执行率为81.36%，主要影响因素是学科、科研、思政课题等项目有2-3年的项目执行建设周期，留有部分经费用于后期相关事项开支。</w:t>
      </w:r>
    </w:p>
    <w:p w:rsidR="0088429C" w:rsidRPr="00096526" w:rsidRDefault="0088429C" w:rsidP="0088429C">
      <w:pPr>
        <w:spacing w:line="360" w:lineRule="auto"/>
        <w:ind w:firstLineChars="200" w:firstLine="562"/>
        <w:rPr>
          <w:rFonts w:cs="黑体"/>
          <w:sz w:val="28"/>
          <w:szCs w:val="28"/>
        </w:rPr>
      </w:pPr>
      <w:r w:rsidRPr="007E44E7">
        <w:rPr>
          <w:b/>
          <w:sz w:val="28"/>
          <w:szCs w:val="28"/>
        </w:rPr>
        <w:t>（三）2022年度主要工作成效</w:t>
      </w:r>
    </w:p>
    <w:p w:rsidR="0088429C" w:rsidRDefault="0088429C" w:rsidP="0088429C">
      <w:pPr>
        <w:autoSpaceDE w:val="0"/>
        <w:autoSpaceDN w:val="0"/>
        <w:adjustRightInd w:val="0"/>
        <w:spacing w:line="360" w:lineRule="auto"/>
        <w:ind w:firstLineChars="200" w:firstLine="560"/>
        <w:rPr>
          <w:rFonts w:cs="黑体"/>
          <w:sz w:val="28"/>
          <w:szCs w:val="28"/>
        </w:rPr>
      </w:pPr>
      <w:r>
        <w:rPr>
          <w:sz w:val="28"/>
          <w:szCs w:val="28"/>
        </w:rPr>
        <w:t>1、坚持党的领导 加强党建引领</w:t>
      </w:r>
    </w:p>
    <w:p w:rsidR="0088429C" w:rsidRDefault="0088429C" w:rsidP="0088429C">
      <w:pPr>
        <w:adjustRightInd w:val="0"/>
        <w:snapToGrid w:val="0"/>
        <w:spacing w:line="360" w:lineRule="auto"/>
        <w:ind w:firstLineChars="200" w:firstLine="560"/>
        <w:rPr>
          <w:sz w:val="28"/>
          <w:szCs w:val="28"/>
        </w:rPr>
      </w:pPr>
      <w:r w:rsidRPr="008D4313">
        <w:rPr>
          <w:sz w:val="28"/>
          <w:szCs w:val="28"/>
        </w:rPr>
        <w:t>认真落实中央和省委加强政治建设的各项要求，组织师生深入学习贯彻习近平新时代中国特色社会主义思想，特别是习近平总书记关于教</w:t>
      </w:r>
      <w:r w:rsidRPr="008D4313">
        <w:rPr>
          <w:sz w:val="28"/>
          <w:szCs w:val="28"/>
        </w:rPr>
        <w:lastRenderedPageBreak/>
        <w:t>育的重要论述。坚持把学习宣传落实党的二十大精神作为首要政治任务，制定了认真学习宣传贯彻党的二十大精神工作方案，出台了《吉首大学关于组织开展党的二十大精神宣讲的通知》，采用</w:t>
      </w:r>
      <w:r>
        <w:rPr>
          <w:sz w:val="28"/>
          <w:szCs w:val="28"/>
        </w:rPr>
        <w:t>多种形式</w:t>
      </w:r>
      <w:r w:rsidRPr="008D4313">
        <w:rPr>
          <w:sz w:val="28"/>
          <w:szCs w:val="28"/>
        </w:rPr>
        <w:t>教育引导广大师生深刻领悟“两个确立”的决定性意义，增强“四个意识”、坚定“四个自信”、做到“两个维护”，不断增强政治领悟力、政治判断力、政治执行力。</w:t>
      </w:r>
    </w:p>
    <w:p w:rsidR="0088429C" w:rsidRDefault="0088429C" w:rsidP="0088429C">
      <w:pPr>
        <w:adjustRightInd w:val="0"/>
        <w:snapToGrid w:val="0"/>
        <w:spacing w:line="360" w:lineRule="auto"/>
        <w:ind w:firstLineChars="200" w:firstLine="560"/>
        <w:rPr>
          <w:rFonts w:cs="黑体"/>
          <w:sz w:val="28"/>
          <w:szCs w:val="28"/>
        </w:rPr>
      </w:pPr>
      <w:r w:rsidRPr="007866FC">
        <w:rPr>
          <w:sz w:val="28"/>
          <w:szCs w:val="28"/>
        </w:rPr>
        <w:t>2、</w:t>
      </w:r>
      <w:r w:rsidRPr="007866FC">
        <w:rPr>
          <w:rFonts w:cs="黑体"/>
          <w:sz w:val="28"/>
          <w:szCs w:val="28"/>
        </w:rPr>
        <w:t>加强基层组织</w:t>
      </w:r>
      <w:r>
        <w:rPr>
          <w:rFonts w:cs="黑体"/>
          <w:sz w:val="28"/>
          <w:szCs w:val="28"/>
        </w:rPr>
        <w:t>和作风纪律</w:t>
      </w:r>
      <w:r w:rsidRPr="007866FC">
        <w:rPr>
          <w:rFonts w:cs="黑体"/>
          <w:sz w:val="28"/>
          <w:szCs w:val="28"/>
        </w:rPr>
        <w:t>建设</w:t>
      </w:r>
    </w:p>
    <w:p w:rsidR="0088429C" w:rsidRPr="007866FC" w:rsidRDefault="0088429C" w:rsidP="0088429C">
      <w:pPr>
        <w:adjustRightInd w:val="0"/>
        <w:snapToGrid w:val="0"/>
        <w:spacing w:line="360" w:lineRule="auto"/>
        <w:ind w:firstLineChars="200" w:firstLine="560"/>
        <w:rPr>
          <w:sz w:val="28"/>
          <w:szCs w:val="28"/>
        </w:rPr>
      </w:pPr>
      <w:r w:rsidRPr="007866FC">
        <w:rPr>
          <w:rFonts w:cs="黑体"/>
          <w:sz w:val="28"/>
          <w:szCs w:val="28"/>
        </w:rPr>
        <w:t>加强制度建设，制定完善了《吉首大学学院党组织会议议事规则》等10多项制度出台了《吉首大学干部队伍建设规划》，全年提拔处级干部31人，其中年轻干部11人。加强了基层党建制度化规范化和干部队伍年轻化建设，基层党组织组织力和政治功能进一步增强。坚持落实中央八项规定及其实施细则精神。出台了《吉首大学关于持续防治形式主义官僚主义的十项具体措施》《吉首大学关于加强新时代廉洁文化建设的若干措施》</w:t>
      </w:r>
      <w:r>
        <w:rPr>
          <w:rFonts w:cs="黑体"/>
          <w:sz w:val="28"/>
          <w:szCs w:val="28"/>
        </w:rPr>
        <w:t>。</w:t>
      </w:r>
      <w:r w:rsidRPr="007866FC">
        <w:rPr>
          <w:rFonts w:cs="黑体"/>
          <w:sz w:val="28"/>
          <w:szCs w:val="28"/>
        </w:rPr>
        <w:t>巡视整改取得显著成效，巡视整改成效被省委巡视办评定为“好”。学校巡视整改“五个转化”的经验做法得到省纪委高度肯定，并在《三湘风纪》进行了推介。</w:t>
      </w:r>
    </w:p>
    <w:p w:rsidR="0088429C" w:rsidRDefault="0088429C" w:rsidP="0088429C">
      <w:pPr>
        <w:adjustRightInd w:val="0"/>
        <w:snapToGrid w:val="0"/>
        <w:spacing w:line="360" w:lineRule="auto"/>
        <w:ind w:firstLineChars="200" w:firstLine="560"/>
        <w:rPr>
          <w:rFonts w:cs="黑体"/>
          <w:sz w:val="28"/>
          <w:szCs w:val="28"/>
        </w:rPr>
      </w:pPr>
      <w:r w:rsidRPr="00F101A7">
        <w:rPr>
          <w:sz w:val="28"/>
          <w:szCs w:val="28"/>
        </w:rPr>
        <w:t>3、</w:t>
      </w:r>
      <w:r>
        <w:rPr>
          <w:sz w:val="28"/>
          <w:szCs w:val="28"/>
        </w:rPr>
        <w:t>机构、绩效和教学</w:t>
      </w:r>
      <w:r w:rsidRPr="00F101A7">
        <w:rPr>
          <w:sz w:val="28"/>
          <w:szCs w:val="28"/>
        </w:rPr>
        <w:t>改革成效突出</w:t>
      </w:r>
    </w:p>
    <w:p w:rsidR="0088429C" w:rsidRDefault="0088429C" w:rsidP="0088429C">
      <w:pPr>
        <w:adjustRightInd w:val="0"/>
        <w:snapToGrid w:val="0"/>
        <w:spacing w:line="360" w:lineRule="auto"/>
        <w:ind w:firstLineChars="200" w:firstLine="560"/>
        <w:rPr>
          <w:sz w:val="28"/>
          <w:szCs w:val="28"/>
        </w:rPr>
      </w:pPr>
      <w:r w:rsidRPr="00F101A7">
        <w:rPr>
          <w:sz w:val="28"/>
          <w:szCs w:val="28"/>
        </w:rPr>
        <w:t>机构编制改革成为全省典型。出台了《吉首大学二级机构及其内设机构设置方案》，完成了机关教辅机构“三定”、机构撤并和管理交接工作</w:t>
      </w:r>
      <w:r>
        <w:rPr>
          <w:sz w:val="28"/>
          <w:szCs w:val="28"/>
        </w:rPr>
        <w:t>，</w:t>
      </w:r>
      <w:r w:rsidRPr="00F101A7">
        <w:rPr>
          <w:sz w:val="28"/>
          <w:szCs w:val="28"/>
        </w:rPr>
        <w:t>在全省高校率先圆满完成新一轮机构编制改革。绩效分配体制改革得到广泛认可。缩小了教职工与周边高校同类人员收入差距，增强了全校教职工的获得感。教育教学改革取得阶段成果。出台了修订本科人才和研究生培育方案的指导性意见，完成了各专业人才培养方案和课程“三纲”的修订。</w:t>
      </w:r>
    </w:p>
    <w:p w:rsidR="0088429C" w:rsidRDefault="0088429C" w:rsidP="0088429C">
      <w:pPr>
        <w:adjustRightInd w:val="0"/>
        <w:snapToGrid w:val="0"/>
        <w:spacing w:line="360" w:lineRule="auto"/>
        <w:ind w:firstLineChars="200" w:firstLine="560"/>
        <w:rPr>
          <w:sz w:val="28"/>
          <w:szCs w:val="28"/>
        </w:rPr>
      </w:pPr>
      <w:r>
        <w:rPr>
          <w:sz w:val="28"/>
          <w:szCs w:val="28"/>
        </w:rPr>
        <w:lastRenderedPageBreak/>
        <w:t>4、</w:t>
      </w:r>
      <w:r w:rsidRPr="007E44E7">
        <w:rPr>
          <w:sz w:val="28"/>
          <w:szCs w:val="28"/>
        </w:rPr>
        <w:t>学科建设获得重大突破。</w:t>
      </w:r>
    </w:p>
    <w:p w:rsidR="0088429C" w:rsidRPr="007E44E7" w:rsidRDefault="0088429C" w:rsidP="0088429C">
      <w:pPr>
        <w:adjustRightInd w:val="0"/>
        <w:snapToGrid w:val="0"/>
        <w:spacing w:line="360" w:lineRule="auto"/>
        <w:ind w:firstLineChars="200" w:firstLine="560"/>
        <w:rPr>
          <w:rFonts w:cs="黑体"/>
          <w:sz w:val="28"/>
          <w:szCs w:val="28"/>
        </w:rPr>
      </w:pPr>
      <w:r w:rsidRPr="007E44E7">
        <w:rPr>
          <w:sz w:val="28"/>
          <w:szCs w:val="28"/>
        </w:rPr>
        <w:t>化学学科逼近全球ESI前1%，体育学、民族学继续列为省重点建设学科。在第五轮学科评估和专业学位评估中，学校2个学科和1个专业学位点首次进入B-等级，实现B类学科零的突破，C类学科也较上一轮有所增加。研究生教育取得重要进展，1人当选为文史组学科评议组和专业教指委召集人，8人当选为学科评议组成员，首次有教材被评为省级优秀研究生教材。新增计算机科学与技术一级学科硕士点。</w:t>
      </w:r>
    </w:p>
    <w:p w:rsidR="0088429C" w:rsidRDefault="0088429C" w:rsidP="0088429C">
      <w:pPr>
        <w:autoSpaceDE w:val="0"/>
        <w:autoSpaceDN w:val="0"/>
        <w:adjustRightInd w:val="0"/>
        <w:spacing w:line="360" w:lineRule="auto"/>
        <w:ind w:firstLineChars="200" w:firstLine="560"/>
        <w:rPr>
          <w:sz w:val="28"/>
          <w:szCs w:val="28"/>
        </w:rPr>
      </w:pPr>
      <w:r w:rsidRPr="007866FC">
        <w:rPr>
          <w:sz w:val="28"/>
          <w:szCs w:val="28"/>
        </w:rPr>
        <w:t>5、</w:t>
      </w:r>
      <w:r>
        <w:rPr>
          <w:sz w:val="28"/>
          <w:szCs w:val="28"/>
        </w:rPr>
        <w:t>整体</w:t>
      </w:r>
      <w:r w:rsidRPr="007866FC">
        <w:rPr>
          <w:sz w:val="28"/>
          <w:szCs w:val="28"/>
        </w:rPr>
        <w:t>办学能力稳步提升</w:t>
      </w:r>
    </w:p>
    <w:p w:rsidR="0088429C" w:rsidRDefault="0088429C" w:rsidP="0088429C">
      <w:pPr>
        <w:autoSpaceDE w:val="0"/>
        <w:autoSpaceDN w:val="0"/>
        <w:adjustRightInd w:val="0"/>
        <w:spacing w:line="360" w:lineRule="auto"/>
        <w:ind w:firstLineChars="200" w:firstLine="560"/>
        <w:rPr>
          <w:sz w:val="28"/>
          <w:szCs w:val="28"/>
        </w:rPr>
      </w:pPr>
      <w:r w:rsidRPr="007866FC">
        <w:rPr>
          <w:sz w:val="28"/>
          <w:szCs w:val="28"/>
        </w:rPr>
        <w:t>制定</w:t>
      </w:r>
      <w:r>
        <w:rPr>
          <w:sz w:val="28"/>
          <w:szCs w:val="28"/>
        </w:rPr>
        <w:t>了</w:t>
      </w:r>
      <w:r w:rsidRPr="007866FC">
        <w:rPr>
          <w:sz w:val="28"/>
          <w:szCs w:val="28"/>
        </w:rPr>
        <w:t>《吉首大学“十四五”事业发展总体规划》，州委州政府支持吉首大学师范学院融入吉首大学，州政府无偿划拨</w:t>
      </w:r>
      <w:r>
        <w:rPr>
          <w:sz w:val="28"/>
          <w:szCs w:val="28"/>
        </w:rPr>
        <w:t>吉大师院周边</w:t>
      </w:r>
      <w:r w:rsidRPr="007866FC">
        <w:rPr>
          <w:sz w:val="28"/>
          <w:szCs w:val="28"/>
        </w:rPr>
        <w:t>地块，可形成容纳13000名学生的吉首大学北校区。办学基础条件</w:t>
      </w:r>
      <w:r>
        <w:rPr>
          <w:sz w:val="28"/>
          <w:szCs w:val="28"/>
        </w:rPr>
        <w:t>得到</w:t>
      </w:r>
      <w:r w:rsidRPr="007866FC">
        <w:rPr>
          <w:sz w:val="28"/>
          <w:szCs w:val="28"/>
        </w:rPr>
        <w:t>显著改善</w:t>
      </w:r>
      <w:r>
        <w:rPr>
          <w:sz w:val="28"/>
          <w:szCs w:val="28"/>
        </w:rPr>
        <w:t>，加强</w:t>
      </w:r>
      <w:r w:rsidRPr="007866FC">
        <w:rPr>
          <w:sz w:val="28"/>
          <w:szCs w:val="28"/>
        </w:rPr>
        <w:t>校内</w:t>
      </w:r>
      <w:r>
        <w:rPr>
          <w:sz w:val="28"/>
          <w:szCs w:val="28"/>
        </w:rPr>
        <w:t>水电基础设施和</w:t>
      </w:r>
      <w:r w:rsidRPr="007866FC">
        <w:rPr>
          <w:sz w:val="28"/>
          <w:szCs w:val="28"/>
        </w:rPr>
        <w:t>15#栋</w:t>
      </w:r>
      <w:r>
        <w:rPr>
          <w:sz w:val="28"/>
          <w:szCs w:val="28"/>
        </w:rPr>
        <w:t>学生公寓建设</w:t>
      </w:r>
      <w:r w:rsidRPr="007866FC">
        <w:rPr>
          <w:sz w:val="28"/>
          <w:szCs w:val="28"/>
        </w:rPr>
        <w:t>。完成砂子坳校区图书馆加固</w:t>
      </w:r>
      <w:r>
        <w:rPr>
          <w:sz w:val="28"/>
          <w:szCs w:val="28"/>
        </w:rPr>
        <w:t>和</w:t>
      </w:r>
      <w:r w:rsidRPr="007866FC">
        <w:rPr>
          <w:sz w:val="28"/>
          <w:szCs w:val="28"/>
        </w:rPr>
        <w:t>张家界校区综合实训楼和11#栋学生公寓连接道路建设。实验教学条件逐步提高。投入2290万元，建成了药学类专业实验中心等6个实验室。投入420万元，立项提质非线性编辑实验室和教师技能发展中心。</w:t>
      </w:r>
    </w:p>
    <w:p w:rsidR="0088429C" w:rsidRDefault="0088429C" w:rsidP="0088429C">
      <w:pPr>
        <w:autoSpaceDE w:val="0"/>
        <w:autoSpaceDN w:val="0"/>
        <w:adjustRightInd w:val="0"/>
        <w:spacing w:line="360" w:lineRule="auto"/>
        <w:ind w:firstLineChars="200" w:firstLine="560"/>
        <w:rPr>
          <w:rFonts w:cs="黑体"/>
          <w:sz w:val="28"/>
          <w:szCs w:val="28"/>
        </w:rPr>
      </w:pPr>
      <w:r>
        <w:rPr>
          <w:sz w:val="28"/>
          <w:szCs w:val="28"/>
        </w:rPr>
        <w:t>6、</w:t>
      </w:r>
      <w:r w:rsidRPr="00CD7939">
        <w:rPr>
          <w:sz w:val="28"/>
          <w:szCs w:val="28"/>
        </w:rPr>
        <w:t>人才培养质量不断提高</w:t>
      </w:r>
    </w:p>
    <w:p w:rsidR="0088429C" w:rsidRDefault="0088429C" w:rsidP="0088429C">
      <w:pPr>
        <w:adjustRightInd w:val="0"/>
        <w:snapToGrid w:val="0"/>
        <w:spacing w:line="360" w:lineRule="auto"/>
        <w:ind w:firstLineChars="200" w:firstLine="560"/>
        <w:rPr>
          <w:sz w:val="28"/>
          <w:szCs w:val="28"/>
        </w:rPr>
      </w:pPr>
      <w:r w:rsidRPr="007E44E7">
        <w:rPr>
          <w:sz w:val="28"/>
          <w:szCs w:val="28"/>
        </w:rPr>
        <w:t>本科生参加A类、B类学科竞赛，获国家级一等奖8项、二等奖36项、三等奖53项，获省级特等奖6项、一等奖138项、二等奖241项、三等奖316项</w:t>
      </w:r>
      <w:r>
        <w:rPr>
          <w:sz w:val="28"/>
          <w:szCs w:val="28"/>
        </w:rPr>
        <w:t>。</w:t>
      </w:r>
      <w:r w:rsidRPr="007E44E7">
        <w:rPr>
          <w:sz w:val="28"/>
          <w:szCs w:val="28"/>
        </w:rPr>
        <w:t>研究生参加学科竞赛，获省级以上奖励67项。</w:t>
      </w:r>
      <w:r w:rsidRPr="00CD7939">
        <w:rPr>
          <w:sz w:val="28"/>
          <w:szCs w:val="28"/>
        </w:rPr>
        <w:t>获湖南省本科教学成果奖</w:t>
      </w:r>
      <w:r>
        <w:rPr>
          <w:sz w:val="28"/>
          <w:szCs w:val="28"/>
        </w:rPr>
        <w:t>13</w:t>
      </w:r>
      <w:r w:rsidRPr="00CD7939">
        <w:rPr>
          <w:sz w:val="28"/>
          <w:szCs w:val="28"/>
        </w:rPr>
        <w:t>项；获湖南省研究生教学成果奖</w:t>
      </w:r>
      <w:r>
        <w:rPr>
          <w:sz w:val="28"/>
          <w:szCs w:val="28"/>
        </w:rPr>
        <w:t>2</w:t>
      </w:r>
      <w:r w:rsidRPr="00CD7939">
        <w:rPr>
          <w:sz w:val="28"/>
          <w:szCs w:val="28"/>
        </w:rPr>
        <w:t>项优秀案例3个</w:t>
      </w:r>
      <w:r>
        <w:rPr>
          <w:sz w:val="28"/>
          <w:szCs w:val="28"/>
        </w:rPr>
        <w:t>，</w:t>
      </w:r>
      <w:r w:rsidRPr="00CD7939">
        <w:rPr>
          <w:sz w:val="28"/>
          <w:szCs w:val="28"/>
        </w:rPr>
        <w:t>获评省级优秀博士硕士论文15篇。获得国家级大学生创新创业训练计划项目33项，省级大学生研究性创新性实验计划项目96项。</w:t>
      </w:r>
      <w:r w:rsidRPr="00F101A7">
        <w:rPr>
          <w:sz w:val="28"/>
          <w:szCs w:val="28"/>
        </w:rPr>
        <w:t>书记</w:t>
      </w:r>
      <w:r w:rsidRPr="00F101A7">
        <w:rPr>
          <w:sz w:val="28"/>
          <w:szCs w:val="28"/>
        </w:rPr>
        <w:lastRenderedPageBreak/>
        <w:t>校长走访企事业单位107家，签约实习实践基地52家， 2022届研究生就业率达93.25%，本科毕业生年终毕业去向落实率92.2%。</w:t>
      </w:r>
    </w:p>
    <w:p w:rsidR="0088429C" w:rsidRPr="007E44E7" w:rsidRDefault="0088429C" w:rsidP="0088429C">
      <w:pPr>
        <w:spacing w:line="360" w:lineRule="auto"/>
        <w:ind w:firstLineChars="200" w:firstLine="560"/>
        <w:rPr>
          <w:sz w:val="28"/>
          <w:szCs w:val="28"/>
        </w:rPr>
      </w:pPr>
      <w:r>
        <w:rPr>
          <w:sz w:val="28"/>
          <w:szCs w:val="28"/>
        </w:rPr>
        <w:t>7、</w:t>
      </w:r>
      <w:r w:rsidRPr="007E44E7">
        <w:rPr>
          <w:rFonts w:cs="黑体"/>
          <w:sz w:val="28"/>
          <w:szCs w:val="28"/>
        </w:rPr>
        <w:t>科学研究取得新成果</w:t>
      </w:r>
    </w:p>
    <w:p w:rsidR="0088429C" w:rsidRDefault="0088429C" w:rsidP="0088429C">
      <w:pPr>
        <w:spacing w:line="360" w:lineRule="auto"/>
        <w:ind w:firstLineChars="200" w:firstLine="560"/>
        <w:rPr>
          <w:rFonts w:cs="黑体"/>
          <w:sz w:val="28"/>
          <w:szCs w:val="28"/>
        </w:rPr>
      </w:pPr>
      <w:r w:rsidRPr="007E44E7">
        <w:rPr>
          <w:rFonts w:cs="黑体"/>
          <w:sz w:val="28"/>
          <w:szCs w:val="28"/>
        </w:rPr>
        <w:t>获湖南省科技进步奖二等奖2项、自然科学三等奖1项、第十五届湖南省优秀社科成果奖4项；获国家自科、社科基金项目26项，教育部项目4项，国家社科基金立项数列位全省高校前6名。获省社科智库重大委托项目3项。教师发表SCI论文157篇，CSSCI论文57篇，SSCI论文9篇，CSCD论文49篇。授权各类专利74件，其中发明专利17件，在“湖南省知识产权综合服务信息平台”开放许可专利53件。学校入选首批湖南省高等学校科技成果转化和技术转移基地，首批签约加盟湖南省高校知识产权运营联盟。</w:t>
      </w:r>
    </w:p>
    <w:p w:rsidR="0088429C" w:rsidRDefault="0088429C" w:rsidP="0088429C">
      <w:pPr>
        <w:spacing w:line="360" w:lineRule="auto"/>
        <w:ind w:firstLineChars="200" w:firstLine="560"/>
        <w:rPr>
          <w:rFonts w:cs="黑体"/>
          <w:sz w:val="28"/>
          <w:szCs w:val="28"/>
        </w:rPr>
      </w:pPr>
      <w:r>
        <w:rPr>
          <w:sz w:val="28"/>
          <w:szCs w:val="28"/>
        </w:rPr>
        <w:t>8、</w:t>
      </w:r>
      <w:r w:rsidRPr="007E44E7">
        <w:rPr>
          <w:rFonts w:cs="黑体"/>
          <w:sz w:val="28"/>
          <w:szCs w:val="28"/>
        </w:rPr>
        <w:t>师资支撑能力得到增强</w:t>
      </w:r>
    </w:p>
    <w:p w:rsidR="0088429C" w:rsidRDefault="0088429C" w:rsidP="0088429C">
      <w:pPr>
        <w:spacing w:line="360" w:lineRule="auto"/>
        <w:ind w:firstLineChars="200" w:firstLine="560"/>
        <w:rPr>
          <w:rFonts w:cs="黑体"/>
          <w:sz w:val="28"/>
          <w:szCs w:val="28"/>
        </w:rPr>
      </w:pPr>
      <w:r w:rsidRPr="007E44E7">
        <w:rPr>
          <w:rFonts w:cs="黑体"/>
          <w:sz w:val="28"/>
          <w:szCs w:val="28"/>
        </w:rPr>
        <w:t>俊彦学者计划2.0版即将实施。严把教师选用关，全年引进教师103名，培养和引进博士教师33名，坚持对新引进博士开展政治审查、档案审核、心理检测、学术成果查验，新引进博士综合素质显著提高。新增教授10名、副教授21名、讲师28名。获省级研究生教育优秀团队4个，6名教师被评为省级优秀导师。多措并举充实思政课教师队伍，思政课教师总量达到基本要求。加强师德师风教育，开展“十佳青年教工”“十佳师德先进个人”评选，外国语学院郭建飞老师获评全省教育系统“芙蓉百岗明星”。</w:t>
      </w:r>
    </w:p>
    <w:p w:rsidR="0088429C" w:rsidRDefault="0088429C" w:rsidP="0088429C">
      <w:pPr>
        <w:spacing w:line="360" w:lineRule="auto"/>
        <w:ind w:firstLineChars="200" w:firstLine="560"/>
        <w:rPr>
          <w:rFonts w:cs="黑体"/>
          <w:sz w:val="28"/>
          <w:szCs w:val="28"/>
        </w:rPr>
      </w:pPr>
      <w:r>
        <w:rPr>
          <w:sz w:val="28"/>
          <w:szCs w:val="28"/>
        </w:rPr>
        <w:t>9、</w:t>
      </w:r>
      <w:r w:rsidRPr="00C83A3F">
        <w:rPr>
          <w:rFonts w:cs="黑体"/>
          <w:sz w:val="28"/>
          <w:szCs w:val="28"/>
        </w:rPr>
        <w:t>坚持服务地方发展</w:t>
      </w:r>
    </w:p>
    <w:p w:rsidR="0088429C" w:rsidRPr="00465822" w:rsidRDefault="0088429C" w:rsidP="0088429C">
      <w:pPr>
        <w:spacing w:line="360" w:lineRule="auto"/>
        <w:ind w:firstLineChars="200" w:firstLine="560"/>
        <w:rPr>
          <w:rFonts w:cs="黑体"/>
          <w:sz w:val="28"/>
          <w:szCs w:val="28"/>
        </w:rPr>
      </w:pPr>
      <w:r w:rsidRPr="00C83A3F">
        <w:rPr>
          <w:rFonts w:cs="黑体"/>
          <w:sz w:val="28"/>
          <w:szCs w:val="28"/>
        </w:rPr>
        <w:t>全面加强校地合作。与湘西州政府、湘西州高新区、吉首市、张家界市、酒鬼酒公司等地方政府和企业签订战略合作协议和产学研合作协议，与吉首市合作共建直属型三甲附属医院、附属学校，与酒鬼酒公司</w:t>
      </w:r>
      <w:r w:rsidRPr="00C83A3F">
        <w:rPr>
          <w:rFonts w:cs="黑体"/>
          <w:sz w:val="28"/>
          <w:szCs w:val="28"/>
        </w:rPr>
        <w:lastRenderedPageBreak/>
        <w:t>合作开展白酒酿造专业建设和科技研发。主动服务乡村振兴。积极推动省级研究平台“湖南省乡村振兴战略研究中心”建设。派出科技特派员、三区人才55人赴怀化市、张家界市、湘西州多个乡镇进行科技帮扶</w:t>
      </w:r>
      <w:r>
        <w:rPr>
          <w:rFonts w:cs="黑体"/>
          <w:sz w:val="28"/>
          <w:szCs w:val="28"/>
        </w:rPr>
        <w:t>。</w:t>
      </w:r>
      <w:r w:rsidRPr="00C83A3F">
        <w:rPr>
          <w:rFonts w:cs="黑体"/>
          <w:sz w:val="28"/>
          <w:szCs w:val="28"/>
        </w:rPr>
        <w:t>学校西部办被国家西部志愿者项目办连续8年评为优秀项目办。积极推进成果转化。学校全年授权各类专利74件，其中发明专利17件，在“湖南省知识产权综合服务信息平台”开放许可专利53件。学校入选首批湖南省高等学校科技成果转化和技术转移基地，首批签约加盟湖南省高校知识产权运营联盟。</w:t>
      </w:r>
    </w:p>
    <w:p w:rsidR="0088429C" w:rsidRPr="0088429C" w:rsidRDefault="0088429C">
      <w:pPr>
        <w:keepNext/>
        <w:keepLines/>
        <w:autoSpaceDE w:val="0"/>
        <w:autoSpaceDN w:val="0"/>
        <w:adjustRightInd w:val="0"/>
        <w:spacing w:line="360" w:lineRule="auto"/>
        <w:ind w:firstLineChars="200" w:firstLine="560"/>
        <w:rPr>
          <w:sz w:val="28"/>
          <w:szCs w:val="28"/>
        </w:rPr>
        <w:sectPr w:rsidR="0088429C" w:rsidRPr="0088429C">
          <w:pgSz w:w="12240" w:h="15840"/>
          <w:pgMar w:top="1440" w:right="1800" w:bottom="1440" w:left="1800" w:header="720" w:footer="720" w:gutter="0"/>
          <w:cols w:space="720"/>
        </w:sectPr>
      </w:pPr>
    </w:p>
    <w:p w:rsidR="00B87C8A" w:rsidRDefault="00B87C8A" w:rsidP="002644E6">
      <w:pPr>
        <w:autoSpaceDE w:val="0"/>
        <w:autoSpaceDN w:val="0"/>
        <w:adjustRightInd w:val="0"/>
        <w:rPr>
          <w:rFonts w:ascii="黑体" w:eastAsia="黑体" w:cs="黑体"/>
          <w:sz w:val="84"/>
          <w:szCs w:val="84"/>
        </w:rPr>
      </w:pPr>
    </w:p>
    <w:p w:rsidR="00B87C8A" w:rsidRDefault="00B87C8A" w:rsidP="002644E6">
      <w:pPr>
        <w:autoSpaceDE w:val="0"/>
        <w:autoSpaceDN w:val="0"/>
        <w:adjustRightInd w:val="0"/>
        <w:rPr>
          <w:rFonts w:ascii="黑体" w:eastAsia="黑体" w:cs="黑体"/>
          <w:sz w:val="84"/>
          <w:szCs w:val="84"/>
        </w:rPr>
      </w:pPr>
    </w:p>
    <w:p w:rsidR="00B87C8A" w:rsidRPr="009B5C86" w:rsidRDefault="00B87C8A" w:rsidP="002644E6">
      <w:pPr>
        <w:autoSpaceDE w:val="0"/>
        <w:autoSpaceDN w:val="0"/>
        <w:adjustRightInd w:val="0"/>
        <w:rPr>
          <w:rFonts w:ascii="黑体" w:eastAsia="黑体" w:cs="黑体"/>
          <w:sz w:val="84"/>
          <w:szCs w:val="84"/>
        </w:rPr>
      </w:pPr>
    </w:p>
    <w:p w:rsidR="00B87C8A" w:rsidRDefault="002D1C8A" w:rsidP="002644E6">
      <w:pPr>
        <w:autoSpaceDE w:val="0"/>
        <w:autoSpaceDN w:val="0"/>
        <w:adjustRightInd w:val="0"/>
        <w:jc w:val="center"/>
        <w:rPr>
          <w:rFonts w:ascii="黑体" w:eastAsia="黑体" w:cs="黑体"/>
          <w:sz w:val="84"/>
          <w:szCs w:val="84"/>
        </w:rPr>
      </w:pPr>
      <w:r>
        <w:rPr>
          <w:rFonts w:ascii="黑体" w:eastAsia="黑体" w:cs="黑体"/>
          <w:sz w:val="84"/>
          <w:szCs w:val="84"/>
        </w:rPr>
        <w:t>第四部分</w:t>
      </w:r>
    </w:p>
    <w:p w:rsidR="00B87C8A" w:rsidRDefault="002D1C8A" w:rsidP="00F06E69">
      <w:pPr>
        <w:autoSpaceDE w:val="0"/>
        <w:autoSpaceDN w:val="0"/>
        <w:adjustRightInd w:val="0"/>
        <w:spacing w:beforeLines="100"/>
        <w:jc w:val="center"/>
        <w:rPr>
          <w:rFonts w:ascii="Times New Roman" w:eastAsia="黑体" w:hAnsi="Times New Roman"/>
          <w:sz w:val="84"/>
          <w:szCs w:val="84"/>
        </w:rPr>
      </w:pPr>
      <w:r>
        <w:rPr>
          <w:rFonts w:ascii="黑体" w:eastAsia="黑体" w:cs="黑体"/>
          <w:sz w:val="84"/>
          <w:szCs w:val="84"/>
        </w:rPr>
        <w:t>名词解释</w:t>
      </w:r>
    </w:p>
    <w:p w:rsidR="00B87C8A" w:rsidRDefault="00B87C8A">
      <w:pPr>
        <w:keepNext/>
        <w:keepLines/>
        <w:autoSpaceDE w:val="0"/>
        <w:autoSpaceDN w:val="0"/>
        <w:adjustRightInd w:val="0"/>
        <w:spacing w:line="360" w:lineRule="auto"/>
        <w:rPr>
          <w:sz w:val="28"/>
          <w:szCs w:val="28"/>
        </w:rPr>
        <w:sectPr w:rsidR="00B87C8A">
          <w:pgSz w:w="12240" w:h="15840"/>
          <w:pgMar w:top="1440" w:right="1800" w:bottom="1440" w:left="1800" w:header="720" w:footer="720" w:gutter="0"/>
          <w:cols w:space="720"/>
        </w:sectPr>
      </w:pP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lastRenderedPageBreak/>
        <w:t>财政拨款收入：指本级财政当年拨付的资金。</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事业收入：指事业单位开展专业业务活动及辅助活动所取得的收入。</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其他收入：指除上述</w:t>
      </w:r>
      <w:r>
        <w:rPr>
          <w:rFonts w:cs="黑体"/>
          <w:sz w:val="28"/>
          <w:szCs w:val="28"/>
        </w:rPr>
        <w:t>“</w:t>
      </w:r>
      <w:r>
        <w:rPr>
          <w:sz w:val="28"/>
          <w:szCs w:val="28"/>
        </w:rPr>
        <w:t>财政拨款收入</w:t>
      </w:r>
      <w:r>
        <w:rPr>
          <w:rFonts w:cs="黑体"/>
          <w:sz w:val="28"/>
          <w:szCs w:val="28"/>
        </w:rPr>
        <w:t>”</w:t>
      </w:r>
      <w:r>
        <w:rPr>
          <w:sz w:val="28"/>
          <w:szCs w:val="28"/>
        </w:rPr>
        <w:t>、</w:t>
      </w:r>
      <w:r>
        <w:rPr>
          <w:rFonts w:cs="黑体"/>
          <w:sz w:val="28"/>
          <w:szCs w:val="28"/>
        </w:rPr>
        <w:t>“</w:t>
      </w:r>
      <w:r>
        <w:rPr>
          <w:sz w:val="28"/>
          <w:szCs w:val="28"/>
        </w:rPr>
        <w:t>上级补助收入</w:t>
      </w:r>
      <w:r>
        <w:rPr>
          <w:rFonts w:cs="黑体"/>
          <w:sz w:val="28"/>
          <w:szCs w:val="28"/>
        </w:rPr>
        <w:t>”</w:t>
      </w:r>
      <w:r>
        <w:rPr>
          <w:sz w:val="28"/>
          <w:szCs w:val="28"/>
        </w:rPr>
        <w:t>、</w:t>
      </w:r>
      <w:r>
        <w:rPr>
          <w:rFonts w:cs="黑体"/>
          <w:sz w:val="28"/>
          <w:szCs w:val="28"/>
        </w:rPr>
        <w:t>“</w:t>
      </w:r>
      <w:r>
        <w:rPr>
          <w:sz w:val="28"/>
          <w:szCs w:val="28"/>
        </w:rPr>
        <w:t>事业收入</w:t>
      </w:r>
      <w:r>
        <w:rPr>
          <w:rFonts w:cs="黑体"/>
          <w:sz w:val="28"/>
          <w:szCs w:val="28"/>
        </w:rPr>
        <w:t>”</w:t>
      </w:r>
      <w:r>
        <w:rPr>
          <w:sz w:val="28"/>
          <w:szCs w:val="28"/>
        </w:rPr>
        <w:t>、</w:t>
      </w:r>
      <w:r>
        <w:rPr>
          <w:rFonts w:cs="黑体"/>
          <w:sz w:val="28"/>
          <w:szCs w:val="28"/>
        </w:rPr>
        <w:t>“</w:t>
      </w:r>
      <w:r>
        <w:rPr>
          <w:sz w:val="28"/>
          <w:szCs w:val="28"/>
        </w:rPr>
        <w:t>经营收入</w:t>
      </w:r>
      <w:r>
        <w:rPr>
          <w:rFonts w:cs="黑体"/>
          <w:sz w:val="28"/>
          <w:szCs w:val="28"/>
        </w:rPr>
        <w:t>”</w:t>
      </w:r>
      <w:r>
        <w:rPr>
          <w:sz w:val="28"/>
          <w:szCs w:val="28"/>
        </w:rPr>
        <w:t>、</w:t>
      </w:r>
      <w:r>
        <w:rPr>
          <w:rFonts w:cs="黑体"/>
          <w:sz w:val="28"/>
          <w:szCs w:val="28"/>
        </w:rPr>
        <w:t>“</w:t>
      </w:r>
      <w:r>
        <w:rPr>
          <w:sz w:val="28"/>
          <w:szCs w:val="28"/>
        </w:rPr>
        <w:t>附属单位上缴收入</w:t>
      </w:r>
      <w:r>
        <w:rPr>
          <w:rFonts w:cs="黑体"/>
          <w:sz w:val="28"/>
          <w:szCs w:val="28"/>
        </w:rPr>
        <w:t>”</w:t>
      </w:r>
      <w:r>
        <w:rPr>
          <w:sz w:val="28"/>
          <w:szCs w:val="28"/>
        </w:rPr>
        <w:t>等以外的收入。</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使用非财政拨款结余：指事业单位在当年的</w:t>
      </w:r>
      <w:r>
        <w:rPr>
          <w:rFonts w:cs="黑体"/>
          <w:sz w:val="28"/>
          <w:szCs w:val="28"/>
        </w:rPr>
        <w:t>“</w:t>
      </w:r>
      <w:r>
        <w:rPr>
          <w:sz w:val="28"/>
          <w:szCs w:val="28"/>
        </w:rPr>
        <w:t>财政拨款收入</w:t>
      </w:r>
      <w:r>
        <w:rPr>
          <w:rFonts w:cs="黑体"/>
          <w:sz w:val="28"/>
          <w:szCs w:val="28"/>
        </w:rPr>
        <w:t>”</w:t>
      </w:r>
      <w:r>
        <w:rPr>
          <w:sz w:val="28"/>
          <w:szCs w:val="28"/>
        </w:rPr>
        <w:t>、</w:t>
      </w:r>
      <w:r>
        <w:rPr>
          <w:rFonts w:cs="黑体"/>
          <w:sz w:val="28"/>
          <w:szCs w:val="28"/>
        </w:rPr>
        <w:t>“</w:t>
      </w:r>
      <w:r>
        <w:rPr>
          <w:sz w:val="28"/>
          <w:szCs w:val="28"/>
        </w:rPr>
        <w:t>财政拨款结转和结余资金</w:t>
      </w:r>
      <w:r>
        <w:rPr>
          <w:rFonts w:cs="黑体"/>
          <w:sz w:val="28"/>
          <w:szCs w:val="28"/>
        </w:rPr>
        <w:t>”</w:t>
      </w:r>
      <w:r>
        <w:rPr>
          <w:sz w:val="28"/>
          <w:szCs w:val="28"/>
        </w:rPr>
        <w:t>、</w:t>
      </w:r>
      <w:r>
        <w:rPr>
          <w:rFonts w:cs="黑体"/>
          <w:sz w:val="28"/>
          <w:szCs w:val="28"/>
        </w:rPr>
        <w:t>“</w:t>
      </w:r>
      <w:r>
        <w:rPr>
          <w:sz w:val="28"/>
          <w:szCs w:val="28"/>
        </w:rPr>
        <w:t>上级补助收入</w:t>
      </w:r>
      <w:r>
        <w:rPr>
          <w:rFonts w:cs="黑体"/>
          <w:sz w:val="28"/>
          <w:szCs w:val="28"/>
        </w:rPr>
        <w:t>”</w:t>
      </w:r>
      <w:r>
        <w:rPr>
          <w:sz w:val="28"/>
          <w:szCs w:val="28"/>
        </w:rPr>
        <w:t>、</w:t>
      </w:r>
      <w:r>
        <w:rPr>
          <w:rFonts w:cs="黑体"/>
          <w:sz w:val="28"/>
          <w:szCs w:val="28"/>
        </w:rPr>
        <w:t>“</w:t>
      </w:r>
      <w:r>
        <w:rPr>
          <w:sz w:val="28"/>
          <w:szCs w:val="28"/>
        </w:rPr>
        <w:t>事业收入</w:t>
      </w:r>
      <w:r>
        <w:rPr>
          <w:rFonts w:cs="黑体"/>
          <w:sz w:val="28"/>
          <w:szCs w:val="28"/>
        </w:rPr>
        <w:t>”</w:t>
      </w:r>
      <w:r>
        <w:rPr>
          <w:sz w:val="28"/>
          <w:szCs w:val="28"/>
        </w:rPr>
        <w:t>、</w:t>
      </w:r>
      <w:r>
        <w:rPr>
          <w:rFonts w:cs="黑体"/>
          <w:sz w:val="28"/>
          <w:szCs w:val="28"/>
        </w:rPr>
        <w:t>“</w:t>
      </w:r>
      <w:r>
        <w:rPr>
          <w:sz w:val="28"/>
          <w:szCs w:val="28"/>
        </w:rPr>
        <w:t>经营收入</w:t>
      </w:r>
      <w:r>
        <w:rPr>
          <w:rFonts w:cs="黑体"/>
          <w:sz w:val="28"/>
          <w:szCs w:val="28"/>
        </w:rPr>
        <w:t>”</w:t>
      </w:r>
      <w:r>
        <w:rPr>
          <w:sz w:val="28"/>
          <w:szCs w:val="28"/>
        </w:rPr>
        <w:t>、</w:t>
      </w:r>
      <w:r>
        <w:rPr>
          <w:rFonts w:cs="黑体"/>
          <w:sz w:val="28"/>
          <w:szCs w:val="28"/>
        </w:rPr>
        <w:t>“</w:t>
      </w:r>
      <w:r>
        <w:rPr>
          <w:sz w:val="28"/>
          <w:szCs w:val="28"/>
        </w:rPr>
        <w:t>附属单位上缴收入</w:t>
      </w:r>
      <w:r>
        <w:rPr>
          <w:rFonts w:cs="黑体"/>
          <w:sz w:val="28"/>
          <w:szCs w:val="28"/>
        </w:rPr>
        <w:t>”</w:t>
      </w:r>
      <w:r>
        <w:rPr>
          <w:sz w:val="28"/>
          <w:szCs w:val="28"/>
        </w:rPr>
        <w:t>、</w:t>
      </w:r>
      <w:r>
        <w:rPr>
          <w:rFonts w:cs="黑体"/>
          <w:sz w:val="28"/>
          <w:szCs w:val="28"/>
        </w:rPr>
        <w:t>“</w:t>
      </w:r>
      <w:r>
        <w:rPr>
          <w:sz w:val="28"/>
          <w:szCs w:val="28"/>
        </w:rPr>
        <w:t>其他收入</w:t>
      </w:r>
      <w:r>
        <w:rPr>
          <w:rFonts w:cs="黑体"/>
          <w:sz w:val="28"/>
          <w:szCs w:val="28"/>
        </w:rPr>
        <w:t>”</w:t>
      </w:r>
      <w:r>
        <w:rPr>
          <w:sz w:val="28"/>
          <w:szCs w:val="28"/>
        </w:rPr>
        <w:t>不足以安排当年支出情况下，使用以前年度积累的使用非财政拨款结余弥补收支差额的资金（事业单位当年收支相抵后按国家规定提取、用于弥补以后年度收支差额的非财政拨款结余）。</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上年结转和结余：指以前年度尚未完成、结转到本年按有关规定继续使用的资金。</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年末结转和结余资金：指本年度或以前年度预算安排、因客观条件发生变化无法按原计划实施，需要延迟到以后年度按有关规定继续使用的资金。</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lastRenderedPageBreak/>
        <w:t>教育支出（类）：是指用于政府教育事务支出，包括保障机构正常运转、完成日常和特定的工作任务或事业发展目标的支出。</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科学技术支出（类）：是指用于科学技术方面的支出，包括保障机构正常运转、完成日常和特定的工作任务或事业发展目标的支出。</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文化体育与传媒支出（类）：是指用于文化、文物、体育、新闻出版广播影视等方面的支出，包括保障机构正常运转、完成日常和特定的工作任务或事业发展目标的支出。</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卫生健康支出（类）：是指用于医疗卫生与计划生育方面的支出，包括保障机构正常运转、完成日常和特定的工作任务或事业发展目标的支出。</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住房保障支出（类）：是指用于住房方面的支出，包括保障机构正常运转、完成日常和特定的工作任务或事业发展目标的支出。</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基本支出：指保障机构正常运转、完成支日常工作任务而发生的人员支出和公用支出。</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项目支出：指在基本支出之外为完成特定行政任务和事业发展目标所发生的支出。</w:t>
      </w:r>
    </w:p>
    <w:p w:rsidR="00B87C8A" w:rsidRDefault="002D1C8A" w:rsidP="002644E6">
      <w:pPr>
        <w:autoSpaceDE w:val="0"/>
        <w:autoSpaceDN w:val="0"/>
        <w:adjustRightInd w:val="0"/>
        <w:spacing w:line="360" w:lineRule="auto"/>
        <w:ind w:firstLineChars="200" w:firstLine="560"/>
        <w:rPr>
          <w:rFonts w:cs="黑体"/>
          <w:sz w:val="28"/>
          <w:szCs w:val="28"/>
        </w:rPr>
      </w:pPr>
      <w:r>
        <w:rPr>
          <w:rFonts w:cs="黑体"/>
          <w:sz w:val="28"/>
          <w:szCs w:val="28"/>
        </w:rPr>
        <w:t>“</w:t>
      </w:r>
      <w:r>
        <w:rPr>
          <w:sz w:val="28"/>
          <w:szCs w:val="28"/>
        </w:rPr>
        <w:t>三公</w:t>
      </w:r>
      <w:r>
        <w:rPr>
          <w:rFonts w:cs="黑体"/>
          <w:sz w:val="28"/>
          <w:szCs w:val="28"/>
        </w:rPr>
        <w:t>”</w:t>
      </w:r>
      <w:r>
        <w:rPr>
          <w:sz w:val="28"/>
          <w:szCs w:val="28"/>
        </w:rPr>
        <w:t>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w:t>
      </w:r>
      <w:r>
        <w:rPr>
          <w:sz w:val="28"/>
          <w:szCs w:val="28"/>
        </w:rPr>
        <w:lastRenderedPageBreak/>
        <w:t>费、保险费、安全奖励费用等支出；公务接待费反映单位按规定开支的各类公务接待（含外宾接待）支出。</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工资福利支出：反映单位开支的在职职工和编制外长期聘用人员的各类劳动报酬，以及为上述人员缴纳的各项社会保险费等。</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津贴补贴：反映经国家批准建立的机关事业单位艰苦边远地区津贴、机关工作人员地区附加津贴、机关工作人员岗位津贴、事业单位工作人员特殊岗位津贴补贴等。</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绩效工资：反映事业单位工作人员的绩效工资。</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机关事业单位基本养老保险缴费：反映机关事业单位缴纳的基本养老保险费。由单位代扣的工作人员基本养老保险缴费，不在此科目反映。</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职工基本医疗保险缴费：反映单位为职工缴纳的基本医疗保险费。</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其他社会保障缴费：反映单位为职工缴纳的基本医疗、失业、工伤、生育等社会保险费，残疾人就业保障金，军队（含武警）为军人缴纳的伤亡、退役医疗等社会保险费。</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lastRenderedPageBreak/>
        <w:t>住房公积金：反映行政事业单位按人力资源和社会保障部、财政部规定的基本工资和津贴补贴以及规定比例为职工缴纳的住房公积金。</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商品和服务支出：反映单位购买商品和服务的支出（不包括用于购置固定资产的支出、战略性和应急储备支出）。</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办公费：反映单位购买按财务会计制度规定不符合固定资产确认标准的日常办公用品、书报杂志等支出。</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印刷费：反映单位的印刷费支出。</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邮电费：反映单位开支的信函、包裹、货物等物品的邮寄费及电话费、电报费、传真费、网络通讯费等。</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物业管理费：反映单位开支的办公用房以及未实行职工住宅物业服务改革的在职职工和离退休人员宿舍等的物业管理费，包括综合治理、绿化、卫生等方面的支出。</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差旅费：反映单位工作人员出差发生的城市间交通费、住宿费、伙食补贴费和市内交通费。</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公务接待费：反映单位按规定开支的各类公务接待（含外宾接待）费用。</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lastRenderedPageBreak/>
        <w:t>劳务费：反映支付给单位和个人的劳务费用，如临时聘用人员、钟点工工资，稿费、翻译费，评审费等。</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委托业务费：反映因委托外单位办理业务而支付的委托业务费。</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其他交通费用：反映单位除公务用车运行维护费以外的其他交通费用。如公务交通补贴，租车费用、出租车费用，飞机、船舶等的燃料费、维修费、保险费等。</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其他商品和服务支出：反映上述科目未包括的日常公用支出。如行政赔偿费和诉讼费、国内组织的会员费、来访费、广告宣传、其他劳务费及离休人员特需费、公用经费等。</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对个人和家庭的补助：反映政府用于对个人和家庭的补助支出。</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离休费：反映行政事业单位和军队移交政府安置的离休人员的离休费、护理费和其他补贴。</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抚恤金：反映按规定开支的烈士遗属、牺牲病故人员遗属的一次性和定期抚恤金，伤残人员的抚恤金，离退休人员等其他人员的各项抚恤金。</w:t>
      </w:r>
    </w:p>
    <w:p w:rsidR="00B87C8A" w:rsidRDefault="002D1C8A" w:rsidP="002644E6">
      <w:pPr>
        <w:autoSpaceDE w:val="0"/>
        <w:autoSpaceDN w:val="0"/>
        <w:adjustRightInd w:val="0"/>
        <w:spacing w:line="360" w:lineRule="auto"/>
        <w:ind w:firstLineChars="200" w:firstLine="560"/>
        <w:rPr>
          <w:rFonts w:cs="黑体"/>
          <w:sz w:val="28"/>
          <w:szCs w:val="28"/>
        </w:rPr>
      </w:pPr>
      <w:r>
        <w:rPr>
          <w:sz w:val="28"/>
          <w:szCs w:val="28"/>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rsidR="00B87C8A" w:rsidRPr="007F7A26" w:rsidRDefault="002D1C8A" w:rsidP="002644E6">
      <w:pPr>
        <w:autoSpaceDE w:val="0"/>
        <w:autoSpaceDN w:val="0"/>
        <w:adjustRightInd w:val="0"/>
        <w:spacing w:line="360" w:lineRule="auto"/>
        <w:ind w:firstLineChars="200" w:firstLine="560"/>
        <w:rPr>
          <w:rFonts w:cs="黑体"/>
          <w:sz w:val="28"/>
          <w:szCs w:val="28"/>
        </w:rPr>
      </w:pPr>
      <w:r>
        <w:rPr>
          <w:sz w:val="28"/>
          <w:szCs w:val="28"/>
        </w:rPr>
        <w:t>机关运行经费：指为保障行政单位（包括参照公务员法管理的事业单位）运行用于购买货物和服务的各项资金，包括办公及印刷费、邮电费、差旅费、会议费、福利费、日常维修费、专用材料及一般设备购置</w:t>
      </w:r>
      <w:r>
        <w:rPr>
          <w:sz w:val="28"/>
          <w:szCs w:val="28"/>
        </w:rPr>
        <w:lastRenderedPageBreak/>
        <w:t>费、办公用房水电费、办公用房取暖费、 办公用房物业管理费、 公务用车运行维护费以及其他费用。</w:t>
      </w:r>
    </w:p>
    <w:p w:rsidR="00B87C8A" w:rsidRDefault="00B87C8A" w:rsidP="002644E6">
      <w:pPr>
        <w:autoSpaceDE w:val="0"/>
        <w:autoSpaceDN w:val="0"/>
        <w:adjustRightInd w:val="0"/>
        <w:spacing w:line="360" w:lineRule="auto"/>
        <w:ind w:firstLineChars="200" w:firstLine="640"/>
        <w:rPr>
          <w:rFonts w:ascii="黑体" w:eastAsia="黑体" w:hAnsi="Times New Roman" w:cs="黑体"/>
          <w:sz w:val="32"/>
          <w:szCs w:val="32"/>
        </w:rPr>
        <w:sectPr w:rsidR="00B87C8A">
          <w:pgSz w:w="12240" w:h="15840"/>
          <w:pgMar w:top="1440" w:right="1800" w:bottom="1440" w:left="1800" w:header="720" w:footer="720" w:gutter="0"/>
          <w:cols w:space="720"/>
        </w:sectPr>
      </w:pPr>
    </w:p>
    <w:p w:rsidR="00B87C8A" w:rsidRDefault="00B87C8A" w:rsidP="002644E6">
      <w:pPr>
        <w:autoSpaceDE w:val="0"/>
        <w:autoSpaceDN w:val="0"/>
        <w:adjustRightInd w:val="0"/>
        <w:spacing w:line="360" w:lineRule="auto"/>
        <w:rPr>
          <w:rFonts w:ascii="黑体" w:eastAsia="黑体" w:hAnsi="Times New Roman" w:cs="黑体"/>
          <w:sz w:val="84"/>
          <w:szCs w:val="84"/>
        </w:rPr>
      </w:pPr>
    </w:p>
    <w:p w:rsidR="00B87C8A" w:rsidRDefault="00B87C8A" w:rsidP="002644E6">
      <w:pPr>
        <w:autoSpaceDE w:val="0"/>
        <w:autoSpaceDN w:val="0"/>
        <w:adjustRightInd w:val="0"/>
        <w:spacing w:line="360" w:lineRule="auto"/>
        <w:rPr>
          <w:rFonts w:ascii="黑体" w:eastAsia="黑体" w:hAnsi="Times New Roman" w:cs="黑体"/>
          <w:sz w:val="84"/>
          <w:szCs w:val="84"/>
        </w:rPr>
      </w:pPr>
    </w:p>
    <w:p w:rsidR="00B87C8A" w:rsidRDefault="002D1C8A" w:rsidP="002644E6">
      <w:pPr>
        <w:autoSpaceDE w:val="0"/>
        <w:autoSpaceDN w:val="0"/>
        <w:adjustRightInd w:val="0"/>
        <w:spacing w:line="360" w:lineRule="auto"/>
        <w:jc w:val="center"/>
        <w:rPr>
          <w:rFonts w:ascii="黑体" w:eastAsia="黑体" w:hAnsi="Times New Roman" w:cs="黑体"/>
          <w:sz w:val="84"/>
          <w:szCs w:val="84"/>
        </w:rPr>
      </w:pPr>
      <w:r>
        <w:rPr>
          <w:rFonts w:ascii="黑体" w:eastAsia="黑体" w:hAnsi="Times New Roman" w:cs="黑体"/>
          <w:sz w:val="84"/>
          <w:szCs w:val="84"/>
        </w:rPr>
        <w:t>第五部分</w:t>
      </w:r>
    </w:p>
    <w:p w:rsidR="00B87C8A" w:rsidRDefault="002D1C8A" w:rsidP="002644E6">
      <w:pPr>
        <w:autoSpaceDE w:val="0"/>
        <w:autoSpaceDN w:val="0"/>
        <w:adjustRightInd w:val="0"/>
        <w:spacing w:line="360" w:lineRule="auto"/>
        <w:jc w:val="center"/>
        <w:rPr>
          <w:rFonts w:hAnsi="Times New Roman"/>
          <w:sz w:val="84"/>
          <w:szCs w:val="84"/>
        </w:rPr>
      </w:pPr>
      <w:r>
        <w:rPr>
          <w:rFonts w:ascii="黑体" w:eastAsia="黑体" w:hAnsi="Times New Roman" w:cs="黑体"/>
          <w:sz w:val="84"/>
          <w:szCs w:val="84"/>
        </w:rPr>
        <w:t>附  件</w:t>
      </w:r>
    </w:p>
    <w:p w:rsidR="00B87C8A" w:rsidRDefault="00B87C8A">
      <w:pPr>
        <w:spacing w:line="360" w:lineRule="auto"/>
        <w:ind w:firstLineChars="200" w:firstLine="640"/>
        <w:rPr>
          <w:rFonts w:hAnsi="Times New Roman"/>
          <w:sz w:val="32"/>
          <w:szCs w:val="32"/>
        </w:rPr>
        <w:sectPr w:rsidR="00B87C8A">
          <w:pgSz w:w="12240" w:h="15840"/>
          <w:pgMar w:top="1440" w:right="1800" w:bottom="1440" w:left="1800" w:header="720" w:footer="720" w:gutter="0"/>
          <w:cols w:space="720"/>
        </w:sectPr>
      </w:pPr>
    </w:p>
    <w:p w:rsidR="006417C5" w:rsidRPr="0088429C" w:rsidRDefault="006417C5" w:rsidP="006417C5">
      <w:pPr>
        <w:spacing w:line="580" w:lineRule="exact"/>
        <w:jc w:val="center"/>
        <w:rPr>
          <w:rFonts w:ascii="黑体" w:eastAsia="黑体" w:hAnsi="黑体"/>
          <w:b/>
          <w:bCs/>
          <w:sz w:val="36"/>
          <w:szCs w:val="36"/>
        </w:rPr>
      </w:pPr>
      <w:r w:rsidRPr="0088429C">
        <w:rPr>
          <w:rFonts w:ascii="黑体" w:eastAsia="黑体" w:hAnsi="黑体" w:hint="eastAsia"/>
          <w:b/>
          <w:bCs/>
          <w:sz w:val="36"/>
          <w:szCs w:val="36"/>
        </w:rPr>
        <w:lastRenderedPageBreak/>
        <w:t>2022年度吉首大学整体支出</w:t>
      </w:r>
    </w:p>
    <w:p w:rsidR="006417C5" w:rsidRDefault="006417C5" w:rsidP="006417C5">
      <w:pPr>
        <w:spacing w:line="580" w:lineRule="exact"/>
        <w:jc w:val="center"/>
        <w:rPr>
          <w:rFonts w:ascii="黑体" w:eastAsia="黑体" w:hAnsi="黑体"/>
          <w:b/>
          <w:bCs/>
          <w:sz w:val="36"/>
          <w:szCs w:val="36"/>
        </w:rPr>
      </w:pPr>
      <w:r w:rsidRPr="0088429C">
        <w:rPr>
          <w:rFonts w:ascii="黑体" w:eastAsia="黑体" w:hAnsi="黑体" w:hint="eastAsia"/>
          <w:b/>
          <w:bCs/>
          <w:sz w:val="36"/>
          <w:szCs w:val="36"/>
        </w:rPr>
        <w:t>绩效自评报告</w:t>
      </w:r>
    </w:p>
    <w:p w:rsidR="0088429C" w:rsidRPr="0088429C" w:rsidRDefault="0088429C" w:rsidP="006417C5">
      <w:pPr>
        <w:spacing w:line="580" w:lineRule="exact"/>
        <w:jc w:val="center"/>
        <w:rPr>
          <w:rFonts w:ascii="黑体" w:eastAsia="黑体" w:hAnsi="黑体"/>
          <w:b/>
          <w:bCs/>
          <w:sz w:val="36"/>
          <w:szCs w:val="36"/>
        </w:rPr>
      </w:pPr>
    </w:p>
    <w:p w:rsidR="0088429C" w:rsidRPr="00373973" w:rsidRDefault="0088429C" w:rsidP="00373973">
      <w:pPr>
        <w:spacing w:line="540" w:lineRule="exact"/>
        <w:ind w:firstLineChars="200" w:firstLine="584"/>
        <w:contextualSpacing/>
        <w:rPr>
          <w:spacing w:val="6"/>
          <w:sz w:val="28"/>
          <w:szCs w:val="28"/>
        </w:rPr>
      </w:pPr>
      <w:r w:rsidRPr="00373973">
        <w:rPr>
          <w:rFonts w:hint="eastAsia"/>
          <w:spacing w:val="6"/>
          <w:sz w:val="28"/>
          <w:szCs w:val="28"/>
        </w:rPr>
        <w:t>根据《湖南省财政厅关于开展2022年度部门整体支出绩效自评和省级专项资金部门评价工作的通知》（湘财绩〔2023〕1号）和湖南省教育厅《关于开展2022年度教育部门整体支出和专项资金绩效评价工作的通知》</w:t>
      </w:r>
      <w:r w:rsidRPr="00373973">
        <w:rPr>
          <w:rFonts w:hint="eastAsia"/>
          <w:sz w:val="28"/>
          <w:szCs w:val="28"/>
        </w:rPr>
        <w:t>的文件精神，我校对部门整体支出进行了绩效评价，现报告如下：</w:t>
      </w:r>
    </w:p>
    <w:p w:rsidR="0088429C" w:rsidRPr="00373973" w:rsidRDefault="0088429C" w:rsidP="00373973">
      <w:pPr>
        <w:spacing w:line="540" w:lineRule="exact"/>
        <w:ind w:firstLineChars="200" w:firstLine="640"/>
        <w:contextualSpacing/>
        <w:rPr>
          <w:rFonts w:ascii="黑体" w:eastAsia="黑体" w:hAnsi="黑体"/>
          <w:sz w:val="32"/>
          <w:szCs w:val="32"/>
        </w:rPr>
      </w:pPr>
      <w:r w:rsidRPr="00373973">
        <w:rPr>
          <w:rFonts w:ascii="黑体" w:eastAsia="黑体" w:hAnsi="黑体" w:hint="eastAsia"/>
          <w:sz w:val="32"/>
          <w:szCs w:val="32"/>
        </w:rPr>
        <w:t>一、学校基本概况</w:t>
      </w:r>
    </w:p>
    <w:p w:rsidR="0088429C" w:rsidRPr="00373973" w:rsidRDefault="0088429C" w:rsidP="00373973">
      <w:pPr>
        <w:pStyle w:val="GB2312"/>
        <w:snapToGrid w:val="0"/>
        <w:spacing w:line="540" w:lineRule="exact"/>
        <w:ind w:firstLine="560"/>
        <w:outlineLvl w:val="1"/>
        <w:rPr>
          <w:rFonts w:ascii="宋体" w:eastAsia="宋体" w:hAnsi="宋体" w:cs="Times New Roman"/>
          <w:szCs w:val="28"/>
          <w:highlight w:val="yellow"/>
        </w:rPr>
      </w:pPr>
      <w:r w:rsidRPr="00373973">
        <w:rPr>
          <w:rFonts w:ascii="宋体" w:eastAsia="宋体" w:hAnsi="宋体" w:cs="Times New Roman" w:hint="eastAsia"/>
          <w:szCs w:val="28"/>
        </w:rPr>
        <w:t>吉首大学创办于1958年9月，在湖南省湘西土家族苗族自治州和张家界市两地办学，校本部位于湘西自治州首府——吉首市，是湖南省属综合性大学，也是武陵山片区唯一的综合性大学。学校是</w:t>
      </w:r>
      <w:r w:rsidRPr="00373973">
        <w:rPr>
          <w:rFonts w:ascii="宋体" w:eastAsia="宋体" w:hAnsi="宋体" w:cs="Calibri" w:hint="eastAsia"/>
          <w:szCs w:val="28"/>
        </w:rPr>
        <w:t>国家“中西部高校基础能力建设工程”高校，“服务国家特殊需求博士人才培养项目”高校，《武陵山片区区域发展与扶贫攻坚规划》重点建设高校，教育部本科教学工作水平评估优秀学校，湖南省研究生培养过程质量评估优秀学校。学校</w:t>
      </w:r>
      <w:r w:rsidRPr="00373973">
        <w:rPr>
          <w:rFonts w:ascii="宋体" w:eastAsia="宋体" w:hAnsi="宋体" w:cs="Times New Roman" w:hint="eastAsia"/>
          <w:szCs w:val="28"/>
        </w:rPr>
        <w:t>是推荐优秀应届本科毕业生免试攻读硕士学位研究生普通高校。2016年，学校成为国家民委与湖南省人民政府共建高校。2018年获批为国家博士学位授权单位，形成了从本科到博士后完整的人才培养体系。学校总占地面积2900余亩，建筑面积近60万平方米，教学科研仪器设备总值3.7亿元，各类纸质、电子文献600余万册。</w:t>
      </w:r>
    </w:p>
    <w:p w:rsidR="0088429C" w:rsidRPr="00373973" w:rsidRDefault="0088429C" w:rsidP="00373973">
      <w:pPr>
        <w:pStyle w:val="GB2312"/>
        <w:snapToGrid w:val="0"/>
        <w:spacing w:line="540" w:lineRule="exact"/>
        <w:ind w:firstLine="560"/>
        <w:outlineLvl w:val="1"/>
        <w:rPr>
          <w:rFonts w:ascii="宋体" w:eastAsia="宋体" w:hAnsi="宋体" w:cs="Times New Roman"/>
          <w:szCs w:val="28"/>
          <w:highlight w:val="yellow"/>
        </w:rPr>
      </w:pPr>
      <w:r w:rsidRPr="00373973">
        <w:rPr>
          <w:rFonts w:ascii="宋体" w:eastAsia="宋体" w:hAnsi="宋体" w:cs="Times New Roman" w:hint="eastAsia"/>
          <w:szCs w:val="28"/>
        </w:rPr>
        <w:t>学校现有教学学院22个，一级学科41个，本科专业78个，覆盖了12大学科门类。有省重点学科5个（其中优势特色重点学科1个）、省国内一流建设学科1个、省国内一流培育学科1个、国家民委重点学</w:t>
      </w:r>
      <w:r w:rsidRPr="00373973">
        <w:rPr>
          <w:rFonts w:ascii="宋体" w:eastAsia="宋体" w:hAnsi="宋体" w:cs="Times New Roman" w:hint="eastAsia"/>
          <w:szCs w:val="28"/>
        </w:rPr>
        <w:lastRenderedPageBreak/>
        <w:t>科2个；有博士后科研流动站2个，“博士后科研流动站协作研发中心”1个；有一级学科博士点1个，一级学科硕士点16个，专业硕士点17个；有国家级特色专业3个，国家级本科专业综合改革试点专业1个，“卓越医生教育培养计划”专业1个，“卓越农林人才教育培养计划”专业1个；有国家级一流本科专业建设点16个、省级一流本科专业建设点36个、省级一流课程48门。有国家地方联合工程实验室、国家级实验教学示范中心、国家级工程实践教育中心等教学、科研平台共30余个。学校有博士生导师、硕士生导师共560余人。有“国务院政府特殊津贴”专家14人，“新世纪百干万人才工程”国家级人选1人，教育部“新世纪优秀人才支持计划”6人，文化名家暨“四个一批”人才工程1人、国家民委民族问题研究优秀中青年专家1人、湖南省“121人才工程”人选、享受“湖南省政府特殊津贴”专家、湖湘青年英才、湖南省芙蓉学者、湖湘高层次人才聚集工程人选、湖南省跨世纪学术带头人、湖南省“芙蓉教学名师”、湖南省优秀中青年专家等共51人。学校构建了“课程主导、环境熏陶、实践砺炼、自我塑造”为体系的“立人教育”体系，学生动手能力强、社会实践活动多，在中国“互联网+”大学生创新创业大赛、全国“挑战杯”大学生课外学术科技作品竞赛等各类比赛、竞赛中荣获特等奖、一等奖。大学生少数民族艺术团多次赴美国、香港等地演出，影响广泛。毕业生就业率保持在90％以上。学校先后承担省部级以上科研项目900余项，获国家级、省部级科研成果奖共60余项；获得全国大学生“三下乡”活动先进单位、“西部计划项目优秀高校”、“全国民族团结进步模范集体”“全国绿化模范单位”“全国五四红旗团委”“湖南省文明单位”“湖南省平安高校”“湖南省高校毕业生就业工作先进单位”等荣誉称号。</w:t>
      </w:r>
    </w:p>
    <w:p w:rsidR="0088429C" w:rsidRPr="00373973" w:rsidRDefault="0088429C" w:rsidP="00373973">
      <w:pPr>
        <w:pStyle w:val="GB2312"/>
        <w:snapToGrid w:val="0"/>
        <w:spacing w:line="540" w:lineRule="exact"/>
        <w:ind w:firstLine="640"/>
        <w:outlineLvl w:val="1"/>
        <w:rPr>
          <w:rFonts w:ascii="黑体" w:eastAsia="黑体" w:hAnsi="黑体"/>
          <w:sz w:val="32"/>
          <w:szCs w:val="32"/>
        </w:rPr>
      </w:pPr>
      <w:r w:rsidRPr="00373973">
        <w:rPr>
          <w:rFonts w:ascii="黑体" w:eastAsia="黑体" w:hAnsi="黑体" w:hint="eastAsia"/>
          <w:sz w:val="32"/>
          <w:szCs w:val="32"/>
        </w:rPr>
        <w:lastRenderedPageBreak/>
        <w:t>二、一般公共预算支出情况</w:t>
      </w:r>
    </w:p>
    <w:p w:rsidR="0088429C" w:rsidRPr="00373973" w:rsidRDefault="0088429C" w:rsidP="00373973">
      <w:pPr>
        <w:tabs>
          <w:tab w:val="left" w:pos="0"/>
        </w:tabs>
        <w:spacing w:line="540" w:lineRule="exact"/>
        <w:ind w:right="560" w:firstLineChars="200" w:firstLine="562"/>
        <w:rPr>
          <w:rFonts w:cs="楷体"/>
          <w:b/>
          <w:bCs/>
          <w:sz w:val="28"/>
          <w:szCs w:val="28"/>
        </w:rPr>
      </w:pPr>
      <w:r w:rsidRPr="00373973">
        <w:rPr>
          <w:rFonts w:cs="楷体" w:hint="eastAsia"/>
          <w:b/>
          <w:bCs/>
          <w:sz w:val="28"/>
          <w:szCs w:val="28"/>
        </w:rPr>
        <w:t>（一）基本支出情况</w:t>
      </w:r>
    </w:p>
    <w:p w:rsidR="0088429C" w:rsidRPr="00373973" w:rsidRDefault="0088429C" w:rsidP="00373973">
      <w:pPr>
        <w:tabs>
          <w:tab w:val="left" w:pos="0"/>
        </w:tabs>
        <w:spacing w:line="540" w:lineRule="exact"/>
        <w:ind w:right="25" w:firstLineChars="200" w:firstLine="560"/>
        <w:rPr>
          <w:sz w:val="28"/>
          <w:szCs w:val="28"/>
        </w:rPr>
      </w:pPr>
      <w:r w:rsidRPr="00373973">
        <w:rPr>
          <w:rFonts w:hint="eastAsia"/>
          <w:sz w:val="28"/>
          <w:szCs w:val="28"/>
        </w:rPr>
        <w:t>2022年度学校一般公共预算基本支出25661.85万元，其中工资福利支出23099.89万元，占基本支出的90.02%，主要包括基本工资、津贴补贴、奖金、绩效工资、社会保障费等;商品服务支出1774.11万元，占基本支出的6.91%，主要包括办公费、印刷费、邮电费、物业管理费、差旅费、专用材料费、劳务费、委托业务费等；对个人和家庭的补助支出787.85万元，占基本支出的3.7%，主要包括离休费、生活补助等。</w:t>
      </w:r>
    </w:p>
    <w:p w:rsidR="0088429C" w:rsidRPr="00373973" w:rsidRDefault="0088429C" w:rsidP="00373973">
      <w:pPr>
        <w:tabs>
          <w:tab w:val="left" w:pos="0"/>
        </w:tabs>
        <w:spacing w:line="540" w:lineRule="exact"/>
        <w:ind w:right="560" w:firstLineChars="200" w:firstLine="562"/>
        <w:rPr>
          <w:b/>
          <w:bCs/>
          <w:sz w:val="28"/>
          <w:szCs w:val="28"/>
        </w:rPr>
      </w:pPr>
      <w:r w:rsidRPr="00373973">
        <w:rPr>
          <w:rFonts w:cs="楷体" w:hint="eastAsia"/>
          <w:b/>
          <w:bCs/>
          <w:sz w:val="28"/>
          <w:szCs w:val="28"/>
        </w:rPr>
        <w:t>（二）项目支出情况</w:t>
      </w:r>
    </w:p>
    <w:p w:rsidR="0088429C" w:rsidRPr="00373973" w:rsidRDefault="0088429C" w:rsidP="00373973">
      <w:pPr>
        <w:tabs>
          <w:tab w:val="left" w:pos="0"/>
        </w:tabs>
        <w:spacing w:line="540" w:lineRule="exact"/>
        <w:ind w:right="25" w:firstLineChars="200" w:firstLine="560"/>
        <w:rPr>
          <w:sz w:val="28"/>
          <w:szCs w:val="28"/>
        </w:rPr>
      </w:pPr>
      <w:r w:rsidRPr="00373973">
        <w:rPr>
          <w:rFonts w:hint="eastAsia"/>
          <w:sz w:val="28"/>
          <w:szCs w:val="28"/>
        </w:rPr>
        <w:t>2022年度学校一般公共预算项目支出18796.57万元，其中商品服务支出6353.4万元；对个人和家庭的补助支出4401.57万元；资本性支出8041.6万元。</w:t>
      </w:r>
    </w:p>
    <w:p w:rsidR="0088429C" w:rsidRPr="00373973" w:rsidRDefault="0088429C" w:rsidP="00373973">
      <w:pPr>
        <w:tabs>
          <w:tab w:val="left" w:pos="0"/>
        </w:tabs>
        <w:spacing w:line="540" w:lineRule="exact"/>
        <w:ind w:right="560" w:firstLineChars="200" w:firstLine="560"/>
        <w:rPr>
          <w:rFonts w:cs="仿宋_GB2312"/>
          <w:sz w:val="28"/>
          <w:szCs w:val="28"/>
        </w:rPr>
      </w:pPr>
      <w:r w:rsidRPr="00373973">
        <w:rPr>
          <w:rFonts w:cs="仿宋_GB2312" w:hint="eastAsia"/>
          <w:sz w:val="28"/>
          <w:szCs w:val="28"/>
        </w:rPr>
        <w:t>1.2022年度省级专项资金情况</w:t>
      </w:r>
    </w:p>
    <w:p w:rsidR="0088429C" w:rsidRPr="00373973" w:rsidRDefault="0088429C" w:rsidP="00373973">
      <w:pPr>
        <w:tabs>
          <w:tab w:val="left" w:pos="0"/>
        </w:tabs>
        <w:spacing w:line="540" w:lineRule="exact"/>
        <w:ind w:right="25" w:firstLineChars="200" w:firstLine="560"/>
        <w:rPr>
          <w:color w:val="000000"/>
          <w:sz w:val="28"/>
          <w:szCs w:val="28"/>
        </w:rPr>
      </w:pPr>
      <w:r w:rsidRPr="00373973">
        <w:rPr>
          <w:rFonts w:hint="eastAsia"/>
          <w:color w:val="000000"/>
          <w:sz w:val="28"/>
          <w:szCs w:val="28"/>
        </w:rPr>
        <w:t>2022年本单位省级专项资金支出包括教育综合发展专项、高校“双一流”建设专项、基础教育发展专项。</w:t>
      </w:r>
    </w:p>
    <w:p w:rsidR="0088429C" w:rsidRPr="00373973" w:rsidRDefault="0088429C" w:rsidP="00373973">
      <w:pPr>
        <w:tabs>
          <w:tab w:val="left" w:pos="0"/>
        </w:tabs>
        <w:spacing w:line="540" w:lineRule="exact"/>
        <w:ind w:right="25" w:firstLineChars="200" w:firstLine="560"/>
        <w:rPr>
          <w:sz w:val="28"/>
          <w:szCs w:val="28"/>
          <w:highlight w:val="yellow"/>
        </w:rPr>
      </w:pPr>
      <w:r w:rsidRPr="00373973">
        <w:rPr>
          <w:rFonts w:hint="eastAsia"/>
          <w:sz w:val="28"/>
          <w:szCs w:val="28"/>
        </w:rPr>
        <w:t>（1）教育综合发展专项，年度财政拨款104.52万元，全年执行数49.9万元，预算执行率48%，经费主要用于举办湖南省第十届普通高等学校音乐、舞蹈本科专业学生独唱、独奏、独舞比赛，湖南省第六届普通高等学校青年体育教师课堂教学竞赛，教育规划课题，内地西藏班专项，高校数字教育资源建设以及湘北片区高校年会专项。由于疫情影响，三独比赛、年会等项目延</w:t>
      </w:r>
      <w:r w:rsidRPr="00373973">
        <w:rPr>
          <w:rFonts w:hint="eastAsia"/>
          <w:spacing w:val="-6"/>
          <w:sz w:val="28"/>
          <w:szCs w:val="28"/>
        </w:rPr>
        <w:t>期至2023年举行，导致当年执行率偏低，2023年将全部执行完毕。</w:t>
      </w:r>
    </w:p>
    <w:p w:rsidR="0088429C" w:rsidRPr="00373973" w:rsidRDefault="0088429C" w:rsidP="00373973">
      <w:pPr>
        <w:tabs>
          <w:tab w:val="left" w:pos="0"/>
        </w:tabs>
        <w:spacing w:line="540" w:lineRule="exact"/>
        <w:ind w:right="25" w:firstLineChars="200" w:firstLine="560"/>
        <w:rPr>
          <w:sz w:val="28"/>
          <w:szCs w:val="28"/>
          <w:highlight w:val="yellow"/>
        </w:rPr>
      </w:pPr>
      <w:r w:rsidRPr="00373973">
        <w:rPr>
          <w:rFonts w:hint="eastAsia"/>
          <w:sz w:val="28"/>
          <w:szCs w:val="28"/>
        </w:rPr>
        <w:t>（2）高校“双一流”建设专项，年度财政拨款3157.1万元。为切实有效推进“双一流”建设，学校自筹资金2,892.08万元，投入总计</w:t>
      </w:r>
      <w:r w:rsidRPr="00373973">
        <w:rPr>
          <w:rFonts w:hint="eastAsia"/>
          <w:sz w:val="28"/>
          <w:szCs w:val="28"/>
        </w:rPr>
        <w:lastRenderedPageBreak/>
        <w:t>6,049.18万元用于“双一流”项目建设，在制度建设、“双一流”学科（专业群）建设、人才队伍建设、创新人才培养、科学研究和学术合作交流等六大方面取得发展和突破。</w:t>
      </w:r>
    </w:p>
    <w:p w:rsidR="0088429C" w:rsidRPr="00373973" w:rsidRDefault="0088429C" w:rsidP="00373973">
      <w:pPr>
        <w:tabs>
          <w:tab w:val="left" w:pos="0"/>
        </w:tabs>
        <w:spacing w:line="540" w:lineRule="exact"/>
        <w:ind w:right="25" w:firstLineChars="200" w:firstLine="560"/>
        <w:rPr>
          <w:sz w:val="28"/>
          <w:szCs w:val="28"/>
        </w:rPr>
      </w:pPr>
      <w:r w:rsidRPr="00373973">
        <w:rPr>
          <w:rFonts w:hint="eastAsia"/>
          <w:sz w:val="28"/>
          <w:szCs w:val="28"/>
        </w:rPr>
        <w:t>（3）</w:t>
      </w:r>
      <w:r w:rsidRPr="00373973">
        <w:rPr>
          <w:rFonts w:hint="eastAsia"/>
          <w:color w:val="000000"/>
          <w:sz w:val="28"/>
          <w:szCs w:val="28"/>
        </w:rPr>
        <w:t>基础教育发展专项</w:t>
      </w:r>
      <w:r w:rsidRPr="00373973">
        <w:rPr>
          <w:rFonts w:hint="eastAsia"/>
          <w:sz w:val="28"/>
          <w:szCs w:val="28"/>
        </w:rPr>
        <w:t>，年度财政拨款26万元，支出26万元，预算执行率100%，经费主要用于2022年学校新冠疫情防控补助，疫情防控措施切实到位。</w:t>
      </w:r>
    </w:p>
    <w:p w:rsidR="0088429C" w:rsidRPr="00373973" w:rsidRDefault="0088429C" w:rsidP="00373973">
      <w:pPr>
        <w:tabs>
          <w:tab w:val="left" w:pos="0"/>
        </w:tabs>
        <w:spacing w:line="540" w:lineRule="exact"/>
        <w:ind w:right="560" w:firstLineChars="200" w:firstLine="560"/>
        <w:rPr>
          <w:rFonts w:cs="楷体"/>
          <w:sz w:val="28"/>
          <w:szCs w:val="28"/>
        </w:rPr>
      </w:pPr>
      <w:r w:rsidRPr="00373973">
        <w:rPr>
          <w:rFonts w:cs="仿宋_GB2312" w:hint="eastAsia"/>
          <w:sz w:val="28"/>
          <w:szCs w:val="28"/>
        </w:rPr>
        <w:t>2.其他项目支出情况</w:t>
      </w:r>
    </w:p>
    <w:p w:rsidR="0088429C" w:rsidRPr="00373973" w:rsidRDefault="0088429C" w:rsidP="00373973">
      <w:pPr>
        <w:tabs>
          <w:tab w:val="left" w:pos="0"/>
        </w:tabs>
        <w:spacing w:line="540" w:lineRule="exact"/>
        <w:ind w:right="25" w:firstLineChars="200" w:firstLine="560"/>
        <w:rPr>
          <w:sz w:val="28"/>
          <w:szCs w:val="28"/>
        </w:rPr>
      </w:pPr>
      <w:r w:rsidRPr="00373973">
        <w:rPr>
          <w:sz w:val="28"/>
          <w:szCs w:val="28"/>
        </w:rPr>
        <w:t>其他项目支出按照“规范管理、专款专用、注重绩效”的原则，严格遵守各专项资金使用管理办法及相关财政规章制度有关规定，严格执行省财政厅批复的项目及预算，确保了资金使用效率及效果。</w:t>
      </w:r>
    </w:p>
    <w:p w:rsidR="0088429C" w:rsidRPr="00373973" w:rsidRDefault="0088429C" w:rsidP="00373973">
      <w:pPr>
        <w:tabs>
          <w:tab w:val="left" w:pos="0"/>
        </w:tabs>
        <w:spacing w:line="540" w:lineRule="exact"/>
        <w:ind w:right="25" w:firstLine="640"/>
        <w:rPr>
          <w:sz w:val="28"/>
          <w:szCs w:val="28"/>
        </w:rPr>
      </w:pPr>
      <w:r w:rsidRPr="00373973">
        <w:rPr>
          <w:rFonts w:hint="eastAsia"/>
          <w:sz w:val="28"/>
          <w:szCs w:val="28"/>
        </w:rPr>
        <w:t>（1）其他事业类发展资金</w:t>
      </w:r>
    </w:p>
    <w:p w:rsidR="0088429C" w:rsidRPr="00373973" w:rsidRDefault="0088429C" w:rsidP="00373973">
      <w:pPr>
        <w:tabs>
          <w:tab w:val="left" w:pos="0"/>
        </w:tabs>
        <w:spacing w:line="540" w:lineRule="exact"/>
        <w:ind w:right="25" w:firstLine="640"/>
        <w:rPr>
          <w:sz w:val="28"/>
          <w:szCs w:val="28"/>
        </w:rPr>
      </w:pPr>
      <w:r w:rsidRPr="00373973">
        <w:rPr>
          <w:rFonts w:hint="eastAsia"/>
          <w:color w:val="000000"/>
          <w:sz w:val="28"/>
          <w:szCs w:val="28"/>
        </w:rPr>
        <w:t>2022年本单位</w:t>
      </w:r>
      <w:r w:rsidRPr="00373973">
        <w:rPr>
          <w:sz w:val="28"/>
          <w:szCs w:val="28"/>
        </w:rPr>
        <w:t>其他事业类发展资金支出</w:t>
      </w:r>
      <w:r w:rsidRPr="00373973">
        <w:rPr>
          <w:rFonts w:hint="eastAsia"/>
          <w:sz w:val="28"/>
          <w:szCs w:val="28"/>
        </w:rPr>
        <w:t>15571.21万元，主要用于学校人才引进与培养、教学教改、行政后勤和基础设施能力建设等专项，人才培养质量不断提高，教学教改成绩硕果累累，办学基础条件显著改善，社会影响力显著扩大。</w:t>
      </w:r>
    </w:p>
    <w:p w:rsidR="0088429C" w:rsidRPr="00373973" w:rsidRDefault="0088429C" w:rsidP="00373973">
      <w:pPr>
        <w:pStyle w:val="GB2312"/>
        <w:snapToGrid w:val="0"/>
        <w:spacing w:line="540" w:lineRule="exact"/>
        <w:ind w:firstLine="640"/>
        <w:outlineLvl w:val="1"/>
        <w:rPr>
          <w:rFonts w:ascii="黑体" w:eastAsia="黑体" w:hAnsi="黑体"/>
          <w:sz w:val="32"/>
          <w:szCs w:val="32"/>
        </w:rPr>
      </w:pPr>
      <w:r w:rsidRPr="00373973">
        <w:rPr>
          <w:rFonts w:ascii="黑体" w:eastAsia="黑体" w:hAnsi="黑体" w:hint="eastAsia"/>
          <w:sz w:val="32"/>
          <w:szCs w:val="32"/>
        </w:rPr>
        <w:t>三、政府性基金预算支出情况部门整体支出绩效情况</w:t>
      </w:r>
    </w:p>
    <w:p w:rsidR="0088429C" w:rsidRPr="00373973" w:rsidRDefault="0088429C" w:rsidP="00373973">
      <w:pPr>
        <w:pStyle w:val="GB2312"/>
        <w:snapToGrid w:val="0"/>
        <w:spacing w:line="540" w:lineRule="exact"/>
        <w:ind w:firstLine="560"/>
        <w:outlineLvl w:val="1"/>
        <w:rPr>
          <w:rFonts w:ascii="宋体" w:eastAsia="宋体" w:hAnsi="宋体" w:cs="Times New Roman"/>
          <w:szCs w:val="28"/>
        </w:rPr>
      </w:pPr>
      <w:r w:rsidRPr="00373973">
        <w:rPr>
          <w:rFonts w:ascii="宋体" w:eastAsia="宋体" w:hAnsi="宋体" w:cs="Times New Roman" w:hint="eastAsia"/>
          <w:szCs w:val="28"/>
        </w:rPr>
        <w:t>无。</w:t>
      </w:r>
    </w:p>
    <w:p w:rsidR="0088429C" w:rsidRPr="00373973" w:rsidRDefault="0088429C" w:rsidP="00373973">
      <w:pPr>
        <w:pStyle w:val="GB2312"/>
        <w:snapToGrid w:val="0"/>
        <w:spacing w:line="540" w:lineRule="exact"/>
        <w:ind w:firstLine="640"/>
        <w:outlineLvl w:val="1"/>
        <w:rPr>
          <w:rFonts w:ascii="黑体" w:eastAsia="黑体" w:hAnsi="黑体"/>
          <w:sz w:val="32"/>
          <w:szCs w:val="32"/>
        </w:rPr>
      </w:pPr>
      <w:r w:rsidRPr="00373973">
        <w:rPr>
          <w:rFonts w:ascii="黑体" w:eastAsia="黑体" w:hAnsi="黑体" w:hint="eastAsia"/>
          <w:sz w:val="32"/>
          <w:szCs w:val="32"/>
        </w:rPr>
        <w:t>四、国有资本经营预算支出情况</w:t>
      </w:r>
    </w:p>
    <w:p w:rsidR="0088429C" w:rsidRPr="00373973" w:rsidRDefault="0088429C" w:rsidP="00373973">
      <w:pPr>
        <w:pStyle w:val="GB2312"/>
        <w:snapToGrid w:val="0"/>
        <w:spacing w:line="540" w:lineRule="exact"/>
        <w:ind w:firstLine="560"/>
        <w:outlineLvl w:val="1"/>
        <w:rPr>
          <w:rFonts w:ascii="宋体" w:eastAsia="宋体" w:hAnsi="宋体" w:cs="Times New Roman"/>
          <w:szCs w:val="28"/>
        </w:rPr>
      </w:pPr>
      <w:r w:rsidRPr="00373973">
        <w:rPr>
          <w:rFonts w:ascii="宋体" w:eastAsia="宋体" w:hAnsi="宋体" w:cs="Times New Roman" w:hint="eastAsia"/>
          <w:szCs w:val="28"/>
        </w:rPr>
        <w:t>无。</w:t>
      </w:r>
    </w:p>
    <w:p w:rsidR="0088429C" w:rsidRPr="00373973" w:rsidRDefault="0088429C" w:rsidP="00373973">
      <w:pPr>
        <w:pStyle w:val="GB2312"/>
        <w:snapToGrid w:val="0"/>
        <w:spacing w:line="540" w:lineRule="exact"/>
        <w:ind w:firstLine="640"/>
        <w:outlineLvl w:val="1"/>
        <w:rPr>
          <w:rFonts w:ascii="黑体" w:eastAsia="黑体" w:hAnsi="黑体"/>
          <w:sz w:val="32"/>
          <w:szCs w:val="32"/>
        </w:rPr>
      </w:pPr>
      <w:r w:rsidRPr="00373973">
        <w:rPr>
          <w:rFonts w:ascii="黑体" w:eastAsia="黑体" w:hAnsi="黑体" w:hint="eastAsia"/>
          <w:sz w:val="32"/>
          <w:szCs w:val="32"/>
        </w:rPr>
        <w:t>五、社会保险基金预算支出情况</w:t>
      </w:r>
    </w:p>
    <w:p w:rsidR="0088429C" w:rsidRPr="00373973" w:rsidRDefault="0088429C" w:rsidP="00373973">
      <w:pPr>
        <w:pStyle w:val="GB2312"/>
        <w:snapToGrid w:val="0"/>
        <w:spacing w:line="540" w:lineRule="exact"/>
        <w:ind w:firstLine="560"/>
        <w:outlineLvl w:val="1"/>
        <w:rPr>
          <w:rFonts w:ascii="宋体" w:eastAsia="宋体" w:hAnsi="宋体" w:cs="Times New Roman"/>
          <w:szCs w:val="28"/>
        </w:rPr>
      </w:pPr>
      <w:r w:rsidRPr="00373973">
        <w:rPr>
          <w:rFonts w:ascii="宋体" w:eastAsia="宋体" w:hAnsi="宋体" w:cs="Times New Roman" w:hint="eastAsia"/>
          <w:szCs w:val="28"/>
        </w:rPr>
        <w:t>无。</w:t>
      </w:r>
    </w:p>
    <w:p w:rsidR="0088429C" w:rsidRPr="00373973" w:rsidRDefault="0088429C" w:rsidP="00373973">
      <w:pPr>
        <w:pStyle w:val="GB2312"/>
        <w:snapToGrid w:val="0"/>
        <w:spacing w:line="540" w:lineRule="exact"/>
        <w:ind w:firstLine="640"/>
        <w:outlineLvl w:val="1"/>
        <w:rPr>
          <w:rFonts w:ascii="黑体" w:eastAsia="黑体" w:hAnsi="黑体"/>
          <w:sz w:val="32"/>
          <w:szCs w:val="32"/>
        </w:rPr>
      </w:pPr>
      <w:r w:rsidRPr="00373973">
        <w:rPr>
          <w:rFonts w:ascii="黑体" w:eastAsia="黑体" w:hAnsi="黑体" w:hint="eastAsia"/>
          <w:sz w:val="32"/>
          <w:szCs w:val="32"/>
        </w:rPr>
        <w:t>六、部门整体支出绩效情况</w:t>
      </w:r>
    </w:p>
    <w:p w:rsidR="0088429C" w:rsidRPr="00373973" w:rsidRDefault="0088429C" w:rsidP="00373973">
      <w:pPr>
        <w:autoSpaceDE w:val="0"/>
        <w:autoSpaceDN w:val="0"/>
        <w:adjustRightInd w:val="0"/>
        <w:spacing w:line="540" w:lineRule="exact"/>
        <w:ind w:firstLineChars="200" w:firstLine="560"/>
        <w:rPr>
          <w:sz w:val="28"/>
          <w:szCs w:val="28"/>
        </w:rPr>
      </w:pPr>
      <w:r w:rsidRPr="00373973">
        <w:rPr>
          <w:rFonts w:hint="eastAsia"/>
          <w:sz w:val="28"/>
          <w:szCs w:val="28"/>
        </w:rPr>
        <w:t>学校预算编制坚持“量入为出、收支平衡，综合预算、统筹资源，保证重点、兼顾一般，厉行节约、讲求绩效”的原则，编制过程采用“两</w:t>
      </w:r>
      <w:r w:rsidRPr="00373973">
        <w:rPr>
          <w:rFonts w:hint="eastAsia"/>
          <w:sz w:val="28"/>
          <w:szCs w:val="28"/>
        </w:rPr>
        <w:lastRenderedPageBreak/>
        <w:t>下两上一集中”的程序，反复多次进行调研与论证，确保预算精准、科学。支出预算坚持四结合：经费投入与学校事业发展规划和年度工作要点相结合，保重点项目投入；与资产管理相结合，资金投入充分考虑资产的存量和使用效益，促进资源共享和配置优化；与国家及上级主管部门有关经费控制规定相结合，严格贯彻《党政机关厉行节约反对浪费条例》，“三公经费”支出只减不增，严控一般性经费支出，努力降低行政运行成本；与预算执行绩效相结合，对预算执行不好的、资金效益不高的，少安排或不予安排。按照《2022年度部门整体支出绩效自评</w:t>
      </w:r>
      <w:r w:rsidRPr="00373973">
        <w:rPr>
          <w:rFonts w:hint="eastAsia"/>
          <w:spacing w:val="-6"/>
          <w:sz w:val="28"/>
          <w:szCs w:val="28"/>
        </w:rPr>
        <w:t>表》评分标准，综合自评得分98.5分。主要工作成效如下</w:t>
      </w:r>
      <w:r w:rsidRPr="00373973">
        <w:rPr>
          <w:rFonts w:hint="eastAsia"/>
          <w:sz w:val="28"/>
          <w:szCs w:val="28"/>
        </w:rPr>
        <w:t>：</w:t>
      </w:r>
    </w:p>
    <w:p w:rsidR="0088429C" w:rsidRPr="00373973" w:rsidRDefault="0088429C" w:rsidP="00373973">
      <w:pPr>
        <w:autoSpaceDE w:val="0"/>
        <w:autoSpaceDN w:val="0"/>
        <w:adjustRightInd w:val="0"/>
        <w:spacing w:line="540" w:lineRule="exact"/>
        <w:ind w:firstLineChars="200" w:firstLine="562"/>
        <w:rPr>
          <w:sz w:val="28"/>
          <w:szCs w:val="28"/>
          <w:highlight w:val="yellow"/>
        </w:rPr>
      </w:pPr>
      <w:r w:rsidRPr="00373973">
        <w:rPr>
          <w:rFonts w:cs="楷体" w:hint="eastAsia"/>
          <w:b/>
          <w:sz w:val="28"/>
          <w:szCs w:val="28"/>
        </w:rPr>
        <w:t>（一）坚持党的领导，党建引领力显著增强</w:t>
      </w:r>
    </w:p>
    <w:p w:rsidR="0088429C" w:rsidRPr="00373973" w:rsidRDefault="0088429C" w:rsidP="00373973">
      <w:pPr>
        <w:adjustRightInd w:val="0"/>
        <w:snapToGrid w:val="0"/>
        <w:spacing w:line="540" w:lineRule="exact"/>
        <w:ind w:firstLineChars="200" w:firstLine="560"/>
        <w:rPr>
          <w:sz w:val="28"/>
          <w:szCs w:val="28"/>
          <w:highlight w:val="yellow"/>
        </w:rPr>
      </w:pPr>
      <w:r w:rsidRPr="00373973">
        <w:rPr>
          <w:rFonts w:hint="eastAsia"/>
          <w:sz w:val="28"/>
          <w:szCs w:val="28"/>
        </w:rPr>
        <w:t>1.加强思想政治建设。组织师生深入学习贯彻习近平新时代中国特色社会主义思想，特别是习近平总书记关于教育的重要论述。坚持把学习宣传落实党的二十大精神作为首要政治任务，制定了认真学习宣传贯彻党的二十大精神工作方案，出台了《吉首大学关于组织开展党的二十大精神宣讲的通知》，采用宣讲团报告会、校院两级党委理论学习中心组集中学习研讨等多种形式开展学习宣讲，利用学校官网、官微、校报等平台开设专栏专版，刊发师生的学习理论文章和心得体会，教育引导广大师生深刻领悟“两个确立”的决定性意义，增强“四个意识”、坚定“四个自信”、做到“两个维护”，不断增强政治领悟力、政治判断力、政治执行力。</w:t>
      </w:r>
    </w:p>
    <w:p w:rsidR="0088429C" w:rsidRPr="00373973" w:rsidRDefault="0088429C" w:rsidP="00373973">
      <w:pPr>
        <w:spacing w:line="540" w:lineRule="exact"/>
        <w:ind w:firstLine="640"/>
        <w:rPr>
          <w:sz w:val="28"/>
          <w:szCs w:val="28"/>
          <w:highlight w:val="yellow"/>
        </w:rPr>
      </w:pPr>
      <w:r w:rsidRPr="00373973">
        <w:rPr>
          <w:rFonts w:hint="eastAsia"/>
          <w:bCs/>
          <w:sz w:val="28"/>
          <w:szCs w:val="28"/>
        </w:rPr>
        <w:t>2.加强基层组织建设。</w:t>
      </w:r>
      <w:r w:rsidRPr="00373973">
        <w:rPr>
          <w:rFonts w:hint="eastAsia"/>
          <w:sz w:val="28"/>
          <w:szCs w:val="28"/>
        </w:rPr>
        <w:t>加强制度建设，制定完善了《吉首大学学院党组织会议议事规则》等10多项制度。加强干部队伍建设，特别是年轻干部培养，举办了新任处级干部培训班，出台了《吉首大学干部队伍建设规划》，全年提拔处级干部31人，其中年轻干部11人。加强了基</w:t>
      </w:r>
      <w:r w:rsidRPr="00373973">
        <w:rPr>
          <w:rFonts w:hint="eastAsia"/>
          <w:sz w:val="28"/>
          <w:szCs w:val="28"/>
        </w:rPr>
        <w:lastRenderedPageBreak/>
        <w:t>层党建制度化规范化和干部队伍年轻化建设，基层党组织组织力和政治功能进一步增强。</w:t>
      </w:r>
    </w:p>
    <w:p w:rsidR="0088429C" w:rsidRPr="00373973" w:rsidRDefault="0088429C" w:rsidP="00373973">
      <w:pPr>
        <w:spacing w:line="540" w:lineRule="exact"/>
        <w:ind w:firstLine="640"/>
        <w:rPr>
          <w:sz w:val="28"/>
          <w:szCs w:val="28"/>
          <w:highlight w:val="yellow"/>
        </w:rPr>
      </w:pPr>
      <w:r w:rsidRPr="00373973">
        <w:rPr>
          <w:bCs/>
          <w:sz w:val="28"/>
          <w:szCs w:val="28"/>
        </w:rPr>
        <w:t>3.</w:t>
      </w:r>
      <w:r w:rsidRPr="00373973">
        <w:rPr>
          <w:rFonts w:hint="eastAsia"/>
          <w:bCs/>
          <w:sz w:val="28"/>
          <w:szCs w:val="28"/>
        </w:rPr>
        <w:t>加强作风纪律建设。</w:t>
      </w:r>
      <w:r w:rsidRPr="00373973">
        <w:rPr>
          <w:rFonts w:hint="eastAsia"/>
          <w:sz w:val="28"/>
          <w:szCs w:val="28"/>
        </w:rPr>
        <w:t>坚持正风肃纪，锲而不舍落实中央八项规定及其实施细则精神。筑牢思想防线，织细扎牢制度笼子，出台了《吉首大学关于持续防治形式主义官僚主义的十项具体措施》《吉首大学关于加强新时代廉洁文化建设的若干措施》。坚持抓早抓小抓实，强化监督执纪问责，“清廉吉大”建设取得新进展。一年来，广大干部提高政治站位、勇毅担当作为，推动巡视整改取得显著成效，有力推动了事业发展。省委巡视整改抽查评估工作组现场评估后认定，截至2022年10月底，巡视反馈的39个具体问题，已完成整改36个，整改完成率达92.3%，巡视移交的9个立行立改问题、44件信访件，已全部完成办理，整改成效被省委巡视办评定为“好”。学校巡视整改“五个转化”的经验做法得到省纪委高度肯定，并在《三湘风纪》进行了推介。</w:t>
      </w:r>
    </w:p>
    <w:p w:rsidR="0088429C" w:rsidRPr="00373973" w:rsidRDefault="0088429C" w:rsidP="00373973">
      <w:pPr>
        <w:spacing w:line="540" w:lineRule="exact"/>
        <w:ind w:firstLine="640"/>
        <w:rPr>
          <w:sz w:val="28"/>
          <w:szCs w:val="28"/>
        </w:rPr>
      </w:pPr>
      <w:r w:rsidRPr="00373973">
        <w:rPr>
          <w:rFonts w:hint="eastAsia"/>
          <w:sz w:val="28"/>
          <w:szCs w:val="28"/>
        </w:rPr>
        <w:t>4.不断巩固统战、群团工作。加强党外人士培养，提拔党外处级干部</w:t>
      </w:r>
      <w:r w:rsidRPr="00373973">
        <w:rPr>
          <w:sz w:val="28"/>
          <w:szCs w:val="28"/>
        </w:rPr>
        <w:t>3</w:t>
      </w:r>
      <w:r w:rsidRPr="00373973">
        <w:rPr>
          <w:rFonts w:hint="eastAsia"/>
          <w:sz w:val="28"/>
          <w:szCs w:val="28"/>
        </w:rPr>
        <w:t>人，推荐党外后备干部4人，省政协委员提名人选4人，推荐1名党外人士担任湘西州侨联青年委员会副会长，民宗工作校地联动经验做法在全州工作会议上推介。加强共青团和学生会工作，深化“五育人工程”，学校获全国“三下乡”先进单位，获第六届中国青年志愿服务项目大赛铜奖1项，省第五届“雷锋杯”青年志愿服务项目大赛银奖1项。加强工会工作，评选表彰“十佳青年教工”“十佳师德先进个人”“芙蓉百岗明星”20余人次，1人受到省教育系统表彰。关心关爱教职员工，全年发放教职工福利慰问物资近3</w:t>
      </w:r>
      <w:r w:rsidRPr="00373973">
        <w:rPr>
          <w:sz w:val="28"/>
          <w:szCs w:val="28"/>
        </w:rPr>
        <w:t>60</w:t>
      </w:r>
      <w:r w:rsidRPr="00373973">
        <w:rPr>
          <w:rFonts w:hint="eastAsia"/>
          <w:sz w:val="28"/>
          <w:szCs w:val="28"/>
        </w:rPr>
        <w:t>万元。用心用情做好离退休工作，校关工委和3个学院关工委及7名“五老”同志受到省教育系统关工委</w:t>
      </w:r>
      <w:r w:rsidRPr="00373973">
        <w:rPr>
          <w:rFonts w:hint="eastAsia"/>
          <w:sz w:val="28"/>
          <w:szCs w:val="28"/>
        </w:rPr>
        <w:lastRenderedPageBreak/>
        <w:t>表彰。发放老同志福利费近1</w:t>
      </w:r>
      <w:r w:rsidRPr="00373973">
        <w:rPr>
          <w:sz w:val="28"/>
          <w:szCs w:val="28"/>
        </w:rPr>
        <w:t>60</w:t>
      </w:r>
      <w:r w:rsidRPr="00373973">
        <w:rPr>
          <w:rFonts w:hint="eastAsia"/>
          <w:sz w:val="28"/>
          <w:szCs w:val="28"/>
        </w:rPr>
        <w:t>万元，为患病教职工、困难老同志发放补助和帮扶资金</w:t>
      </w:r>
      <w:r w:rsidRPr="00373973">
        <w:rPr>
          <w:sz w:val="28"/>
          <w:szCs w:val="28"/>
        </w:rPr>
        <w:t>43</w:t>
      </w:r>
      <w:r w:rsidRPr="00373973">
        <w:rPr>
          <w:rFonts w:hint="eastAsia"/>
          <w:sz w:val="28"/>
          <w:szCs w:val="28"/>
        </w:rPr>
        <w:t>万元。</w:t>
      </w:r>
    </w:p>
    <w:p w:rsidR="0088429C" w:rsidRPr="00373973" w:rsidRDefault="0088429C" w:rsidP="00373973">
      <w:pPr>
        <w:autoSpaceDE w:val="0"/>
        <w:autoSpaceDN w:val="0"/>
        <w:adjustRightInd w:val="0"/>
        <w:spacing w:line="540" w:lineRule="exact"/>
        <w:ind w:firstLineChars="200" w:firstLine="562"/>
        <w:rPr>
          <w:rFonts w:cs="楷体"/>
          <w:b/>
          <w:sz w:val="28"/>
          <w:szCs w:val="28"/>
          <w:highlight w:val="yellow"/>
        </w:rPr>
      </w:pPr>
      <w:r w:rsidRPr="00373973">
        <w:rPr>
          <w:rFonts w:cs="楷体" w:hint="eastAsia"/>
          <w:b/>
          <w:sz w:val="28"/>
          <w:szCs w:val="28"/>
        </w:rPr>
        <w:t>（二）坚持推进现代治理，三大改革成效突出</w:t>
      </w:r>
    </w:p>
    <w:p w:rsidR="0088429C" w:rsidRPr="00373973" w:rsidRDefault="0088429C" w:rsidP="00373973">
      <w:pPr>
        <w:autoSpaceDE w:val="0"/>
        <w:autoSpaceDN w:val="0"/>
        <w:adjustRightInd w:val="0"/>
        <w:spacing w:line="540" w:lineRule="exact"/>
        <w:ind w:firstLineChars="200" w:firstLine="560"/>
        <w:rPr>
          <w:sz w:val="28"/>
          <w:szCs w:val="28"/>
          <w:highlight w:val="yellow"/>
        </w:rPr>
      </w:pPr>
      <w:r w:rsidRPr="00373973">
        <w:rPr>
          <w:rFonts w:hint="eastAsia"/>
          <w:sz w:val="28"/>
          <w:szCs w:val="28"/>
        </w:rPr>
        <w:t>1.机构编制改革成为全省典型。出台了《吉首大学二级机构及其内设机构设置方案》，完成了机关教辅机构“三定”、机构撤并和管理交接工作。着力破解基础条件薄弱、编制紧缺、人员结构不优、发展动力不足等困难和矛盾，结合落实巡视整改任务，对标省委编办推进新一轮机构编制体制机制改革要求，在全省高校率先圆满完成新一轮机构编制改革，受到省委编办表扬。</w:t>
      </w:r>
    </w:p>
    <w:p w:rsidR="0088429C" w:rsidRPr="00373973" w:rsidRDefault="0088429C" w:rsidP="00373973">
      <w:pPr>
        <w:autoSpaceDE w:val="0"/>
        <w:autoSpaceDN w:val="0"/>
        <w:adjustRightInd w:val="0"/>
        <w:spacing w:line="540" w:lineRule="exact"/>
        <w:ind w:firstLineChars="200" w:firstLine="560"/>
        <w:rPr>
          <w:sz w:val="28"/>
          <w:szCs w:val="28"/>
        </w:rPr>
      </w:pPr>
      <w:r w:rsidRPr="00373973">
        <w:rPr>
          <w:rFonts w:hint="eastAsia"/>
          <w:bCs/>
          <w:sz w:val="28"/>
          <w:szCs w:val="28"/>
        </w:rPr>
        <w:t>2.绩效分配体制改革得到广泛认可。</w:t>
      </w:r>
      <w:r w:rsidRPr="00373973">
        <w:rPr>
          <w:rFonts w:hint="eastAsia"/>
          <w:sz w:val="28"/>
          <w:szCs w:val="28"/>
        </w:rPr>
        <w:t>以做增量、调结构、促发展为原则，改革学校绩效分配体制。新出台的绩效分配方案既兼顾公平又鼓励优劳优酬，适度缩小了教职工与周边高校同类人员收入差距，增强了包括人事代理、离退休人员在内的全校教职工的获得感。</w:t>
      </w:r>
    </w:p>
    <w:p w:rsidR="0088429C" w:rsidRPr="00373973" w:rsidRDefault="0088429C" w:rsidP="00373973">
      <w:pPr>
        <w:autoSpaceDE w:val="0"/>
        <w:autoSpaceDN w:val="0"/>
        <w:adjustRightInd w:val="0"/>
        <w:spacing w:line="540" w:lineRule="exact"/>
        <w:ind w:firstLineChars="200" w:firstLine="560"/>
        <w:rPr>
          <w:sz w:val="28"/>
          <w:szCs w:val="28"/>
        </w:rPr>
      </w:pPr>
      <w:r w:rsidRPr="00373973">
        <w:rPr>
          <w:rFonts w:hint="eastAsia"/>
          <w:bCs/>
          <w:sz w:val="28"/>
          <w:szCs w:val="28"/>
        </w:rPr>
        <w:t>3.教育教学改革取得阶段成果。</w:t>
      </w:r>
      <w:r w:rsidRPr="00373973">
        <w:rPr>
          <w:rFonts w:hint="eastAsia"/>
          <w:sz w:val="28"/>
          <w:szCs w:val="28"/>
        </w:rPr>
        <w:t>落实新时代教育评价改革精神，出台了修订本科人才和研究生培育方案的指导性意见，完成了各专业人才培养方案和课程“三纲”的修订，为教育教学工作搭建了新的“四梁八柱”，教育评价改革做法被《湖南教育快讯》专文推介。</w:t>
      </w:r>
    </w:p>
    <w:p w:rsidR="0088429C" w:rsidRPr="00373973" w:rsidRDefault="0088429C" w:rsidP="00373973">
      <w:pPr>
        <w:adjustRightInd w:val="0"/>
        <w:snapToGrid w:val="0"/>
        <w:spacing w:line="540" w:lineRule="exact"/>
        <w:ind w:leftChars="200" w:left="480"/>
        <w:rPr>
          <w:rFonts w:cs="楷体"/>
          <w:b/>
          <w:spacing w:val="-6"/>
          <w:sz w:val="28"/>
          <w:szCs w:val="28"/>
        </w:rPr>
      </w:pPr>
      <w:r w:rsidRPr="00373973">
        <w:rPr>
          <w:rFonts w:cs="楷体" w:hint="eastAsia"/>
          <w:b/>
          <w:spacing w:val="-6"/>
          <w:sz w:val="28"/>
          <w:szCs w:val="28"/>
        </w:rPr>
        <w:t xml:space="preserve">（三）坚持落实立德树人根本任务，人才培养质量不断提高   </w:t>
      </w:r>
    </w:p>
    <w:p w:rsidR="0088429C" w:rsidRPr="00373973" w:rsidRDefault="0088429C" w:rsidP="00373973">
      <w:pPr>
        <w:adjustRightInd w:val="0"/>
        <w:snapToGrid w:val="0"/>
        <w:spacing w:line="540" w:lineRule="exact"/>
        <w:ind w:firstLineChars="200" w:firstLine="560"/>
        <w:rPr>
          <w:sz w:val="28"/>
          <w:szCs w:val="28"/>
        </w:rPr>
      </w:pPr>
      <w:r w:rsidRPr="00373973">
        <w:rPr>
          <w:rFonts w:hint="eastAsia"/>
          <w:bCs/>
          <w:sz w:val="28"/>
          <w:szCs w:val="28"/>
        </w:rPr>
        <w:t>1.教师教育教学成果丰硕。</w:t>
      </w:r>
      <w:r w:rsidRPr="00373973">
        <w:rPr>
          <w:rFonts w:hint="eastAsia"/>
          <w:sz w:val="28"/>
          <w:szCs w:val="28"/>
        </w:rPr>
        <w:t>获湖南省本科教学成果奖一等奖1项，二等奖4项，三等奖8项；获湖南省研究生教学成果一等奖1项、三等奖1项、优秀案例3个。研究生学位论文质量显著提高，获评省级优秀博士硕士论文15篇。获得国家级大学生创新创业训练计划项目33项，省级大学生研究性创新性实验计划项目96项。2022届本科生考研率14.55%，高出2021届0.44个百分点。</w:t>
      </w:r>
    </w:p>
    <w:p w:rsidR="0088429C" w:rsidRPr="00373973" w:rsidRDefault="0088429C" w:rsidP="00373973">
      <w:pPr>
        <w:adjustRightInd w:val="0"/>
        <w:snapToGrid w:val="0"/>
        <w:spacing w:line="540" w:lineRule="exact"/>
        <w:ind w:firstLineChars="200" w:firstLine="560"/>
        <w:rPr>
          <w:sz w:val="28"/>
          <w:szCs w:val="28"/>
        </w:rPr>
      </w:pPr>
      <w:r w:rsidRPr="00373973">
        <w:rPr>
          <w:rFonts w:hint="eastAsia"/>
          <w:bCs/>
          <w:sz w:val="28"/>
          <w:szCs w:val="28"/>
        </w:rPr>
        <w:lastRenderedPageBreak/>
        <w:t>2.学生竞赛成绩突出。</w:t>
      </w:r>
      <w:r w:rsidRPr="00373973">
        <w:rPr>
          <w:rFonts w:hint="eastAsia"/>
          <w:sz w:val="28"/>
          <w:szCs w:val="28"/>
        </w:rPr>
        <w:t>本科生参加A类、B类学科竞赛，获国家级一等奖8项、二等奖36项、三等奖53项，获省级特等奖6项、一等奖138项、二等奖241项、三等奖316项；获湖南省“互联网+”大学生创新创业大赛一等奖1项、二等奖1项、三等奖3项；获湖南省“挑战杯”大学生创业计划竞赛金奖等9项，1项作品入围全国主赛道终审决赛，学校获评湖南省“优秀组织奖”。研究生参加学科竞赛，获省级以上奖励67项。</w:t>
      </w:r>
    </w:p>
    <w:p w:rsidR="0088429C" w:rsidRPr="00373973" w:rsidRDefault="0088429C" w:rsidP="00373973">
      <w:pPr>
        <w:adjustRightInd w:val="0"/>
        <w:snapToGrid w:val="0"/>
        <w:spacing w:line="540" w:lineRule="exact"/>
        <w:ind w:firstLine="640"/>
        <w:rPr>
          <w:sz w:val="28"/>
          <w:szCs w:val="28"/>
        </w:rPr>
      </w:pPr>
      <w:r w:rsidRPr="00373973">
        <w:rPr>
          <w:rFonts w:hint="eastAsia"/>
          <w:bCs/>
          <w:sz w:val="28"/>
          <w:szCs w:val="28"/>
        </w:rPr>
        <w:t>3.全校上下促就业成效明显。</w:t>
      </w:r>
      <w:r w:rsidRPr="00373973">
        <w:rPr>
          <w:rFonts w:hint="eastAsia"/>
          <w:sz w:val="28"/>
          <w:szCs w:val="28"/>
        </w:rPr>
        <w:t>组织开展“书记校长访企拓岗促就业专项活动”，走访企事业单位107家，签约实习实践基地52家，拓展了毕业生就业市场，学校获批“湖南省普通高等学校毕业生就业区域性行业性常设市场”。2022届研究生就业率达93.25%，本科毕业生年终毕业去向落实率92.2%。</w:t>
      </w:r>
    </w:p>
    <w:p w:rsidR="0088429C" w:rsidRPr="00373973" w:rsidRDefault="0088429C" w:rsidP="00373973">
      <w:pPr>
        <w:adjustRightInd w:val="0"/>
        <w:snapToGrid w:val="0"/>
        <w:spacing w:line="540" w:lineRule="exact"/>
        <w:ind w:firstLine="640"/>
        <w:rPr>
          <w:sz w:val="28"/>
          <w:szCs w:val="28"/>
        </w:rPr>
      </w:pPr>
      <w:r w:rsidRPr="00373973">
        <w:rPr>
          <w:rFonts w:hint="eastAsia"/>
          <w:bCs/>
          <w:sz w:val="28"/>
          <w:szCs w:val="28"/>
        </w:rPr>
        <w:t>4.继续教育预科教育不断加强。</w:t>
      </w:r>
      <w:r w:rsidRPr="00373973">
        <w:rPr>
          <w:rFonts w:hint="eastAsia"/>
          <w:sz w:val="28"/>
          <w:szCs w:val="28"/>
        </w:rPr>
        <w:t>继续学历教育录取注册新生14562人，比上年增加4926人。强化规范办学，加强了线上教学和站点监督。预科教育以“课本剧编演大赛”等品牌活动为载体，加强课程思政，促进了各民族交流交往交融。</w:t>
      </w:r>
    </w:p>
    <w:p w:rsidR="0088429C" w:rsidRPr="00373973" w:rsidRDefault="0088429C" w:rsidP="00373973">
      <w:pPr>
        <w:spacing w:line="540" w:lineRule="exact"/>
        <w:ind w:firstLineChars="200" w:firstLine="562"/>
        <w:rPr>
          <w:rFonts w:cs="楷体"/>
          <w:b/>
          <w:sz w:val="28"/>
          <w:szCs w:val="28"/>
        </w:rPr>
      </w:pPr>
      <w:r w:rsidRPr="00373973">
        <w:rPr>
          <w:rFonts w:cs="楷体" w:hint="eastAsia"/>
          <w:b/>
          <w:sz w:val="28"/>
          <w:szCs w:val="28"/>
        </w:rPr>
        <w:t>（四）坚持加强内涵建设，“双一流”建设取得新成绩</w:t>
      </w:r>
    </w:p>
    <w:p w:rsidR="0088429C" w:rsidRPr="00373973" w:rsidRDefault="0088429C" w:rsidP="00373973">
      <w:pPr>
        <w:adjustRightInd w:val="0"/>
        <w:snapToGrid w:val="0"/>
        <w:spacing w:line="540" w:lineRule="exact"/>
        <w:ind w:firstLineChars="200" w:firstLine="560"/>
        <w:rPr>
          <w:sz w:val="28"/>
          <w:szCs w:val="28"/>
        </w:rPr>
      </w:pPr>
      <w:r w:rsidRPr="00373973">
        <w:rPr>
          <w:rFonts w:hint="eastAsia"/>
          <w:bCs/>
          <w:sz w:val="28"/>
          <w:szCs w:val="28"/>
        </w:rPr>
        <w:t>1.学科建设获得重大突破。</w:t>
      </w:r>
      <w:r w:rsidRPr="00373973">
        <w:rPr>
          <w:rFonts w:hint="eastAsia"/>
          <w:sz w:val="28"/>
          <w:szCs w:val="28"/>
        </w:rPr>
        <w:t>化学学科逼近全球ESI前1%，体育学、民族学继续列为省重点建设学科。在第五轮学科评估和专业学位评估中，学校2个学科和1个专业学位点首次进入B-等级，实现B类学科零的突破，C类学科也较上一轮有所增加。研究生教育取得重要进展，1人当选为文史组学科评议组和专业教指委召集人，8人当选为学科评议组成员，首次有教材被评为省级优秀研究生教材。新增计算机科学与技术一级学科硕士点。</w:t>
      </w:r>
    </w:p>
    <w:p w:rsidR="0088429C" w:rsidRPr="00373973" w:rsidRDefault="0088429C" w:rsidP="00373973">
      <w:pPr>
        <w:adjustRightInd w:val="0"/>
        <w:snapToGrid w:val="0"/>
        <w:spacing w:line="540" w:lineRule="exact"/>
        <w:ind w:firstLineChars="200" w:firstLine="560"/>
        <w:rPr>
          <w:sz w:val="28"/>
          <w:szCs w:val="28"/>
        </w:rPr>
      </w:pPr>
      <w:r w:rsidRPr="00373973">
        <w:rPr>
          <w:rFonts w:hint="eastAsia"/>
          <w:bCs/>
          <w:sz w:val="28"/>
          <w:szCs w:val="28"/>
        </w:rPr>
        <w:lastRenderedPageBreak/>
        <w:t>2.师资支撑能力得到增强。</w:t>
      </w:r>
      <w:r w:rsidRPr="00373973">
        <w:rPr>
          <w:rFonts w:hint="eastAsia"/>
          <w:sz w:val="28"/>
          <w:szCs w:val="28"/>
        </w:rPr>
        <w:t>俊彦学者计划2.0版即将实施。严把教师选用关，全年引进教师103名，培养和引进博士教师33名，坚持对新引进博士开展政治审查、档案审核、心理检测、学术成果查验，新引进博士综合素质显著提高。新增教授10名、副教授21名、讲师28名。获省级研究生教育优秀团队4个，6名教师被评为省级优秀导师。多措并举充实思政课教师队伍，思政课教师总量达到基本要求。加强师德师风教育，开展“十佳青年教工”“十佳师德先进个人”评选，外国语学院郭建飞老师获评全省教育系统“芙蓉百岗明星”。</w:t>
      </w:r>
    </w:p>
    <w:p w:rsidR="0088429C" w:rsidRPr="00373973" w:rsidRDefault="0088429C" w:rsidP="00373973">
      <w:pPr>
        <w:adjustRightInd w:val="0"/>
        <w:snapToGrid w:val="0"/>
        <w:spacing w:line="540" w:lineRule="exact"/>
        <w:ind w:firstLine="640"/>
        <w:rPr>
          <w:sz w:val="28"/>
          <w:szCs w:val="28"/>
        </w:rPr>
      </w:pPr>
      <w:r w:rsidRPr="00373973">
        <w:rPr>
          <w:rFonts w:hint="eastAsia"/>
          <w:bCs/>
          <w:sz w:val="28"/>
          <w:szCs w:val="28"/>
        </w:rPr>
        <w:t>3.科学研究取得新成果。</w:t>
      </w:r>
      <w:r w:rsidRPr="00373973">
        <w:rPr>
          <w:rFonts w:hint="eastAsia"/>
          <w:sz w:val="28"/>
          <w:szCs w:val="28"/>
        </w:rPr>
        <w:t>获湖南省科技进步奖二等奖2项、自然科学三等奖1项、第十五届湖南省优秀社科成果奖4项；获国家自科、社科基金项目26项，教育部项目4项，国家社科基金立项数列位全省高校前6名。获省社科智库重大委托项目3项。教师发表SCI论文157篇，CSSCI论文57篇，SSCI论文9篇，CSCD论文49篇。授权各类专利74件，其中发明专利17件，在“湖南省知识产权综合服务信息平台”开放许可专利53件。学校入选首批湖南省高等学校科技成果转化和技术转移基地，首批签约加盟湖南省高校知识产权运营联盟。</w:t>
      </w:r>
    </w:p>
    <w:p w:rsidR="0088429C" w:rsidRPr="00373973" w:rsidRDefault="0088429C" w:rsidP="00373973">
      <w:pPr>
        <w:spacing w:line="540" w:lineRule="exact"/>
        <w:ind w:firstLineChars="200" w:firstLine="562"/>
        <w:rPr>
          <w:b/>
          <w:sz w:val="28"/>
          <w:szCs w:val="28"/>
          <w:highlight w:val="yellow"/>
        </w:rPr>
      </w:pPr>
      <w:r w:rsidRPr="00373973">
        <w:rPr>
          <w:rFonts w:cs="楷体" w:hint="eastAsia"/>
          <w:b/>
          <w:sz w:val="28"/>
          <w:szCs w:val="28"/>
        </w:rPr>
        <w:t>（五）坚持整体规划提质升级，办学能力稳步提升</w:t>
      </w:r>
    </w:p>
    <w:p w:rsidR="0088429C" w:rsidRPr="00373973" w:rsidRDefault="0088429C" w:rsidP="00373973">
      <w:pPr>
        <w:spacing w:line="540" w:lineRule="exact"/>
        <w:ind w:firstLineChars="200" w:firstLine="560"/>
        <w:rPr>
          <w:sz w:val="28"/>
          <w:szCs w:val="28"/>
        </w:rPr>
      </w:pPr>
      <w:r w:rsidRPr="00373973">
        <w:rPr>
          <w:rFonts w:hint="eastAsia"/>
          <w:bCs/>
          <w:sz w:val="28"/>
          <w:szCs w:val="28"/>
        </w:rPr>
        <w:t>1.办学空间拓展迎来历史机遇。</w:t>
      </w:r>
      <w:r w:rsidRPr="00373973">
        <w:rPr>
          <w:rFonts w:hint="eastAsia"/>
          <w:sz w:val="28"/>
          <w:szCs w:val="28"/>
        </w:rPr>
        <w:t>根据学校事业高质量发展需要，研究制定《吉首大学“十四五”事业发展总体规划》，明确了建设现代化新吉大的总体目标以及学校发展定位。大力推动提升空间承载力等8种办学能力。经积极谋划、反复沟通，州委州政府支持吉首大学师范学院整体实质性融入吉首大学，支持吉首大学拓展办学空间、加快双一流建设，州政府同意无偿划拨吉大师院旁的州农校地块和大田湾校区旁的市幼专老校区地块给吉首大学，并修建跨峒河大桥连通几个地块，形成可</w:t>
      </w:r>
      <w:r w:rsidRPr="00373973">
        <w:rPr>
          <w:rFonts w:hint="eastAsia"/>
          <w:sz w:val="28"/>
          <w:szCs w:val="28"/>
        </w:rPr>
        <w:lastRenderedPageBreak/>
        <w:t>容纳13000名学生的吉首大学北校区。目前州校双方已签署战略合作框架协议，困扰学校多年的办学空间问题可望彻底解决。</w:t>
      </w:r>
    </w:p>
    <w:p w:rsidR="0088429C" w:rsidRPr="00373973" w:rsidRDefault="0088429C" w:rsidP="00373973">
      <w:pPr>
        <w:spacing w:line="540" w:lineRule="exact"/>
        <w:ind w:firstLineChars="200" w:firstLine="560"/>
        <w:rPr>
          <w:sz w:val="28"/>
          <w:szCs w:val="28"/>
        </w:rPr>
      </w:pPr>
      <w:r w:rsidRPr="00373973">
        <w:rPr>
          <w:rFonts w:hint="eastAsia"/>
          <w:bCs/>
          <w:sz w:val="28"/>
          <w:szCs w:val="28"/>
        </w:rPr>
        <w:t>2.办学基础条件显著改善。</w:t>
      </w:r>
      <w:r w:rsidRPr="00373973">
        <w:rPr>
          <w:rFonts w:hint="eastAsia"/>
          <w:sz w:val="28"/>
          <w:szCs w:val="28"/>
        </w:rPr>
        <w:t>加强水电基础设施建设，完成校内一二级供水管网改造和水电计量设备换代、陈旧管网线路改造。争取吉首市支持建成大田湾校区跨校区天桥。完成砂子坳校区图书馆加固和15#栋学生公寓一、二期主体结构工程及部分附属工程，完成张家界校区综合实训楼和11#栋学生公寓连接道路建设，砂子坳校区15#栋学生公寓预计2023年可投入使用。</w:t>
      </w:r>
    </w:p>
    <w:p w:rsidR="0088429C" w:rsidRPr="00373973" w:rsidRDefault="0088429C" w:rsidP="00373973">
      <w:pPr>
        <w:spacing w:line="540" w:lineRule="exact"/>
        <w:ind w:firstLineChars="200" w:firstLine="560"/>
        <w:rPr>
          <w:sz w:val="28"/>
          <w:szCs w:val="28"/>
        </w:rPr>
      </w:pPr>
      <w:r w:rsidRPr="00373973">
        <w:rPr>
          <w:rFonts w:hint="eastAsia"/>
          <w:bCs/>
          <w:sz w:val="28"/>
          <w:szCs w:val="28"/>
        </w:rPr>
        <w:t>3.实验教学条件逐步提高。</w:t>
      </w:r>
      <w:r w:rsidRPr="00373973">
        <w:rPr>
          <w:rFonts w:hint="eastAsia"/>
          <w:sz w:val="28"/>
          <w:szCs w:val="28"/>
        </w:rPr>
        <w:t>投入2290万元，建成了药学类专业实验中心等6个实验室。投入420万元，立项提质非线性编辑实验室和教师技能发展中心。争取州政府支持120万元、学校配套40万元，购买大型仪器-液质联用仪。</w:t>
      </w:r>
    </w:p>
    <w:p w:rsidR="0088429C" w:rsidRPr="00373973" w:rsidRDefault="0088429C" w:rsidP="00373973">
      <w:pPr>
        <w:spacing w:line="540" w:lineRule="exact"/>
        <w:ind w:firstLine="640"/>
        <w:rPr>
          <w:rFonts w:cs="楷体"/>
          <w:b/>
          <w:sz w:val="28"/>
          <w:szCs w:val="28"/>
        </w:rPr>
      </w:pPr>
      <w:r w:rsidRPr="00373973">
        <w:rPr>
          <w:rFonts w:cs="楷体" w:hint="eastAsia"/>
          <w:b/>
          <w:sz w:val="28"/>
          <w:szCs w:val="28"/>
        </w:rPr>
        <w:t>（六）坚持服务地方发展，社会影响力显著扩大</w:t>
      </w:r>
    </w:p>
    <w:p w:rsidR="0088429C" w:rsidRPr="00373973" w:rsidRDefault="0088429C" w:rsidP="00373973">
      <w:pPr>
        <w:spacing w:line="540" w:lineRule="exact"/>
        <w:ind w:firstLineChars="200" w:firstLine="560"/>
        <w:rPr>
          <w:sz w:val="28"/>
          <w:szCs w:val="28"/>
        </w:rPr>
      </w:pPr>
      <w:r w:rsidRPr="00373973">
        <w:rPr>
          <w:rFonts w:hint="eastAsia"/>
          <w:bCs/>
          <w:sz w:val="28"/>
          <w:szCs w:val="28"/>
        </w:rPr>
        <w:t>1.全面加强校地合作。</w:t>
      </w:r>
      <w:r w:rsidRPr="00373973">
        <w:rPr>
          <w:rFonts w:hint="eastAsia"/>
          <w:sz w:val="28"/>
          <w:szCs w:val="28"/>
        </w:rPr>
        <w:t>与湘西州政府、湘西州高新区、吉首市、张家界市、酒鬼酒公司等地方政府和企业签订战略合作协议和产学研合作协议，推动解决大湘西地区支柱产业发展中“卡脖子”的关键技术问题，与湘西州政府共同筹建白酒产业、绿色矿业、信息产业、生物制药4个产业技术创新联盟，与吉首市合作共建直属型三甲附属医院、附属学校，与酒鬼酒公司合作开展白酒酿造专业建设和科技研发。</w:t>
      </w:r>
    </w:p>
    <w:p w:rsidR="0088429C" w:rsidRPr="00373973" w:rsidRDefault="0088429C" w:rsidP="00373973">
      <w:pPr>
        <w:spacing w:line="540" w:lineRule="exact"/>
        <w:ind w:firstLineChars="200" w:firstLine="560"/>
        <w:rPr>
          <w:bCs/>
          <w:sz w:val="28"/>
          <w:szCs w:val="28"/>
        </w:rPr>
      </w:pPr>
      <w:r w:rsidRPr="00373973">
        <w:rPr>
          <w:rFonts w:hint="eastAsia"/>
          <w:bCs/>
          <w:sz w:val="28"/>
          <w:szCs w:val="28"/>
        </w:rPr>
        <w:t>2.主动服务乡村振兴。积极推动省级研究平台“湖南省乡村振兴战略研究中心”建设。派出科技特派员、三区人才55人赴怀化市、张家界市、湘西州多个乡镇进行科技帮扶，优选一支教授带队的3人工作组入驻永顺县五官村开展驻村帮扶，组织编制五官村“产业发展规划”，深入开展结对帮扶和结对联系，圆满完成消费帮扶任务，受到省教育厅</w:t>
      </w:r>
      <w:r w:rsidRPr="00373973">
        <w:rPr>
          <w:rFonts w:hint="eastAsia"/>
          <w:bCs/>
          <w:sz w:val="28"/>
          <w:szCs w:val="28"/>
        </w:rPr>
        <w:lastRenderedPageBreak/>
        <w:t>通报表扬。湘西州委州政府、保靖县委县政府致信感谢学校对地方发展和乡村振兴做出的贡献。坚持服务社会，学校西部办被国家西部志愿者项目办连续8年评为优秀项目办。</w:t>
      </w:r>
    </w:p>
    <w:p w:rsidR="0088429C" w:rsidRPr="00373973" w:rsidRDefault="0088429C" w:rsidP="00373973">
      <w:pPr>
        <w:spacing w:line="540" w:lineRule="exact"/>
        <w:ind w:firstLineChars="200" w:firstLine="560"/>
        <w:rPr>
          <w:sz w:val="28"/>
          <w:szCs w:val="28"/>
        </w:rPr>
      </w:pPr>
      <w:r w:rsidRPr="00373973">
        <w:rPr>
          <w:rFonts w:hint="eastAsia"/>
          <w:bCs/>
          <w:sz w:val="28"/>
          <w:szCs w:val="28"/>
        </w:rPr>
        <w:t>3.积极推进成果转化。</w:t>
      </w:r>
      <w:r w:rsidRPr="00373973">
        <w:rPr>
          <w:rFonts w:hint="eastAsia"/>
          <w:sz w:val="28"/>
          <w:szCs w:val="28"/>
        </w:rPr>
        <w:t>学校全年授权各类专利74件，其中发明专利17件，在“湖南省知识产权综合服务信息平台”开放许可专利53件。截止2022年6月，学校在国家知识产权局登记生效的专利权转让数位居全国高校第66位、湖南高校第二位，仅居中南大学之后。学校入选首批湖南省高等学校科技成果转化和技术转移基地，首批签约加盟湖南省高校知识产权运营联盟。</w:t>
      </w:r>
    </w:p>
    <w:p w:rsidR="0088429C" w:rsidRPr="00373973" w:rsidRDefault="0088429C" w:rsidP="00373973">
      <w:pPr>
        <w:spacing w:line="540" w:lineRule="exact"/>
        <w:ind w:firstLine="641"/>
        <w:rPr>
          <w:rFonts w:ascii="黑体" w:eastAsia="黑体" w:hAnsi="黑体"/>
          <w:sz w:val="32"/>
          <w:szCs w:val="32"/>
        </w:rPr>
      </w:pPr>
      <w:r w:rsidRPr="00373973">
        <w:rPr>
          <w:rFonts w:ascii="黑体" w:eastAsia="黑体" w:hAnsi="黑体" w:hint="eastAsia"/>
          <w:sz w:val="32"/>
          <w:szCs w:val="32"/>
        </w:rPr>
        <w:t>七、存在的问题及原因分析</w:t>
      </w:r>
    </w:p>
    <w:p w:rsidR="0088429C" w:rsidRPr="00373973" w:rsidRDefault="0088429C" w:rsidP="00373973">
      <w:pPr>
        <w:spacing w:line="540" w:lineRule="exact"/>
        <w:ind w:firstLine="641"/>
        <w:rPr>
          <w:b/>
          <w:bCs/>
          <w:sz w:val="28"/>
          <w:szCs w:val="28"/>
        </w:rPr>
      </w:pPr>
      <w:r w:rsidRPr="00373973">
        <w:rPr>
          <w:rFonts w:cs="楷体" w:hint="eastAsia"/>
          <w:b/>
          <w:bCs/>
          <w:sz w:val="28"/>
          <w:szCs w:val="28"/>
        </w:rPr>
        <w:t>（一）绩效评价管理理念有待深入</w:t>
      </w:r>
    </w:p>
    <w:p w:rsidR="0088429C" w:rsidRPr="00373973" w:rsidRDefault="0088429C" w:rsidP="00373973">
      <w:pPr>
        <w:spacing w:line="540" w:lineRule="exact"/>
        <w:ind w:firstLine="641"/>
        <w:rPr>
          <w:sz w:val="28"/>
          <w:szCs w:val="28"/>
        </w:rPr>
      </w:pPr>
      <w:r w:rsidRPr="00373973">
        <w:rPr>
          <w:rFonts w:hint="eastAsia"/>
          <w:sz w:val="28"/>
          <w:szCs w:val="28"/>
        </w:rPr>
        <w:t>个别经费执行部门对绩效评价管理理念的理解不强，个别项目更重视过程而不是结果，容易陷入过程导向。</w:t>
      </w:r>
    </w:p>
    <w:p w:rsidR="0088429C" w:rsidRPr="00373973" w:rsidRDefault="0088429C" w:rsidP="00373973">
      <w:pPr>
        <w:spacing w:line="540" w:lineRule="exact"/>
        <w:ind w:firstLine="641"/>
        <w:rPr>
          <w:rFonts w:cs="楷体"/>
          <w:sz w:val="28"/>
          <w:szCs w:val="28"/>
        </w:rPr>
      </w:pPr>
      <w:r w:rsidRPr="00373973">
        <w:rPr>
          <w:rFonts w:cs="楷体" w:hint="eastAsia"/>
          <w:b/>
          <w:bCs/>
          <w:sz w:val="28"/>
          <w:szCs w:val="28"/>
        </w:rPr>
        <w:t>（二）个别项目经费的预算绩效目标还不明晰</w:t>
      </w:r>
    </w:p>
    <w:p w:rsidR="0088429C" w:rsidRPr="00373973" w:rsidRDefault="0088429C" w:rsidP="00373973">
      <w:pPr>
        <w:spacing w:line="540" w:lineRule="exact"/>
        <w:ind w:firstLine="641"/>
        <w:rPr>
          <w:sz w:val="28"/>
          <w:szCs w:val="28"/>
        </w:rPr>
      </w:pPr>
      <w:r w:rsidRPr="00373973">
        <w:rPr>
          <w:rFonts w:hint="eastAsia"/>
          <w:sz w:val="28"/>
          <w:szCs w:val="28"/>
        </w:rPr>
        <w:t>个别项目执行单位在绩效目标编制过程中还存在部分指标不够完整，绩效考核指标设置过于宽泛，缺乏定量的评价指标，影响了评价结论的科学性。</w:t>
      </w:r>
    </w:p>
    <w:p w:rsidR="0088429C" w:rsidRPr="00373973" w:rsidRDefault="0088429C" w:rsidP="00373973">
      <w:pPr>
        <w:spacing w:line="540" w:lineRule="exact"/>
        <w:ind w:firstLine="641"/>
        <w:rPr>
          <w:rFonts w:cs="楷体"/>
          <w:b/>
          <w:bCs/>
          <w:sz w:val="28"/>
          <w:szCs w:val="28"/>
        </w:rPr>
      </w:pPr>
      <w:r w:rsidRPr="00373973">
        <w:rPr>
          <w:rFonts w:cs="楷体" w:hint="eastAsia"/>
          <w:b/>
          <w:bCs/>
          <w:sz w:val="28"/>
          <w:szCs w:val="28"/>
        </w:rPr>
        <w:t>（三）个别项目经费的预算执行有待加强</w:t>
      </w:r>
    </w:p>
    <w:p w:rsidR="0088429C" w:rsidRPr="00373973" w:rsidRDefault="0088429C" w:rsidP="00373973">
      <w:pPr>
        <w:spacing w:line="540" w:lineRule="exact"/>
        <w:ind w:firstLine="641"/>
        <w:rPr>
          <w:sz w:val="28"/>
          <w:szCs w:val="28"/>
        </w:rPr>
      </w:pPr>
      <w:r w:rsidRPr="00373973">
        <w:rPr>
          <w:rFonts w:hint="eastAsia"/>
          <w:sz w:val="28"/>
          <w:szCs w:val="28"/>
        </w:rPr>
        <w:t>个别专项经费的预算执行情况较缓慢，绩效完成情况与绩效目标还存在一定的差距。主要原因一方面是疫情影响，另一方面是个别项目的前期推进工作相对滞后。</w:t>
      </w:r>
    </w:p>
    <w:p w:rsidR="0088429C" w:rsidRPr="00373973" w:rsidRDefault="0088429C" w:rsidP="00373973">
      <w:pPr>
        <w:spacing w:line="540" w:lineRule="exact"/>
        <w:ind w:firstLine="641"/>
        <w:rPr>
          <w:rFonts w:ascii="黑体" w:eastAsia="黑体" w:hAnsi="黑体"/>
          <w:sz w:val="32"/>
          <w:szCs w:val="32"/>
        </w:rPr>
      </w:pPr>
      <w:r w:rsidRPr="00373973">
        <w:rPr>
          <w:rFonts w:ascii="黑体" w:eastAsia="黑体" w:hAnsi="黑体"/>
          <w:sz w:val="32"/>
          <w:szCs w:val="32"/>
        </w:rPr>
        <w:t>八、下一步改进措施</w:t>
      </w:r>
    </w:p>
    <w:p w:rsidR="0088429C" w:rsidRPr="00373973" w:rsidRDefault="0088429C" w:rsidP="00373973">
      <w:pPr>
        <w:spacing w:line="540" w:lineRule="exact"/>
        <w:ind w:firstLine="641"/>
        <w:rPr>
          <w:rFonts w:cs="楷体"/>
          <w:b/>
          <w:bCs/>
          <w:sz w:val="28"/>
          <w:szCs w:val="28"/>
        </w:rPr>
      </w:pPr>
      <w:r w:rsidRPr="00373973">
        <w:rPr>
          <w:rFonts w:cs="楷体" w:hint="eastAsia"/>
          <w:b/>
          <w:bCs/>
          <w:sz w:val="28"/>
          <w:szCs w:val="28"/>
        </w:rPr>
        <w:t>（一）强化预算绩效评价管理理念的深入</w:t>
      </w:r>
    </w:p>
    <w:p w:rsidR="0088429C" w:rsidRPr="00373973" w:rsidRDefault="0088429C" w:rsidP="00373973">
      <w:pPr>
        <w:spacing w:line="540" w:lineRule="exact"/>
        <w:ind w:firstLine="641"/>
        <w:rPr>
          <w:sz w:val="28"/>
          <w:szCs w:val="28"/>
        </w:rPr>
      </w:pPr>
      <w:r w:rsidRPr="00373973">
        <w:rPr>
          <w:rFonts w:hint="eastAsia"/>
          <w:sz w:val="28"/>
          <w:szCs w:val="28"/>
        </w:rPr>
        <w:lastRenderedPageBreak/>
        <w:t>不论是从顶层设计层面，还是从项目执行层面，各个层面的参与执行人员对预算绩效评价的理解深度需要进一步加强，从而优化预算执行过程的经济效率和预算绩效目标的执行效率。</w:t>
      </w:r>
    </w:p>
    <w:p w:rsidR="0088429C" w:rsidRPr="00373973" w:rsidRDefault="0088429C" w:rsidP="00373973">
      <w:pPr>
        <w:spacing w:line="540" w:lineRule="exact"/>
        <w:ind w:firstLine="641"/>
        <w:rPr>
          <w:rFonts w:cs="楷体"/>
          <w:sz w:val="28"/>
          <w:szCs w:val="28"/>
        </w:rPr>
      </w:pPr>
      <w:r w:rsidRPr="00373973">
        <w:rPr>
          <w:rFonts w:cs="楷体" w:hint="eastAsia"/>
          <w:b/>
          <w:bCs/>
          <w:sz w:val="28"/>
          <w:szCs w:val="28"/>
        </w:rPr>
        <w:t>（二）强化预算申报的绩效目标编制</w:t>
      </w:r>
    </w:p>
    <w:p w:rsidR="0088429C" w:rsidRPr="00373973" w:rsidRDefault="0088429C" w:rsidP="00373973">
      <w:pPr>
        <w:spacing w:line="540" w:lineRule="exact"/>
        <w:ind w:firstLine="641"/>
        <w:rPr>
          <w:sz w:val="28"/>
          <w:szCs w:val="28"/>
        </w:rPr>
      </w:pPr>
      <w:r w:rsidRPr="00373973">
        <w:rPr>
          <w:rFonts w:hint="eastAsia"/>
          <w:sz w:val="28"/>
          <w:szCs w:val="28"/>
        </w:rPr>
        <w:t>加强对绩效目标编制的科学性分析，尽量将单个项目的绩效目标考核指标化繁为简，提升考核指标的实操性和有用性。</w:t>
      </w:r>
    </w:p>
    <w:p w:rsidR="0088429C" w:rsidRPr="00373973" w:rsidRDefault="0088429C" w:rsidP="00373973">
      <w:pPr>
        <w:spacing w:line="540" w:lineRule="exact"/>
        <w:ind w:firstLine="641"/>
        <w:rPr>
          <w:rFonts w:cs="楷体"/>
          <w:b/>
          <w:bCs/>
          <w:sz w:val="28"/>
          <w:szCs w:val="28"/>
        </w:rPr>
      </w:pPr>
      <w:r w:rsidRPr="00373973">
        <w:rPr>
          <w:rFonts w:cs="楷体" w:hint="eastAsia"/>
          <w:b/>
          <w:bCs/>
          <w:sz w:val="28"/>
          <w:szCs w:val="28"/>
        </w:rPr>
        <w:t>（三）强化预算绩效评价</w:t>
      </w:r>
    </w:p>
    <w:p w:rsidR="0088429C" w:rsidRPr="00373973" w:rsidRDefault="0088429C" w:rsidP="00373973">
      <w:pPr>
        <w:spacing w:line="540" w:lineRule="exact"/>
        <w:ind w:firstLine="641"/>
        <w:rPr>
          <w:sz w:val="28"/>
          <w:szCs w:val="28"/>
        </w:rPr>
      </w:pPr>
      <w:r w:rsidRPr="00373973">
        <w:rPr>
          <w:rFonts w:hint="eastAsia"/>
          <w:sz w:val="28"/>
          <w:szCs w:val="28"/>
        </w:rPr>
        <w:t>加强年度资金执行绩效考评，在对预算执行较差及绩效目标不明显的项目在一定范围内通报。同时提炼共性内容，共享评价成果，形成综合的考评工作机制，减少重复工作投入，提升工作效能，切实达到以评促建的效果。</w:t>
      </w:r>
    </w:p>
    <w:p w:rsidR="0088429C" w:rsidRPr="00373973" w:rsidRDefault="0088429C" w:rsidP="00373973">
      <w:pPr>
        <w:spacing w:line="540" w:lineRule="exact"/>
        <w:ind w:firstLine="640"/>
        <w:rPr>
          <w:rFonts w:cs="楷体"/>
          <w:b/>
          <w:bCs/>
          <w:sz w:val="28"/>
          <w:szCs w:val="28"/>
        </w:rPr>
      </w:pPr>
      <w:r w:rsidRPr="00373973">
        <w:rPr>
          <w:rFonts w:cs="楷体" w:hint="eastAsia"/>
          <w:b/>
          <w:bCs/>
          <w:sz w:val="28"/>
          <w:szCs w:val="28"/>
        </w:rPr>
        <w:t>（四）实行项目进度动态管理</w:t>
      </w:r>
    </w:p>
    <w:p w:rsidR="00B87C8A" w:rsidRPr="00373973" w:rsidRDefault="0088429C" w:rsidP="00373973">
      <w:pPr>
        <w:spacing w:line="540" w:lineRule="exact"/>
        <w:ind w:firstLine="640"/>
        <w:rPr>
          <w:sz w:val="28"/>
          <w:szCs w:val="28"/>
        </w:rPr>
      </w:pPr>
      <w:r w:rsidRPr="00373973">
        <w:rPr>
          <w:rFonts w:hint="eastAsia"/>
          <w:sz w:val="28"/>
          <w:szCs w:val="28"/>
        </w:rPr>
        <w:t>督促项目实施单位早启动、早实施、早验收，对符合条件的项目按照项目进度支付相关款项，将预算资金管理贯穿于项目实施全过程中。</w:t>
      </w:r>
    </w:p>
    <w:sectPr w:rsidR="00B87C8A" w:rsidRPr="00373973" w:rsidSect="00B87C8A">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3DA5" w:rsidRDefault="00983DA5" w:rsidP="002D1C8A">
      <w:r>
        <w:separator/>
      </w:r>
    </w:p>
  </w:endnote>
  <w:endnote w:type="continuationSeparator" w:id="1">
    <w:p w:rsidR="00983DA5" w:rsidRDefault="00983DA5" w:rsidP="002D1C8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3DA5" w:rsidRDefault="00983DA5" w:rsidP="002D1C8A">
      <w:r>
        <w:separator/>
      </w:r>
    </w:p>
  </w:footnote>
  <w:footnote w:type="continuationSeparator" w:id="1">
    <w:p w:rsidR="00983DA5" w:rsidRDefault="00983DA5" w:rsidP="002D1C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E0002F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72268056"/>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8D822FFE"/>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3C12EFDC"/>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6532903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824C3D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445C01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B836953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3AE6071C"/>
    <w:lvl w:ilvl="0">
      <w:start w:val="1"/>
      <w:numFmt w:val="decimal"/>
      <w:lvlText w:val="%1."/>
      <w:lvlJc w:val="left"/>
      <w:pPr>
        <w:tabs>
          <w:tab w:val="num" w:pos="360"/>
        </w:tabs>
        <w:ind w:left="360" w:hangingChars="200" w:hanging="360"/>
      </w:pPr>
    </w:lvl>
  </w:abstractNum>
  <w:abstractNum w:abstractNumId="9">
    <w:nsid w:val="FFFFFF89"/>
    <w:multiLevelType w:val="singleLevel"/>
    <w:tmpl w:val="252EB22C"/>
    <w:lvl w:ilvl="0">
      <w:start w:val="1"/>
      <w:numFmt w:val="bullet"/>
      <w:lvlText w:val=""/>
      <w:lvlJc w:val="left"/>
      <w:pPr>
        <w:tabs>
          <w:tab w:val="num" w:pos="360"/>
        </w:tabs>
        <w:ind w:left="360" w:hangingChars="20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720"/>
  <w:drawingGridHorizontalSpacing w:val="120"/>
  <w:drawingGridVerticalSpacing w:val="120"/>
  <w:doNotUseMarginsForDrawingGridOrigin/>
  <w:doNotShadeFormData/>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jVlMjViYmUxNzJiNTAzNzhhYWU1OTMyYWE3NmUxYjAifQ=="/>
  </w:docVars>
  <w:rsids>
    <w:rsidRoot w:val="00172A27"/>
    <w:rsid w:val="00024FAA"/>
    <w:rsid w:val="000300E3"/>
    <w:rsid w:val="00033EDD"/>
    <w:rsid w:val="000921DA"/>
    <w:rsid w:val="000E29D8"/>
    <w:rsid w:val="000E7F01"/>
    <w:rsid w:val="00112218"/>
    <w:rsid w:val="00143480"/>
    <w:rsid w:val="0016767A"/>
    <w:rsid w:val="00170AEE"/>
    <w:rsid w:val="00172A27"/>
    <w:rsid w:val="001E63C1"/>
    <w:rsid w:val="001F69B0"/>
    <w:rsid w:val="00211047"/>
    <w:rsid w:val="00212030"/>
    <w:rsid w:val="0024617C"/>
    <w:rsid w:val="002644E6"/>
    <w:rsid w:val="00267689"/>
    <w:rsid w:val="002D1C8A"/>
    <w:rsid w:val="002D625C"/>
    <w:rsid w:val="003009D3"/>
    <w:rsid w:val="00317683"/>
    <w:rsid w:val="00331910"/>
    <w:rsid w:val="00373973"/>
    <w:rsid w:val="003F084F"/>
    <w:rsid w:val="003F0F38"/>
    <w:rsid w:val="003F4204"/>
    <w:rsid w:val="00461BB2"/>
    <w:rsid w:val="00483D14"/>
    <w:rsid w:val="004A4DC4"/>
    <w:rsid w:val="004A7B8B"/>
    <w:rsid w:val="004B40B1"/>
    <w:rsid w:val="0052056A"/>
    <w:rsid w:val="00556574"/>
    <w:rsid w:val="005832F9"/>
    <w:rsid w:val="00591AB9"/>
    <w:rsid w:val="00592C87"/>
    <w:rsid w:val="005D72A6"/>
    <w:rsid w:val="005F4577"/>
    <w:rsid w:val="00612DDE"/>
    <w:rsid w:val="006417C5"/>
    <w:rsid w:val="00657CA8"/>
    <w:rsid w:val="00732EF2"/>
    <w:rsid w:val="0074118E"/>
    <w:rsid w:val="0074685C"/>
    <w:rsid w:val="007479CE"/>
    <w:rsid w:val="00793FA0"/>
    <w:rsid w:val="007A2648"/>
    <w:rsid w:val="007A4732"/>
    <w:rsid w:val="007C525E"/>
    <w:rsid w:val="007F7A26"/>
    <w:rsid w:val="00803058"/>
    <w:rsid w:val="00834D32"/>
    <w:rsid w:val="00840306"/>
    <w:rsid w:val="0084256A"/>
    <w:rsid w:val="008741C5"/>
    <w:rsid w:val="0087692E"/>
    <w:rsid w:val="0088429C"/>
    <w:rsid w:val="008A44E9"/>
    <w:rsid w:val="008C38E4"/>
    <w:rsid w:val="008D1106"/>
    <w:rsid w:val="008F7D05"/>
    <w:rsid w:val="00906FDB"/>
    <w:rsid w:val="00930D56"/>
    <w:rsid w:val="00931FE7"/>
    <w:rsid w:val="0094525D"/>
    <w:rsid w:val="00980C36"/>
    <w:rsid w:val="00983DA5"/>
    <w:rsid w:val="009B5C86"/>
    <w:rsid w:val="009D261B"/>
    <w:rsid w:val="009F2B1E"/>
    <w:rsid w:val="00A1397F"/>
    <w:rsid w:val="00A43A12"/>
    <w:rsid w:val="00A4578A"/>
    <w:rsid w:val="00A462A7"/>
    <w:rsid w:val="00A8447A"/>
    <w:rsid w:val="00A85AF5"/>
    <w:rsid w:val="00AB139F"/>
    <w:rsid w:val="00AB6648"/>
    <w:rsid w:val="00AD21AA"/>
    <w:rsid w:val="00AD474E"/>
    <w:rsid w:val="00AD5EDE"/>
    <w:rsid w:val="00AF481F"/>
    <w:rsid w:val="00B130A7"/>
    <w:rsid w:val="00B237E9"/>
    <w:rsid w:val="00B35A8F"/>
    <w:rsid w:val="00B6107F"/>
    <w:rsid w:val="00B63611"/>
    <w:rsid w:val="00B87C8A"/>
    <w:rsid w:val="00BA29D2"/>
    <w:rsid w:val="00BA356D"/>
    <w:rsid w:val="00BB7447"/>
    <w:rsid w:val="00BC7FC7"/>
    <w:rsid w:val="00C158FE"/>
    <w:rsid w:val="00C379C8"/>
    <w:rsid w:val="00C500CE"/>
    <w:rsid w:val="00C53754"/>
    <w:rsid w:val="00C62F1C"/>
    <w:rsid w:val="00C96785"/>
    <w:rsid w:val="00C96872"/>
    <w:rsid w:val="00CA5E48"/>
    <w:rsid w:val="00CC2BDC"/>
    <w:rsid w:val="00CF6605"/>
    <w:rsid w:val="00D00134"/>
    <w:rsid w:val="00D0235F"/>
    <w:rsid w:val="00D024A8"/>
    <w:rsid w:val="00D26140"/>
    <w:rsid w:val="00D2661D"/>
    <w:rsid w:val="00D472CF"/>
    <w:rsid w:val="00D660B3"/>
    <w:rsid w:val="00DC272D"/>
    <w:rsid w:val="00DE490E"/>
    <w:rsid w:val="00DF0662"/>
    <w:rsid w:val="00E1428D"/>
    <w:rsid w:val="00E5561C"/>
    <w:rsid w:val="00E764E7"/>
    <w:rsid w:val="00E94A21"/>
    <w:rsid w:val="00EA3479"/>
    <w:rsid w:val="00EA492B"/>
    <w:rsid w:val="00EC5189"/>
    <w:rsid w:val="00EC6769"/>
    <w:rsid w:val="00ED4410"/>
    <w:rsid w:val="00F06E69"/>
    <w:rsid w:val="00F3533C"/>
    <w:rsid w:val="00F40E5C"/>
    <w:rsid w:val="00F46DBB"/>
    <w:rsid w:val="00F71C32"/>
    <w:rsid w:val="00F967E8"/>
    <w:rsid w:val="00FB5458"/>
    <w:rsid w:val="00FD3E4C"/>
    <w:rsid w:val="00FD41F4"/>
    <w:rsid w:val="00FD5607"/>
    <w:rsid w:val="0C0F5B4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1" w:count="267">
    <w:lsdException w:name="Normal" w:uiPriority="0" w:unhideWhenUsed="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1" w:qFormat="0"/>
    <w:lsdException w:name="footer" w:unhideWhenUsed="1" w:qFormat="0"/>
    <w:lsdException w:name="caption" w:uiPriority="35"/>
    <w:lsdException w:name="Title" w:uiPriority="10"/>
    <w:lsdException w:name="Default Paragraph Font" w:uiPriority="1" w:unhideWhenUsed="1" w:qFormat="0"/>
    <w:lsdException w:name="Subtitle" w:uiPriority="11"/>
    <w:lsdException w:name="Date" w:unhideWhenUsed="1" w:qFormat="0"/>
    <w:lsdException w:name="Strong" w:uiPriority="22"/>
    <w:lsdException w:name="Emphasis" w:uiPriority="20"/>
    <w:lsdException w:name="HTML Top of Form" w:semiHidden="1" w:unhideWhenUsed="1" w:qFormat="0"/>
    <w:lsdException w:name="HTML Bottom of Form" w:semiHidden="1" w:unhideWhenUsed="1" w:qFormat="0"/>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Table Grid" w:uiPriority="59"/>
    <w:lsdException w:name="Placeholder Text" w:semiHidden="1" w:unhideWhenUsed="1" w:qFormat="0"/>
    <w:lsdException w:name="No Spacing" w:semiHidden="1" w:unhideWhenUsed="1"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0"/>
    <w:lsdException w:name="List Paragraph" w:uiPriority="34" w:unhideWhenUsed="1"/>
    <w:lsdException w:name="Quote" w:semiHidden="1" w:unhideWhenUsed="1" w:qFormat="0"/>
    <w:lsdException w:name="Intense Quote" w:semiHidden="1" w:unhideWhenUsed="1" w:qFormat="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atentStyles>
  <w:style w:type="paragraph" w:default="1" w:styleId="a">
    <w:name w:val="Normal"/>
    <w:qFormat/>
    <w:rsid w:val="00483D14"/>
    <w:rPr>
      <w:rFonts w:ascii="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rsid w:val="00B87C8A"/>
    <w:pPr>
      <w:ind w:leftChars="2500" w:left="100"/>
    </w:pPr>
  </w:style>
  <w:style w:type="paragraph" w:styleId="a4">
    <w:name w:val="footer"/>
    <w:basedOn w:val="a"/>
    <w:link w:val="Char0"/>
    <w:uiPriority w:val="99"/>
    <w:unhideWhenUsed/>
    <w:rsid w:val="00B87C8A"/>
    <w:pPr>
      <w:tabs>
        <w:tab w:val="center" w:pos="4153"/>
        <w:tab w:val="right" w:pos="8306"/>
      </w:tabs>
      <w:snapToGrid w:val="0"/>
    </w:pPr>
    <w:rPr>
      <w:sz w:val="18"/>
      <w:szCs w:val="18"/>
    </w:rPr>
  </w:style>
  <w:style w:type="paragraph" w:styleId="a5">
    <w:name w:val="header"/>
    <w:basedOn w:val="a"/>
    <w:link w:val="Char1"/>
    <w:uiPriority w:val="99"/>
    <w:unhideWhenUsed/>
    <w:rsid w:val="00B87C8A"/>
    <w:pPr>
      <w:pBdr>
        <w:bottom w:val="single" w:sz="6" w:space="1" w:color="auto"/>
      </w:pBdr>
      <w:tabs>
        <w:tab w:val="center" w:pos="4153"/>
        <w:tab w:val="right" w:pos="8306"/>
      </w:tabs>
      <w:snapToGrid w:val="0"/>
      <w:jc w:val="center"/>
    </w:pPr>
    <w:rPr>
      <w:sz w:val="18"/>
      <w:szCs w:val="18"/>
    </w:rPr>
  </w:style>
  <w:style w:type="paragraph" w:customStyle="1" w:styleId="Default">
    <w:name w:val="Default"/>
    <w:unhideWhenUsed/>
    <w:qFormat/>
    <w:rsid w:val="00B87C8A"/>
    <w:pPr>
      <w:widowControl w:val="0"/>
      <w:autoSpaceDE w:val="0"/>
      <w:autoSpaceDN w:val="0"/>
      <w:adjustRightInd w:val="0"/>
      <w:ind w:firstLine="641"/>
      <w:jc w:val="both"/>
    </w:pPr>
    <w:rPr>
      <w:rFonts w:ascii="黑体" w:eastAsia="黑体" w:hAnsi="Calibri" w:cs="黑体" w:hint="eastAsia"/>
      <w:color w:val="000000"/>
      <w:sz w:val="24"/>
      <w:szCs w:val="24"/>
    </w:rPr>
  </w:style>
  <w:style w:type="paragraph" w:styleId="a6">
    <w:name w:val="List Paragraph"/>
    <w:basedOn w:val="a"/>
    <w:uiPriority w:val="34"/>
    <w:unhideWhenUsed/>
    <w:qFormat/>
    <w:rsid w:val="00B87C8A"/>
    <w:pPr>
      <w:ind w:firstLineChars="200" w:firstLine="420"/>
    </w:pPr>
  </w:style>
  <w:style w:type="paragraph" w:customStyle="1" w:styleId="GB2312">
    <w:name w:val="样式 仿宋_GB2312 四号"/>
    <w:basedOn w:val="a"/>
    <w:unhideWhenUsed/>
    <w:qFormat/>
    <w:rsid w:val="00B87C8A"/>
    <w:pPr>
      <w:spacing w:line="520" w:lineRule="exact"/>
      <w:ind w:firstLineChars="200" w:firstLine="200"/>
    </w:pPr>
    <w:rPr>
      <w:rFonts w:ascii="仿宋_GB2312" w:eastAsia="仿宋_GB2312" w:hAnsi="仿宋_GB2312"/>
      <w:sz w:val="28"/>
      <w:szCs w:val="20"/>
    </w:rPr>
  </w:style>
  <w:style w:type="character" w:customStyle="1" w:styleId="Char1">
    <w:name w:val="页眉 Char"/>
    <w:basedOn w:val="a0"/>
    <w:link w:val="a5"/>
    <w:uiPriority w:val="99"/>
    <w:unhideWhenUsed/>
    <w:locked/>
    <w:rsid w:val="00B87C8A"/>
    <w:rPr>
      <w:rFonts w:cs="Times New Roman" w:hint="default"/>
      <w:sz w:val="18"/>
      <w:szCs w:val="18"/>
    </w:rPr>
  </w:style>
  <w:style w:type="character" w:customStyle="1" w:styleId="Char0">
    <w:name w:val="页脚 Char"/>
    <w:basedOn w:val="a0"/>
    <w:link w:val="a4"/>
    <w:uiPriority w:val="99"/>
    <w:unhideWhenUsed/>
    <w:locked/>
    <w:rsid w:val="00B87C8A"/>
    <w:rPr>
      <w:rFonts w:cs="Times New Roman" w:hint="default"/>
      <w:sz w:val="18"/>
      <w:szCs w:val="18"/>
    </w:rPr>
  </w:style>
  <w:style w:type="character" w:customStyle="1" w:styleId="Char">
    <w:name w:val="日期 Char"/>
    <w:basedOn w:val="a0"/>
    <w:link w:val="a3"/>
    <w:uiPriority w:val="99"/>
    <w:unhideWhenUsed/>
    <w:locked/>
    <w:rsid w:val="00B87C8A"/>
    <w:rPr>
      <w:rFonts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1" w:count="267">
    <w:lsdException w:name="Normal" w:uiPriority="0" w:unhideWhenUsed="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1" w:qFormat="0"/>
    <w:lsdException w:name="footer" w:unhideWhenUsed="1" w:qFormat="0"/>
    <w:lsdException w:name="caption" w:uiPriority="35"/>
    <w:lsdException w:name="Title" w:uiPriority="10"/>
    <w:lsdException w:name="Default Paragraph Font" w:uiPriority="1" w:unhideWhenUsed="1" w:qFormat="0"/>
    <w:lsdException w:name="Subtitle" w:uiPriority="11"/>
    <w:lsdException w:name="Date" w:unhideWhenUsed="1" w:qFormat="0"/>
    <w:lsdException w:name="Strong" w:uiPriority="22"/>
    <w:lsdException w:name="Emphasis" w:uiPriority="20"/>
    <w:lsdException w:name="HTML Top of Form" w:semiHidden="1" w:unhideWhenUsed="1" w:qFormat="0"/>
    <w:lsdException w:name="HTML Bottom of Form" w:semiHidden="1" w:unhideWhenUsed="1" w:qFormat="0"/>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Table Grid" w:uiPriority="59"/>
    <w:lsdException w:name="Placeholder Text" w:semiHidden="1" w:unhideWhenUsed="1" w:qFormat="0"/>
    <w:lsdException w:name="No Spacing" w:semiHidden="1" w:unhideWhenUsed="1"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0"/>
    <w:lsdException w:name="List Paragraph" w:uiPriority="34" w:unhideWhenUsed="1"/>
    <w:lsdException w:name="Quote" w:semiHidden="1" w:unhideWhenUsed="1" w:qFormat="0"/>
    <w:lsdException w:name="Intense Quote" w:semiHidden="1" w:unhideWhenUsed="1" w:qFormat="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atentStyles>
  <w:style w:type="paragraph" w:default="1" w:styleId="a">
    <w:name w:val="Normal"/>
    <w:qFormat/>
    <w:rsid w:val="00483D14"/>
    <w:rPr>
      <w:rFonts w:ascii="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rsid w:val="00B87C8A"/>
    <w:pPr>
      <w:ind w:leftChars="2500" w:left="100"/>
    </w:pPr>
  </w:style>
  <w:style w:type="paragraph" w:styleId="a4">
    <w:name w:val="footer"/>
    <w:basedOn w:val="a"/>
    <w:link w:val="Char0"/>
    <w:uiPriority w:val="99"/>
    <w:unhideWhenUsed/>
    <w:rsid w:val="00B87C8A"/>
    <w:pPr>
      <w:tabs>
        <w:tab w:val="center" w:pos="4153"/>
        <w:tab w:val="right" w:pos="8306"/>
      </w:tabs>
      <w:snapToGrid w:val="0"/>
    </w:pPr>
    <w:rPr>
      <w:sz w:val="18"/>
      <w:szCs w:val="18"/>
    </w:rPr>
  </w:style>
  <w:style w:type="paragraph" w:styleId="a5">
    <w:name w:val="header"/>
    <w:basedOn w:val="a"/>
    <w:link w:val="Char1"/>
    <w:uiPriority w:val="99"/>
    <w:unhideWhenUsed/>
    <w:rsid w:val="00B87C8A"/>
    <w:pPr>
      <w:pBdr>
        <w:bottom w:val="single" w:sz="6" w:space="1" w:color="auto"/>
      </w:pBdr>
      <w:tabs>
        <w:tab w:val="center" w:pos="4153"/>
        <w:tab w:val="right" w:pos="8306"/>
      </w:tabs>
      <w:snapToGrid w:val="0"/>
      <w:jc w:val="center"/>
    </w:pPr>
    <w:rPr>
      <w:sz w:val="18"/>
      <w:szCs w:val="18"/>
    </w:rPr>
  </w:style>
  <w:style w:type="paragraph" w:customStyle="1" w:styleId="Default">
    <w:name w:val="Default"/>
    <w:unhideWhenUsed/>
    <w:qFormat/>
    <w:rsid w:val="00B87C8A"/>
    <w:pPr>
      <w:widowControl w:val="0"/>
      <w:autoSpaceDE w:val="0"/>
      <w:autoSpaceDN w:val="0"/>
      <w:adjustRightInd w:val="0"/>
      <w:ind w:firstLine="641"/>
      <w:jc w:val="both"/>
    </w:pPr>
    <w:rPr>
      <w:rFonts w:ascii="黑体" w:eastAsia="黑体" w:hAnsi="Calibri" w:cs="黑体" w:hint="eastAsia"/>
      <w:color w:val="000000"/>
      <w:sz w:val="24"/>
      <w:szCs w:val="24"/>
    </w:rPr>
  </w:style>
  <w:style w:type="paragraph" w:styleId="a6">
    <w:name w:val="List Paragraph"/>
    <w:basedOn w:val="a"/>
    <w:uiPriority w:val="34"/>
    <w:unhideWhenUsed/>
    <w:qFormat/>
    <w:rsid w:val="00B87C8A"/>
    <w:pPr>
      <w:ind w:firstLineChars="200" w:firstLine="420"/>
    </w:pPr>
  </w:style>
  <w:style w:type="paragraph" w:customStyle="1" w:styleId="GB2312">
    <w:name w:val="样式 仿宋_GB2312 四号"/>
    <w:basedOn w:val="a"/>
    <w:unhideWhenUsed/>
    <w:qFormat/>
    <w:rsid w:val="00B87C8A"/>
    <w:pPr>
      <w:spacing w:line="520" w:lineRule="exact"/>
      <w:ind w:firstLineChars="200" w:firstLine="200"/>
    </w:pPr>
    <w:rPr>
      <w:rFonts w:ascii="仿宋_GB2312" w:eastAsia="仿宋_GB2312" w:hAnsi="仿宋_GB2312"/>
      <w:sz w:val="28"/>
      <w:szCs w:val="20"/>
    </w:rPr>
  </w:style>
  <w:style w:type="character" w:customStyle="1" w:styleId="Char1">
    <w:name w:val="页眉 Char"/>
    <w:basedOn w:val="a0"/>
    <w:link w:val="a5"/>
    <w:uiPriority w:val="99"/>
    <w:unhideWhenUsed/>
    <w:locked/>
    <w:rsid w:val="00B87C8A"/>
    <w:rPr>
      <w:rFonts w:cs="Times New Roman" w:hint="default"/>
      <w:sz w:val="18"/>
      <w:szCs w:val="18"/>
    </w:rPr>
  </w:style>
  <w:style w:type="character" w:customStyle="1" w:styleId="Char0">
    <w:name w:val="页脚 Char"/>
    <w:basedOn w:val="a0"/>
    <w:link w:val="a4"/>
    <w:uiPriority w:val="99"/>
    <w:unhideWhenUsed/>
    <w:locked/>
    <w:rsid w:val="00B87C8A"/>
    <w:rPr>
      <w:rFonts w:cs="Times New Roman" w:hint="default"/>
      <w:sz w:val="18"/>
      <w:szCs w:val="18"/>
    </w:rPr>
  </w:style>
  <w:style w:type="character" w:customStyle="1" w:styleId="Char">
    <w:name w:val="日期 Char"/>
    <w:basedOn w:val="a0"/>
    <w:link w:val="a3"/>
    <w:uiPriority w:val="99"/>
    <w:unhideWhenUsed/>
    <w:locked/>
    <w:rsid w:val="00B87C8A"/>
    <w:rPr>
      <w:rFonts w:cs="Times New Roman" w:hint="default"/>
      <w:sz w:val="22"/>
      <w:szCs w:val="22"/>
    </w:rPr>
  </w:style>
</w:styles>
</file>

<file path=word/webSettings.xml><?xml version="1.0" encoding="utf-8"?>
<w:webSettings xmlns:r="http://schemas.openxmlformats.org/officeDocument/2006/relationships" xmlns:w="http://schemas.openxmlformats.org/wordprocessingml/2006/main">
  <w:divs>
    <w:div w:id="186140845">
      <w:bodyDiv w:val="1"/>
      <w:marLeft w:val="0"/>
      <w:marRight w:val="0"/>
      <w:marTop w:val="0"/>
      <w:marBottom w:val="0"/>
      <w:divBdr>
        <w:top w:val="none" w:sz="0" w:space="0" w:color="auto"/>
        <w:left w:val="none" w:sz="0" w:space="0" w:color="auto"/>
        <w:bottom w:val="none" w:sz="0" w:space="0" w:color="auto"/>
        <w:right w:val="none" w:sz="0" w:space="0" w:color="auto"/>
      </w:divBdr>
    </w:div>
    <w:div w:id="515846612">
      <w:bodyDiv w:val="1"/>
      <w:marLeft w:val="0"/>
      <w:marRight w:val="0"/>
      <w:marTop w:val="0"/>
      <w:marBottom w:val="0"/>
      <w:divBdr>
        <w:top w:val="none" w:sz="0" w:space="0" w:color="auto"/>
        <w:left w:val="none" w:sz="0" w:space="0" w:color="auto"/>
        <w:bottom w:val="none" w:sz="0" w:space="0" w:color="auto"/>
        <w:right w:val="none" w:sz="0" w:space="0" w:color="auto"/>
      </w:divBdr>
    </w:div>
    <w:div w:id="548495496">
      <w:bodyDiv w:val="1"/>
      <w:marLeft w:val="0"/>
      <w:marRight w:val="0"/>
      <w:marTop w:val="0"/>
      <w:marBottom w:val="0"/>
      <w:divBdr>
        <w:top w:val="none" w:sz="0" w:space="0" w:color="auto"/>
        <w:left w:val="none" w:sz="0" w:space="0" w:color="auto"/>
        <w:bottom w:val="none" w:sz="0" w:space="0" w:color="auto"/>
        <w:right w:val="none" w:sz="0" w:space="0" w:color="auto"/>
      </w:divBdr>
    </w:div>
    <w:div w:id="573780397">
      <w:bodyDiv w:val="1"/>
      <w:marLeft w:val="0"/>
      <w:marRight w:val="0"/>
      <w:marTop w:val="0"/>
      <w:marBottom w:val="0"/>
      <w:divBdr>
        <w:top w:val="none" w:sz="0" w:space="0" w:color="auto"/>
        <w:left w:val="none" w:sz="0" w:space="0" w:color="auto"/>
        <w:bottom w:val="none" w:sz="0" w:space="0" w:color="auto"/>
        <w:right w:val="none" w:sz="0" w:space="0" w:color="auto"/>
      </w:divBdr>
    </w:div>
    <w:div w:id="1122572586">
      <w:bodyDiv w:val="1"/>
      <w:marLeft w:val="0"/>
      <w:marRight w:val="0"/>
      <w:marTop w:val="0"/>
      <w:marBottom w:val="0"/>
      <w:divBdr>
        <w:top w:val="none" w:sz="0" w:space="0" w:color="auto"/>
        <w:left w:val="none" w:sz="0" w:space="0" w:color="auto"/>
        <w:bottom w:val="none" w:sz="0" w:space="0" w:color="auto"/>
        <w:right w:val="none" w:sz="0" w:space="0" w:color="auto"/>
      </w:divBdr>
    </w:div>
    <w:div w:id="1123960542">
      <w:bodyDiv w:val="1"/>
      <w:marLeft w:val="0"/>
      <w:marRight w:val="0"/>
      <w:marTop w:val="0"/>
      <w:marBottom w:val="0"/>
      <w:divBdr>
        <w:top w:val="none" w:sz="0" w:space="0" w:color="auto"/>
        <w:left w:val="none" w:sz="0" w:space="0" w:color="auto"/>
        <w:bottom w:val="none" w:sz="0" w:space="0" w:color="auto"/>
        <w:right w:val="none" w:sz="0" w:space="0" w:color="auto"/>
      </w:divBdr>
    </w:div>
    <w:div w:id="1137340360">
      <w:bodyDiv w:val="1"/>
      <w:marLeft w:val="0"/>
      <w:marRight w:val="0"/>
      <w:marTop w:val="0"/>
      <w:marBottom w:val="0"/>
      <w:divBdr>
        <w:top w:val="none" w:sz="0" w:space="0" w:color="auto"/>
        <w:left w:val="none" w:sz="0" w:space="0" w:color="auto"/>
        <w:bottom w:val="none" w:sz="0" w:space="0" w:color="auto"/>
        <w:right w:val="none" w:sz="0" w:space="0" w:color="auto"/>
      </w:divBdr>
    </w:div>
    <w:div w:id="1160929596">
      <w:bodyDiv w:val="1"/>
      <w:marLeft w:val="0"/>
      <w:marRight w:val="0"/>
      <w:marTop w:val="0"/>
      <w:marBottom w:val="0"/>
      <w:divBdr>
        <w:top w:val="none" w:sz="0" w:space="0" w:color="auto"/>
        <w:left w:val="none" w:sz="0" w:space="0" w:color="auto"/>
        <w:bottom w:val="none" w:sz="0" w:space="0" w:color="auto"/>
        <w:right w:val="none" w:sz="0" w:space="0" w:color="auto"/>
      </w:divBdr>
    </w:div>
    <w:div w:id="1179923873">
      <w:bodyDiv w:val="1"/>
      <w:marLeft w:val="0"/>
      <w:marRight w:val="0"/>
      <w:marTop w:val="0"/>
      <w:marBottom w:val="0"/>
      <w:divBdr>
        <w:top w:val="none" w:sz="0" w:space="0" w:color="auto"/>
        <w:left w:val="none" w:sz="0" w:space="0" w:color="auto"/>
        <w:bottom w:val="none" w:sz="0" w:space="0" w:color="auto"/>
        <w:right w:val="none" w:sz="0" w:space="0" w:color="auto"/>
      </w:divBdr>
    </w:div>
    <w:div w:id="1288510897">
      <w:bodyDiv w:val="1"/>
      <w:marLeft w:val="0"/>
      <w:marRight w:val="0"/>
      <w:marTop w:val="0"/>
      <w:marBottom w:val="0"/>
      <w:divBdr>
        <w:top w:val="none" w:sz="0" w:space="0" w:color="auto"/>
        <w:left w:val="none" w:sz="0" w:space="0" w:color="auto"/>
        <w:bottom w:val="none" w:sz="0" w:space="0" w:color="auto"/>
        <w:right w:val="none" w:sz="0" w:space="0" w:color="auto"/>
      </w:divBdr>
    </w:div>
    <w:div w:id="1316572223">
      <w:bodyDiv w:val="1"/>
      <w:marLeft w:val="0"/>
      <w:marRight w:val="0"/>
      <w:marTop w:val="0"/>
      <w:marBottom w:val="0"/>
      <w:divBdr>
        <w:top w:val="none" w:sz="0" w:space="0" w:color="auto"/>
        <w:left w:val="none" w:sz="0" w:space="0" w:color="auto"/>
        <w:bottom w:val="none" w:sz="0" w:space="0" w:color="auto"/>
        <w:right w:val="none" w:sz="0" w:space="0" w:color="auto"/>
      </w:divBdr>
    </w:div>
    <w:div w:id="1349333892">
      <w:bodyDiv w:val="1"/>
      <w:marLeft w:val="0"/>
      <w:marRight w:val="0"/>
      <w:marTop w:val="0"/>
      <w:marBottom w:val="0"/>
      <w:divBdr>
        <w:top w:val="none" w:sz="0" w:space="0" w:color="auto"/>
        <w:left w:val="none" w:sz="0" w:space="0" w:color="auto"/>
        <w:bottom w:val="none" w:sz="0" w:space="0" w:color="auto"/>
        <w:right w:val="none" w:sz="0" w:space="0" w:color="auto"/>
      </w:divBdr>
    </w:div>
    <w:div w:id="1377464548">
      <w:bodyDiv w:val="1"/>
      <w:marLeft w:val="0"/>
      <w:marRight w:val="0"/>
      <w:marTop w:val="0"/>
      <w:marBottom w:val="0"/>
      <w:divBdr>
        <w:top w:val="none" w:sz="0" w:space="0" w:color="auto"/>
        <w:left w:val="none" w:sz="0" w:space="0" w:color="auto"/>
        <w:bottom w:val="none" w:sz="0" w:space="0" w:color="auto"/>
        <w:right w:val="none" w:sz="0" w:space="0" w:color="auto"/>
      </w:divBdr>
    </w:div>
    <w:div w:id="1647932351">
      <w:bodyDiv w:val="1"/>
      <w:marLeft w:val="0"/>
      <w:marRight w:val="0"/>
      <w:marTop w:val="0"/>
      <w:marBottom w:val="0"/>
      <w:divBdr>
        <w:top w:val="none" w:sz="0" w:space="0" w:color="auto"/>
        <w:left w:val="none" w:sz="0" w:space="0" w:color="auto"/>
        <w:bottom w:val="none" w:sz="0" w:space="0" w:color="auto"/>
        <w:right w:val="none" w:sz="0" w:space="0" w:color="auto"/>
      </w:divBdr>
    </w:div>
    <w:div w:id="1830093539">
      <w:bodyDiv w:val="1"/>
      <w:marLeft w:val="0"/>
      <w:marRight w:val="0"/>
      <w:marTop w:val="0"/>
      <w:marBottom w:val="0"/>
      <w:divBdr>
        <w:top w:val="none" w:sz="0" w:space="0" w:color="auto"/>
        <w:left w:val="none" w:sz="0" w:space="0" w:color="auto"/>
        <w:bottom w:val="none" w:sz="0" w:space="0" w:color="auto"/>
        <w:right w:val="none" w:sz="0" w:space="0" w:color="auto"/>
      </w:divBdr>
    </w:div>
    <w:div w:id="1974212515">
      <w:bodyDiv w:val="1"/>
      <w:marLeft w:val="0"/>
      <w:marRight w:val="0"/>
      <w:marTop w:val="0"/>
      <w:marBottom w:val="0"/>
      <w:divBdr>
        <w:top w:val="none" w:sz="0" w:space="0" w:color="auto"/>
        <w:left w:val="none" w:sz="0" w:space="0" w:color="auto"/>
        <w:bottom w:val="none" w:sz="0" w:space="0" w:color="auto"/>
        <w:right w:val="none" w:sz="0" w:space="0" w:color="auto"/>
      </w:divBdr>
    </w:div>
    <w:div w:id="2066833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60</Pages>
  <Words>4780</Words>
  <Characters>27250</Characters>
  <Application>Microsoft Office Word</Application>
  <DocSecurity>0</DocSecurity>
  <Lines>227</Lines>
  <Paragraphs>63</Paragraphs>
  <ScaleCrop>false</ScaleCrop>
  <Company>Microsoft</Company>
  <LinksUpToDate>false</LinksUpToDate>
  <CharactersWithSpaces>31967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胡炼</cp:lastModifiedBy>
  <cp:revision>3</cp:revision>
  <dcterms:created xsi:type="dcterms:W3CDTF">2023-09-19T02:19:00Z</dcterms:created>
  <dcterms:modified xsi:type="dcterms:W3CDTF">2023-09-19T02:27:00Z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D673B90D89CD41788A5811CB003F4069</vt:lpwstr>
  </property>
</Properties>
</file>