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1"/>
        <w:ind w:left="256" w:right="0" w:firstLine="0"/>
        <w:jc w:val="left"/>
        <w:rPr>
          <w:sz w:val="44"/>
        </w:rPr>
      </w:pPr>
      <w:r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  <w:t>202</w:t>
      </w: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lang w:val="en-US" w:eastAsia="zh-CN"/>
        </w:rPr>
        <w:t>2</w:t>
      </w:r>
      <w:r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  <w:t xml:space="preserve"> 年湖南中医药高等专科学校单位预算</w:t>
      </w:r>
    </w:p>
    <w:p>
      <w:pPr>
        <w:pStyle w:val="4"/>
        <w:spacing w:before="0"/>
        <w:ind w:left="0"/>
        <w:rPr>
          <w:sz w:val="58"/>
        </w:rPr>
      </w:pPr>
    </w:p>
    <w:p>
      <w:pPr>
        <w:pStyle w:val="4"/>
        <w:spacing w:before="2"/>
        <w:ind w:left="0"/>
        <w:rPr>
          <w:sz w:val="57"/>
        </w:rPr>
      </w:pPr>
    </w:p>
    <w:p>
      <w:pPr>
        <w:pStyle w:val="4"/>
        <w:spacing w:before="1"/>
        <w:ind w:left="1781" w:right="2078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目 录</w:t>
      </w:r>
    </w:p>
    <w:p>
      <w:pPr>
        <w:pStyle w:val="4"/>
        <w:spacing w:before="0"/>
        <w:ind w:left="0"/>
        <w:rPr>
          <w:rFonts w:ascii="黑体"/>
        </w:rPr>
      </w:pPr>
    </w:p>
    <w:p>
      <w:pPr>
        <w:pStyle w:val="4"/>
        <w:spacing w:before="10"/>
        <w:ind w:left="0"/>
        <w:rPr>
          <w:rFonts w:ascii="黑体"/>
          <w:sz w:val="35"/>
        </w:rPr>
      </w:pPr>
    </w:p>
    <w:p>
      <w:pPr>
        <w:spacing w:before="0"/>
        <w:ind w:left="760" w:right="0" w:firstLine="0"/>
        <w:jc w:val="left"/>
        <w:rPr>
          <w:sz w:val="32"/>
        </w:rPr>
      </w:pPr>
      <w:r>
        <w:rPr>
          <w:sz w:val="32"/>
        </w:rPr>
        <w:t xml:space="preserve">第一部分 </w:t>
      </w:r>
      <w:r>
        <w:rPr>
          <w:rFonts w:ascii="Times New Roman" w:eastAsia="Times New Roman"/>
          <w:b/>
          <w:sz w:val="32"/>
        </w:rPr>
        <w:t>202</w:t>
      </w:r>
      <w:r>
        <w:rPr>
          <w:rFonts w:hint="eastAsia" w:ascii="Times New Roman"/>
          <w:b/>
          <w:sz w:val="32"/>
          <w:lang w:val="en-US" w:eastAsia="zh-CN"/>
        </w:rPr>
        <w:t>2</w:t>
      </w:r>
      <w:r>
        <w:rPr>
          <w:rFonts w:ascii="Times New Roman" w:eastAsia="Times New Roman"/>
          <w:b/>
          <w:sz w:val="32"/>
        </w:rPr>
        <w:t xml:space="preserve"> </w:t>
      </w:r>
      <w:r>
        <w:rPr>
          <w:sz w:val="32"/>
        </w:rPr>
        <w:t>年单位预算说明</w:t>
      </w:r>
    </w:p>
    <w:p>
      <w:pPr>
        <w:spacing w:before="231"/>
        <w:ind w:left="760" w:right="0" w:firstLine="0"/>
        <w:jc w:val="left"/>
        <w:rPr>
          <w:sz w:val="32"/>
        </w:rPr>
      </w:pPr>
      <w:r>
        <w:rPr>
          <w:sz w:val="32"/>
        </w:rPr>
        <w:t xml:space="preserve">第二部分 </w:t>
      </w:r>
      <w:r>
        <w:rPr>
          <w:rFonts w:ascii="Times New Roman" w:eastAsia="Times New Roman"/>
          <w:b/>
          <w:sz w:val="32"/>
        </w:rPr>
        <w:t>202</w:t>
      </w:r>
      <w:r>
        <w:rPr>
          <w:rFonts w:hint="eastAsia" w:ascii="Times New Roman"/>
          <w:b/>
          <w:sz w:val="32"/>
          <w:lang w:val="en-US" w:eastAsia="zh-CN"/>
        </w:rPr>
        <w:t>2</w:t>
      </w:r>
      <w:r>
        <w:rPr>
          <w:rFonts w:ascii="Times New Roman" w:eastAsia="Times New Roman"/>
          <w:b/>
          <w:sz w:val="32"/>
        </w:rPr>
        <w:t xml:space="preserve"> </w:t>
      </w:r>
      <w:r>
        <w:rPr>
          <w:sz w:val="32"/>
        </w:rPr>
        <w:t>年单位预算表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1、收支总表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2、收入总表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3、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一般公共预算拨款收入表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4、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支出总表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、支出预算分类汇总表（按政府预算经济分类）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6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、支出预算分类汇总表（按部门预算经济分类）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7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基本支出表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8、项目支出表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9、项目支出预算明细表（按政府预算经济分类）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10、项目支出预算明细表（按部门预算经济分类）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11、财政拨款收支总表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12、一般公共预算支出表</w:t>
      </w:r>
    </w:p>
    <w:p>
      <w:pPr>
        <w:widowControl/>
        <w:autoSpaceDE/>
        <w:autoSpaceDN/>
        <w:spacing w:before="0" w:after="0" w:line="600" w:lineRule="exact"/>
        <w:ind w:left="1278" w:leftChars="304" w:right="0" w:hanging="640" w:hanging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13、一般公共预算基本支出表--人员经费(工资福利支出)(按政府预算经济分类)</w:t>
      </w:r>
    </w:p>
    <w:p>
      <w:pPr>
        <w:widowControl/>
        <w:autoSpaceDE/>
        <w:autoSpaceDN/>
        <w:spacing w:before="0" w:after="0" w:line="600" w:lineRule="exact"/>
        <w:ind w:left="1278" w:leftChars="304" w:right="0" w:hanging="640" w:hanging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14、一般公共预算基本支出表--人员经费(工资福利支出)(按部门预算经济分类)</w:t>
      </w:r>
    </w:p>
    <w:p>
      <w:pPr>
        <w:widowControl/>
        <w:autoSpaceDE/>
        <w:autoSpaceDN/>
        <w:spacing w:before="0" w:after="0" w:line="600" w:lineRule="exact"/>
        <w:ind w:left="1278" w:leftChars="304" w:right="0" w:hanging="640" w:hanging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15、一般公共预算基本支出表--人员经费(对个人和家庭的补助)(按政府预算经济分类)</w:t>
      </w:r>
    </w:p>
    <w:p>
      <w:pPr>
        <w:widowControl/>
        <w:autoSpaceDE/>
        <w:autoSpaceDN/>
        <w:spacing w:before="0" w:after="0" w:line="600" w:lineRule="exact"/>
        <w:ind w:left="1278" w:leftChars="304" w:right="0" w:hanging="640" w:hanging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16、一般公共预算基本支出表--人员经费(对个人和家庭的补助)（按部门预算经济分类）</w:t>
      </w:r>
    </w:p>
    <w:p>
      <w:pPr>
        <w:widowControl/>
        <w:autoSpaceDE/>
        <w:autoSpaceDN/>
        <w:spacing w:before="0" w:after="0" w:line="600" w:lineRule="exact"/>
        <w:ind w:left="1278" w:leftChars="304" w:right="0" w:hanging="640" w:hanging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17、一般公共预算基本支出表--公用经费(商品和服务支出)（按政府预算经济分类）</w:t>
      </w:r>
    </w:p>
    <w:p>
      <w:pPr>
        <w:widowControl/>
        <w:autoSpaceDE/>
        <w:autoSpaceDN/>
        <w:spacing w:before="0" w:after="0" w:line="600" w:lineRule="exact"/>
        <w:ind w:left="1278" w:leftChars="304" w:right="0" w:hanging="640" w:hanging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18、一般公共预算基本支出表--公用经费(商品和服务支出)(按部门预算经济分类)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19、一般公共预算“三公”经费支出表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20、政府性基金预算支出表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21、政府性基金预算支出分类汇总表 （按政府预算经济分类）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22、政府性基金预算支出分类汇总表 （按部门预算经济分类）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23、国有资本经营预算支出表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24、财政专户管理资金预算支出表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25、单位资金支出预算表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26、省级专项资金预算汇总表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27、附表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/>
          <w:color w:val="000000"/>
          <w:kern w:val="0"/>
          <w:sz w:val="16"/>
          <w:szCs w:val="16"/>
          <w:lang w:val="en-US" w:eastAsia="zh-CN" w:bidi="ar"/>
        </w:rPr>
      </w:pP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注：以上部门预算报表中，空表表示本单位无相关收支情况。</w:t>
      </w:r>
    </w:p>
    <w:p>
      <w:pPr>
        <w:widowControl/>
        <w:autoSpaceDE/>
        <w:autoSpaceDN/>
        <w:spacing w:before="0" w:after="0" w:line="600" w:lineRule="exact"/>
        <w:ind w:left="0" w:right="0" w:firstLine="640" w:firstLineChars="20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sectPr>
          <w:pgSz w:w="11910" w:h="16840"/>
          <w:pgMar w:top="1560" w:right="1134" w:bottom="280" w:left="1680" w:header="720" w:footer="720" w:gutter="0"/>
          <w:cols w:space="720" w:num="1"/>
        </w:sectPr>
      </w:pPr>
    </w:p>
    <w:p>
      <w:pPr>
        <w:pStyle w:val="4"/>
        <w:spacing w:before="54"/>
      </w:pPr>
      <w:r>
        <w:t xml:space="preserve">附件 </w:t>
      </w:r>
      <w:r>
        <w:rPr>
          <w:rFonts w:ascii="Times New Roman" w:eastAsia="Times New Roman"/>
        </w:rPr>
        <w:t>1</w:t>
      </w:r>
      <w:r>
        <w:t>：</w:t>
      </w:r>
    </w:p>
    <w:p>
      <w:pPr>
        <w:pStyle w:val="4"/>
        <w:spacing w:before="0"/>
        <w:ind w:left="0"/>
        <w:rPr>
          <w:sz w:val="20"/>
        </w:rPr>
      </w:pPr>
    </w:p>
    <w:p>
      <w:pPr>
        <w:pStyle w:val="4"/>
        <w:spacing w:before="0"/>
        <w:ind w:left="0"/>
        <w:rPr>
          <w:sz w:val="20"/>
        </w:rPr>
      </w:pPr>
    </w:p>
    <w:p>
      <w:pPr>
        <w:pStyle w:val="4"/>
        <w:spacing w:before="3"/>
        <w:ind w:left="0"/>
        <w:rPr>
          <w:sz w:val="15"/>
        </w:rPr>
      </w:pPr>
    </w:p>
    <w:p>
      <w:pPr>
        <w:widowControl/>
        <w:autoSpaceDE/>
        <w:autoSpaceDN/>
        <w:spacing w:before="0" w:after="0" w:line="600" w:lineRule="exact"/>
        <w:ind w:left="0" w:right="0"/>
        <w:jc w:val="center"/>
        <w:rPr>
          <w:rFonts w:ascii="Times New Roman" w:hAnsi="Times New Roman" w:eastAsia="方正小标宋_GBK" w:cs="Times New Roman"/>
          <w:bCs/>
          <w:kern w:val="0"/>
          <w:sz w:val="36"/>
          <w:szCs w:val="36"/>
          <w:lang w:val="en-US" w:bidi="ar-SA"/>
        </w:rPr>
      </w:pPr>
      <w:r>
        <w:rPr>
          <w:rFonts w:ascii="Times New Roman" w:hAnsi="Times New Roman" w:eastAsia="方正小标宋_GBK" w:cs="Times New Roman"/>
          <w:bCs/>
          <w:kern w:val="0"/>
          <w:sz w:val="36"/>
          <w:szCs w:val="36"/>
          <w:lang w:val="en-US" w:bidi="ar-SA"/>
        </w:rPr>
        <w:t>第一部分 202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lang w:val="en-US" w:eastAsia="zh-CN" w:bidi="ar-SA"/>
        </w:rPr>
        <w:t>2</w:t>
      </w:r>
      <w:r>
        <w:rPr>
          <w:rFonts w:ascii="Times New Roman" w:hAnsi="Times New Roman" w:eastAsia="方正小标宋_GBK" w:cs="Times New Roman"/>
          <w:bCs/>
          <w:kern w:val="0"/>
          <w:sz w:val="36"/>
          <w:szCs w:val="36"/>
          <w:lang w:val="en-US" w:bidi="ar-SA"/>
        </w:rPr>
        <w:t xml:space="preserve"> 年单位预算说明</w:t>
      </w:r>
    </w:p>
    <w:p>
      <w:pPr>
        <w:widowControl/>
        <w:autoSpaceDE/>
        <w:autoSpaceDN/>
        <w:spacing w:before="0" w:after="0" w:line="600" w:lineRule="exact"/>
        <w:ind w:left="0" w:right="0"/>
        <w:jc w:val="center"/>
        <w:rPr>
          <w:rFonts w:ascii="Times New Roman" w:hAnsi="Times New Roman" w:eastAsia="方正小标宋_GBK" w:cs="Times New Roman"/>
          <w:bCs/>
          <w:kern w:val="0"/>
          <w:sz w:val="36"/>
          <w:szCs w:val="36"/>
          <w:lang w:val="en-US" w:bidi="ar-SA"/>
        </w:rPr>
      </w:pPr>
    </w:p>
    <w:p>
      <w:pPr>
        <w:pStyle w:val="4"/>
        <w:numPr>
          <w:ilvl w:val="0"/>
          <w:numId w:val="1"/>
        </w:numPr>
        <w:spacing w:before="0"/>
        <w:ind w:left="746"/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 w:bidi="ar-SA"/>
        </w:rPr>
        <w:t>单位基本概况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始建于1959年，2004年经教育部批准升格为湖南中医药高等专科学校，2018年立项为湖南省卓越高职院校培育单位。学校由湖南省政府举办，行政管理为湖南省卫生健康委，业务主管为湖南省教育厅。学校现有芦淞、云龙两个校区，占地共700余亩，在校学生1.1万人。学校现有教师总数596人，学校下设中医学院、医学院、护理学院、药学院、康复保健学院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个教学院（部），开设有中医学、中医骨伤、临床医学、医学影像技术等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个专业。学校有国家级精品资源共享课程1门，省级精品在线开放课程11门，省级专业教学资源库2个；有湖南省校企合作人才培养示范基地4个，直属附属医院1所(三级甲等医院)，非直属型附属医院3所，教学医院19所，实习基地174个。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zh-CN" w:eastAsia="zh-CN" w:bidi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zh-CN"/>
        </w:rPr>
        <w:t>（一）单位</w:t>
      </w:r>
      <w:r>
        <w:rPr>
          <w:rFonts w:hint="eastAsia" w:ascii="楷体" w:hAnsi="楷体" w:eastAsia="楷体" w:cs="楷体"/>
          <w:b/>
          <w:bCs/>
          <w:sz w:val="32"/>
          <w:szCs w:val="32"/>
          <w:lang w:val="zh-CN" w:eastAsia="zh-CN" w:bidi="zh-CN"/>
        </w:rPr>
        <w:t>职能职责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学校坚持以“德育为先、能力为重、突出技能、全面育人、服务社会”为办学宗旨，面向基层、中医药行业及康复 保健机构培养医药、护理、康复大专学历卫生技能型优秀人才，促进国家卫生事业发展，已成为我省中医药实用型人才 和基层中医药人才的主要培养基地。主要为医药学大专学历教育、医药专业技术开发、医药专业技术培训、高等教育联合办学以及其他相关社会服务。</w:t>
      </w:r>
    </w:p>
    <w:p>
      <w:pPr>
        <w:numPr>
          <w:ilvl w:val="0"/>
          <w:numId w:val="2"/>
        </w:num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zh-CN"/>
        </w:rPr>
        <w:t>单位机构设置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 w:eastAsia="zh-CN"/>
        </w:rPr>
        <w:t>党政管理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党政办、宣传统战部、纪检监察（审计）室、组织人事处（党委教师工作部、党校）、教务处、科技产业处、计划财务处、学生工作处（学生工作部）、招生就业处（创新创业学院）、国际合作交流处（发展与规划处）、基建后勤处、资产管理处、保卫处（武装部）、建设办，其中建设办为临时机构。 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 w:eastAsia="zh-CN"/>
        </w:rPr>
        <w:t>群团管理机构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工会（退休办）、团委。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 w:eastAsia="zh-CN"/>
        </w:rPr>
        <w:t>教辅机构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图书信息中心、质量与评建中心（高等职业教育研究所）、教师发展中心。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 w:eastAsia="zh-CN"/>
        </w:rPr>
        <w:t>二级机构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医学院（含医学技术产业研究所）、中医学院（含社区卫生健康与产业研究所）、护理学院（含医养结合与产业研究所）、康复保健学院（含康复保健与产业研究所）、药学院 （含中药与产业研究所）、马克思主义学院（含神农中医药文化与产业研究所）、公共课部（含传统体育与产业研究所）、 继续教育学院（含社区教育与产业研究所）、杂志社。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二、部门预算单位构成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部门预算单位只有本级，没有其他预算单位，因此本部门预算仅含本级预算。</w:t>
      </w:r>
    </w:p>
    <w:p>
      <w:pPr>
        <w:pStyle w:val="4"/>
        <w:spacing w:before="4"/>
        <w:ind w:left="0" w:leftChars="0" w:firstLine="640" w:firstLineChars="200"/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 w:bidi="ar-SA"/>
        </w:rPr>
        <w:t>三、单位收支总体情况</w:t>
      </w:r>
    </w:p>
    <w:p>
      <w:pPr>
        <w:numPr>
          <w:ilvl w:val="0"/>
          <w:numId w:val="0"/>
        </w:numPr>
        <w:ind w:firstLine="321" w:firstLineChars="100"/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zh-CN"/>
        </w:rPr>
        <w:t>（一）收入预算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 年单位收入总计预算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17499.96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万元，其中：本年收入预算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15972.45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万元，上年结转结余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1527.51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万元。本年收入预算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15972.45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万元构成为：本年一般公共预算拨款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7067.26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万元（含纳入一般公共预算管理的非税收入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147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万元），本年纳入专户管理的非税收入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6883.19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万元，本年上级财政补助收入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2022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万元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单位本年收入预算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较去年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15695.23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万元）总体增加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277.22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增减主要变化情况为：由于财政中医药专项以及教育专项拨款的增加，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一般公共预算拨款较上年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747.31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招生人数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的减少，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纳入专户管理的非税收入较上年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减少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453.09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；上级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财政补助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（提质培优专项）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收入较上年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减少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17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。单位2022年上年结转结余收入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1527.51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万元，较去年（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2164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万元）减少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636.49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万元，结转结余资金减少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29.4%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3"/>
        </w:num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zh-CN"/>
        </w:rPr>
        <w:t>支出预算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年本单位支出预算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17499.96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万元，其中，教育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15237.67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万元，科学技术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1.8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万元，社会保障和就业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400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万元，卫生健康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1460.49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，住房保障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400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预算总额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较去年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17859.23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万元）基本持平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略有减少，主要原因是上年结转结余资金较去年有所减少。</w:t>
      </w:r>
    </w:p>
    <w:p>
      <w:pPr>
        <w:numPr>
          <w:ilvl w:val="0"/>
          <w:numId w:val="4"/>
        </w:numPr>
        <w:ind w:firstLine="640" w:firstLineChars="200"/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 w:bidi="ar-SA"/>
        </w:rPr>
        <w:t>一般公共预算拨款支出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年本单位一般公共预算拨款支出预算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10616.77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（本年预算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9089.26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万元，上年结转结余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1527.51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，其中，教育支出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8354.48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万元，占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78.69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%；社会保障和就业支出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400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万元，占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3.77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%；卫生健康支出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1460.49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万元，占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13.77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%，科学技术支出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1.8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万元，占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0.02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，住房保障支出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400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3.77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%。具体安排情况如下：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5"/>
        </w:numPr>
        <w:ind w:firstLine="321" w:firstLineChars="100"/>
        <w:rPr>
          <w:rFonts w:hint="default" w:ascii="楷体" w:hAnsi="楷体" w:eastAsia="楷体" w:cs="楷体"/>
          <w:b/>
          <w:bCs/>
          <w:sz w:val="32"/>
          <w:szCs w:val="32"/>
          <w:lang w:val="en-US" w:eastAsia="zh-CN" w:bidi="zh-CN"/>
        </w:rPr>
      </w:pP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 w:bidi="zh-CN"/>
        </w:rPr>
        <w:t>基本支出</w:t>
      </w:r>
    </w:p>
    <w:p>
      <w:pPr>
        <w:numPr>
          <w:ilvl w:val="0"/>
          <w:numId w:val="0"/>
        </w:numPr>
        <w:ind w:leftChars="100" w:right="0" w:rightChars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年本单位一般公共预算拨款基本支出预算数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5283.26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万元，主要是为保障单位机构正常运转、完成日常工作任务而发生的各项支出，包括用于基本工资、绩效工资、基本养老保险等人员经费以及办公费、印刷费、水电费、办公设备购置等公用经费。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5"/>
        </w:numPr>
        <w:ind w:firstLine="321" w:firstLineChars="100"/>
        <w:rPr>
          <w:rFonts w:hint="default" w:ascii="楷体" w:hAnsi="楷体" w:eastAsia="楷体" w:cs="楷体"/>
          <w:b/>
          <w:bCs/>
          <w:sz w:val="32"/>
          <w:szCs w:val="32"/>
          <w:lang w:val="en-US" w:eastAsia="zh-CN" w:bidi="zh-CN"/>
        </w:rPr>
      </w:pP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 w:bidi="zh-CN"/>
        </w:rPr>
        <w:t>项目支出</w:t>
      </w:r>
    </w:p>
    <w:p>
      <w:pPr>
        <w:numPr>
          <w:ilvl w:val="0"/>
          <w:numId w:val="0"/>
        </w:numPr>
        <w:ind w:leftChars="100" w:right="0" w:righ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年本单位一般公共预算拨款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支出预算数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5333.51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万元，主要是学校为完成特定教学工作任务或事业发展目标而发生的支出，包括有关高校“双一流”建设专项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752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万元，用于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主要用于学校专业群建设和学生实践教学等方面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；提质培优（生均拨款）-省级专项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477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万元，用于弥补学校办学经费不足的专项经费；老年健康与医养结合服务专项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万元，用于老年健康与医养结合服务专业课题研究；中医药专项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549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万元，主要用于中医类别助理全科医生培训项目理论培训班、全科医生转岗培训、中医药文化宣传与传承等支出；提质培优专项-中央专项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万元，用于加快推进职业教育现代化，更好地支撑我国经济社会持续健康发展办好公平有质量、类型特色突出的职业教育。</w:t>
      </w:r>
    </w:p>
    <w:p>
      <w:pPr>
        <w:numPr>
          <w:ilvl w:val="0"/>
          <w:numId w:val="4"/>
        </w:numPr>
        <w:ind w:left="0" w:leftChars="0" w:right="0" w:rightChars="0" w:firstLine="640" w:firstLineChars="200"/>
        <w:rPr>
          <w:rFonts w:hint="eastAsia" w:ascii="黑体" w:hAnsi="宋体" w:eastAsia="黑体" w:cs="宋体"/>
          <w:sz w:val="32"/>
          <w:szCs w:val="32"/>
          <w:lang w:val="en-US" w:eastAsia="zh-CN" w:bidi="zh-CN"/>
        </w:rPr>
      </w:pPr>
      <w:r>
        <w:rPr>
          <w:rFonts w:hint="eastAsia" w:ascii="黑体" w:hAnsi="宋体" w:eastAsia="黑体" w:cs="宋体"/>
          <w:sz w:val="32"/>
          <w:szCs w:val="32"/>
          <w:lang w:val="en-US" w:eastAsia="zh-CN" w:bidi="zh-CN"/>
        </w:rPr>
        <w:t xml:space="preserve">政府性基金预算支出 </w:t>
      </w:r>
    </w:p>
    <w:p>
      <w:pPr>
        <w:numPr>
          <w:ilvl w:val="0"/>
          <w:numId w:val="0"/>
        </w:numPr>
        <w:ind w:leftChars="200" w:right="0" w:rightChars="0" w:firstLine="320" w:firstLineChars="100"/>
        <w:rPr>
          <w:spacing w:val="-1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本部门无政府性基金安排的支出。</w:t>
      </w:r>
      <w:r>
        <w:rPr>
          <w:rFonts w:hint="default"/>
          <w:spacing w:val="-1"/>
          <w:lang w:val="en-US" w:eastAsia="zh-CN"/>
        </w:rPr>
        <w:t xml:space="preserve"> </w:t>
      </w:r>
    </w:p>
    <w:p>
      <w:pPr>
        <w:pStyle w:val="4"/>
        <w:spacing w:before="228"/>
        <w:ind w:firstLine="640" w:firstLineChars="200"/>
        <w:rPr>
          <w:spacing w:val="-1"/>
        </w:rPr>
      </w:pPr>
      <w:r>
        <w:rPr>
          <w:rFonts w:hint="eastAsia" w:ascii="黑体" w:eastAsia="黑体" w:cs="宋体"/>
          <w:sz w:val="32"/>
          <w:szCs w:val="32"/>
          <w:lang w:val="en-US" w:eastAsia="zh-CN" w:bidi="zh-CN"/>
        </w:rPr>
        <w:t>六</w:t>
      </w:r>
      <w:r>
        <w:rPr>
          <w:rFonts w:hint="eastAsia" w:ascii="黑体" w:hAnsi="宋体" w:eastAsia="黑体" w:cs="宋体"/>
          <w:sz w:val="32"/>
          <w:szCs w:val="32"/>
          <w:lang w:val="en-US" w:eastAsia="zh-CN" w:bidi="zh-CN"/>
        </w:rPr>
        <w:t>、其他重要事项的情况说明</w:t>
      </w:r>
      <w:r>
        <w:rPr>
          <w:rFonts w:hint="eastAsia"/>
          <w:spacing w:val="-1"/>
          <w:lang w:val="en-US" w:eastAsia="zh-CN"/>
        </w:rPr>
        <w:t xml:space="preserve"> 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（一）机关运行经费：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年本部门机关本级机关运行经费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安排一般公共预算资金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全部使用非税资金支出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1514.44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万元，比上年预算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716.81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增加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797.63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万元，上升主要是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2021年机关运行经费用非说结余资金安排比例大一些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pStyle w:val="4"/>
        <w:numPr>
          <w:ilvl w:val="0"/>
          <w:numId w:val="0"/>
        </w:numPr>
        <w:spacing w:before="1" w:line="374" w:lineRule="auto"/>
        <w:ind w:leftChars="100" w:right="417" w:rightChars="0" w:firstLine="321" w:firstLineChars="100"/>
        <w:jc w:val="both"/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zh-CN"/>
        </w:rPr>
        <w:t>(二）“三公”经费预算情况</w:t>
      </w:r>
    </w:p>
    <w:p>
      <w:pPr>
        <w:pStyle w:val="4"/>
        <w:numPr>
          <w:ilvl w:val="0"/>
          <w:numId w:val="0"/>
        </w:numPr>
        <w:spacing w:before="1" w:line="374" w:lineRule="auto"/>
        <w:ind w:leftChars="100" w:right="417" w:righ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2022年“三公”经费年初预算数为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91.1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万元，其中：公务接待费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30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万元；公务用车购置及运行费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41.1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万元（其中，公务用车购置费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0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万元，公务用车运行费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41.1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万元）；因公出国（境）费用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万元。一般公共预算没有安排公务接待费、公务用车运行维护费支出，全部使用非税资金支出。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2022年“三公”经费年初预算总体较2021年（163.7万元）减少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/>
          <w:lang w:val="en-US" w:eastAsia="zh-CN" w:bidi="ar-SA"/>
        </w:rPr>
        <w:t>72.6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万元，其中：公务接待费减少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/>
          <w:lang w:val="en-US" w:eastAsia="zh-CN" w:bidi="ar-SA"/>
        </w:rPr>
        <w:t>12.7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万元，主要原因是落实“三公”经费“只减不增”的要求；公务用车购置及运行费减少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/>
          <w:lang w:val="en-US" w:eastAsia="zh-CN" w:bidi="ar-SA"/>
        </w:rPr>
        <w:t>69.9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万元(其中：公务用车购置减少70万元，主要原因是2021年有两台公车购置预算，2022年没有公车购置预算；公务用车运行费增加0.1万元，主要是考虑到新增公车会带来费用的增加);因公出国（境）费用增加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万元，增加主要原因是：2022年因学校“高职院校提质培优”项目建设需要，开展“国际合作-友好学校、中外合作办学”调研的国家和人次增加而费用增加。</w:t>
      </w:r>
    </w:p>
    <w:p>
      <w:pPr>
        <w:numPr>
          <w:ilvl w:val="0"/>
          <w:numId w:val="0"/>
        </w:numPr>
        <w:ind w:leftChars="100" w:right="0" w:rightChars="0" w:firstLine="321" w:firstLineChars="100"/>
        <w:rPr>
          <w:rFonts w:hint="default" w:ascii="楷体" w:hAnsi="楷体" w:eastAsia="楷体" w:cs="楷体"/>
          <w:b/>
          <w:bCs/>
          <w:sz w:val="32"/>
          <w:szCs w:val="32"/>
          <w:lang w:val="en-US" w:eastAsia="zh-CN" w:bidi="zh-CN"/>
        </w:rPr>
      </w:pP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 w:bidi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zh-CN"/>
        </w:rPr>
        <w:t>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 w:bidi="zh-CN"/>
        </w:rPr>
        <w:t>）一般性支出情况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年本单位会议费预算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15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万元，拟召开专业设置标准研制专家论证</w:t>
      </w:r>
      <w:bookmarkStart w:id="0" w:name="_GoBack"/>
      <w:bookmarkEnd w:id="0"/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会议，人数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20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人/ 次，内容为专业设置研究讨论；培训费预算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586.83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万元，拟开展 贫困地区本土化人才培养 培训，人数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575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人，内容为 中医专业培训三年 、针灸推拿专业培训三年 ；拟开展中医类别助理全科医生理论培训，人数约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330-350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人，拟开展中医类别助理全科医生师资培训，人数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180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；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拟开展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中医药健康科普知识大赛（预算30万元）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人数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5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；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拟开展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中药制剂（含膏方）职业技能竞赛（预算55万元）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人数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300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numPr>
          <w:ilvl w:val="0"/>
          <w:numId w:val="0"/>
        </w:numPr>
        <w:ind w:right="0" w:rightChars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年本单位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无举办节庆、晚会、论坛等活动。</w:t>
      </w:r>
    </w:p>
    <w:p>
      <w:pPr>
        <w:numPr>
          <w:ilvl w:val="0"/>
          <w:numId w:val="0"/>
        </w:numPr>
        <w:ind w:leftChars="100" w:right="0" w:rightChars="0" w:firstLine="643" w:firstLineChars="200"/>
        <w:rPr>
          <w:rFonts w:hint="default" w:ascii="楷体" w:hAnsi="楷体" w:eastAsia="楷体" w:cs="楷体"/>
          <w:b/>
          <w:bCs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zh-CN"/>
        </w:rPr>
        <w:t>(四）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 w:bidi="zh-CN"/>
        </w:rPr>
        <w:t>政府采购情况</w:t>
      </w:r>
    </w:p>
    <w:p>
      <w:pPr>
        <w:numPr>
          <w:ilvl w:val="0"/>
          <w:numId w:val="0"/>
        </w:numPr>
        <w:ind w:leftChars="100" w:right="0" w:rightChars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 w:bidi="zh-CN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年本部门政府采购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当年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预算总额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3936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万元，其中，货物类采购预算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3586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万元；工程类采购预算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200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万元；服务类采购预算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150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万元。</w:t>
      </w:r>
      <w:r>
        <w:rPr>
          <w:rFonts w:hint="default" w:ascii="仿宋" w:hAnsi="仿宋" w:eastAsia="仿宋" w:cs="仿宋"/>
          <w:sz w:val="32"/>
          <w:szCs w:val="32"/>
          <w:lang w:val="en-US" w:eastAsia="zh-CN" w:bidi="zh-CN"/>
        </w:rPr>
        <w:t xml:space="preserve"> </w:t>
      </w:r>
    </w:p>
    <w:p>
      <w:pPr>
        <w:numPr>
          <w:ilvl w:val="0"/>
          <w:numId w:val="0"/>
        </w:numPr>
        <w:ind w:leftChars="100" w:right="0" w:rightChars="0" w:firstLine="321" w:firstLineChars="100"/>
        <w:rPr>
          <w:rFonts w:hint="default" w:ascii="楷体" w:hAnsi="楷体" w:eastAsia="楷体" w:cs="楷体"/>
          <w:b/>
          <w:bCs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zh-CN"/>
        </w:rPr>
        <w:t>（五）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 w:bidi="zh-CN"/>
        </w:rPr>
        <w:t>国有资产占用使用及新增资产配置情况</w:t>
      </w:r>
    </w:p>
    <w:p>
      <w:pPr>
        <w:numPr>
          <w:ilvl w:val="0"/>
          <w:numId w:val="0"/>
        </w:numPr>
        <w:ind w:leftChars="100" w:right="0" w:rightChars="0"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截至202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年 12 月底，本单位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办公业务用房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97598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平方米，配套设施用房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87297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平方米，房屋出租用房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2950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平方米，服务器及计算机分别为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30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台及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2059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台，租用专线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条，直拨电话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63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部，打印机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43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台，复印件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276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台，电梯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台，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公务用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车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3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numPr>
          <w:ilvl w:val="0"/>
          <w:numId w:val="0"/>
        </w:numPr>
        <w:ind w:leftChars="100" w:right="0" w:rightChars="0"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年拟新增配置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大中型客车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1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辆，以替换已到报废期车辆。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该车辆主要用接送学生见习、实习、大型活动等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；新增配备单位价值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50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万元 以上通用设备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台，单位价值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100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万元以上专用设备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台。 </w:t>
      </w:r>
    </w:p>
    <w:p>
      <w:pPr>
        <w:pStyle w:val="4"/>
        <w:numPr>
          <w:ilvl w:val="0"/>
          <w:numId w:val="0"/>
        </w:numPr>
        <w:spacing w:before="4" w:line="374" w:lineRule="auto"/>
        <w:ind w:left="780" w:leftChars="0" w:right="363" w:rightChars="0"/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zh-CN"/>
        </w:rPr>
        <w:t>（六）预算绩效目标说明</w:t>
      </w:r>
    </w:p>
    <w:p>
      <w:pPr>
        <w:pStyle w:val="4"/>
        <w:spacing w:before="1" w:line="374" w:lineRule="auto"/>
        <w:ind w:left="0" w:leftChars="0" w:right="101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本单位所有支出实行绩效目标管理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纳入 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年单位整体支出绩效目标的金额为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17499.96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万元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，项目支出类型分为人员类项目、日常运转项目、特定目标重点突破项目。</w:t>
      </w:r>
    </w:p>
    <w:p>
      <w:pPr>
        <w:pStyle w:val="4"/>
        <w:spacing w:before="1" w:line="374" w:lineRule="auto"/>
        <w:ind w:left="0" w:leftChars="0" w:right="101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1、学校整体绩效目标</w:t>
      </w:r>
    </w:p>
    <w:p>
      <w:pPr>
        <w:pStyle w:val="4"/>
        <w:spacing w:before="1" w:line="374" w:lineRule="auto"/>
        <w:ind w:left="0" w:leftChars="0" w:right="101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2022年，学校支出预算将紧密围绕“卓越一流，强校升本”这一既定目标，紧扣内涵式发展逻辑，坚持“稳中求进”。以十四五规划和提质培优项目等作依托，对照“双高校”要求，大力推动学校云龙校区基础设施、教育教学基地建设，让硬件更硬；智慧推动师资、人才队伍建设，提升教育教学水平和管理水平，让软件更强。做好学校资金统筹、项目绩效评价等工作，充分发挥资金使用效益，确保学校年度目标和战略目标圆满完成。</w:t>
      </w:r>
    </w:p>
    <w:p>
      <w:pPr>
        <w:pStyle w:val="4"/>
        <w:numPr>
          <w:ilvl w:val="0"/>
          <w:numId w:val="6"/>
        </w:numPr>
        <w:spacing w:before="1" w:line="374" w:lineRule="auto"/>
        <w:ind w:right="101" w:firstLine="660"/>
        <w:rPr>
          <w:rFonts w:hint="eastAsia" w:ascii="仿宋_GB2312" w:hAnsi="宋体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学校重点项目预算绩效目标</w:t>
      </w:r>
    </w:p>
    <w:p>
      <w:pPr>
        <w:widowControl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1）2022高职“双一流”专项绩效目标：a.基础实验室建设项目。该项目建设能满足校内基础医学实验教学、科研的需求，能服务于株洲市科普教育的开展，对外宣传的重要窗口和以提高学校的知名度等。b.1+X证书培训实训中心建设。包括安装监控设备和购买相关设备，达到X证书培训和考评需求，同时满足老年实训室需求。c.西校区实训楼母婴护理实训室建设（设备+整体改造）。</w:t>
      </w:r>
    </w:p>
    <w:p>
      <w:pPr>
        <w:pStyle w:val="7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hAnsi="仿宋_GB2312" w:cs="仿宋_GB2312"/>
          <w:kern w:val="2"/>
          <w:sz w:val="32"/>
          <w:szCs w:val="32"/>
          <w:lang w:val="en-US" w:eastAsia="zh-CN" w:bidi="ar-SA"/>
        </w:rPr>
        <w:t>（2）2022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高校“</w:t>
      </w:r>
      <w:r>
        <w:rPr>
          <w:rFonts w:hint="eastAsia" w:hAnsi="仿宋_GB2312" w:cs="仿宋_GB2312"/>
          <w:kern w:val="2"/>
          <w:sz w:val="32"/>
          <w:szCs w:val="32"/>
          <w:lang w:val="en-US" w:eastAsia="zh-CN" w:bidi="ar-SA"/>
        </w:rPr>
        <w:t>提质培优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”建设专项(生均拨款）绩效目标：按照学校各专业人才培养方案，为各专业本年度实践教学提供实验实训专用材料，完成2020级护理、助产、中医学、等专业毕业实习期间的临床教学指导,改善学生住宿、校内教职工办公条件，增加学生实训仪器设备，满足所有实训中心的实践教学等工作的正常开展。</w:t>
      </w:r>
    </w:p>
    <w:p>
      <w:pPr>
        <w:pStyle w:val="3"/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(3)2022年省补助中医药项目绩效目标：a.开展10项中医药适宜技术进基层，提高中医药服务的可及性；b.开展全省中医药产业年度报告编制及中药材统计报告，指导全省中医药产业的发展和中药材的种植生产；c.举办1次中药制剂（含膏方）职业技能竞赛，提高中药技术人员业务素质和中药制剂能力；d.组织实施中医药科研计划项目建设，立项资助中医药科研计划；e.加强中医药高层次人才培养，提升中医（助理）住培师资及基地建设；f.加强基层中医药骨干人才队伍建设，培养一批中医全科转岗医生;g.举办1次第三届中医药健康科普知识大赛，营造浓厚中医药科普氛围；h.加强基层中医药文化科普传播骨干人才培训,扩大基层中医药文化科普传播能力。</w:t>
      </w:r>
    </w:p>
    <w:p>
      <w:pPr>
        <w:pStyle w:val="3"/>
        <w:rPr>
          <w:rFonts w:hint="default" w:ascii="仿宋_GB2312" w:hAnsi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(4)2022年中央中医药事业传承与发展绩效目标：a.面向公众经常性开展中医药文化活动和服务，建设基地和体验场馆的网络展示平台，包括数字展馆、线上展览展示、线上活动；b.开展中医药院校中药传统技能实训室建设，推进中医药的技术传承、人才培养和资源开发利用,开展中药鉴定、中药制剂、中药特色炮制技术、工艺的挖掘整理，添置必要设备，为加强学校和企业合作以及学校升格为本科院校打下良好基础；c.支持中医类别全科医生转岗培训，加强中医药人才培养；d.培养中医药学科带头人。培育第一批中医药学科带头人（含青年神农学者），开展探索性原创性研究、人才培养和团队建设，积极推动解决中医药领域发展中面临的临床或科研难题，形成行业内外有较大影响力的标志性成果，中医药研究和服务能力明显提升。</w:t>
      </w:r>
    </w:p>
    <w:p>
      <w:pPr>
        <w:pStyle w:val="4"/>
        <w:spacing w:before="228"/>
        <w:ind w:firstLine="640" w:firstLineChars="200"/>
        <w:rPr>
          <w:rFonts w:hint="eastAsia" w:ascii="黑体" w:hAnsi="宋体" w:eastAsia="黑体" w:cs="宋体"/>
          <w:sz w:val="32"/>
          <w:szCs w:val="32"/>
          <w:lang w:val="en-US" w:eastAsia="zh-CN" w:bidi="zh-CN"/>
        </w:rPr>
      </w:pPr>
      <w:r>
        <w:rPr>
          <w:rFonts w:hint="eastAsia" w:ascii="黑体" w:eastAsia="黑体" w:cs="宋体"/>
          <w:sz w:val="32"/>
          <w:szCs w:val="32"/>
          <w:lang w:val="en-US" w:eastAsia="zh-CN" w:bidi="zh-CN"/>
        </w:rPr>
        <w:t>七</w:t>
      </w:r>
      <w:r>
        <w:rPr>
          <w:rFonts w:hint="eastAsia" w:ascii="黑体" w:hAnsi="宋体" w:eastAsia="黑体" w:cs="宋体"/>
          <w:sz w:val="32"/>
          <w:szCs w:val="32"/>
          <w:lang w:val="en-US" w:eastAsia="zh-CN" w:bidi="zh-CN"/>
        </w:rPr>
        <w:t xml:space="preserve">、名词解释 </w:t>
      </w:r>
    </w:p>
    <w:p>
      <w:pPr>
        <w:numPr>
          <w:ilvl w:val="0"/>
          <w:numId w:val="0"/>
        </w:numPr>
        <w:ind w:leftChars="100" w:right="0" w:rightChars="0"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1、机关运行经费：是指各部门的公用经费，包括办公 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numPr>
          <w:ilvl w:val="0"/>
          <w:numId w:val="0"/>
        </w:numPr>
        <w:ind w:leftChars="100" w:right="0" w:rightChars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 w:bidi="zh-CN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2、“三公”经费：纳入省（市/县）财政预算管理的“三公 “经费，是指用一般公共预算拨款安排的公务接待费、公务用 车购置及运行维护费和因公出国（境）费。其中，公务接待 费反映单位按规定开支的各类公务接待支出；公务用车购置 及运行费反映单位公务用车车辆购置支出（含车辆购置税）， 以及燃料费、维修费、保险费等支出；因公出国（境）费反 映单位公务出国（境）的国际旅费、国外城市间交通费、住 宿费、伙食费、培训费、公杂费等等支出。 </w:t>
      </w:r>
    </w:p>
    <w:p>
      <w:pPr>
        <w:pStyle w:val="4"/>
        <w:spacing w:before="228"/>
        <w:ind w:left="0" w:leftChars="0" w:firstLine="0" w:firstLineChars="0"/>
        <w:rPr>
          <w:spacing w:val="-1"/>
        </w:rPr>
      </w:pPr>
      <w:r>
        <w:rPr>
          <w:rFonts w:hint="default"/>
          <w:spacing w:val="-1"/>
          <w:lang w:val="en-US" w:eastAsia="zh-CN"/>
        </w:rPr>
        <w:t xml:space="preserve"> </w:t>
      </w:r>
    </w:p>
    <w:p>
      <w:pPr>
        <w:pStyle w:val="4"/>
        <w:spacing w:before="228"/>
        <w:ind w:left="0" w:leftChars="0" w:firstLine="0" w:firstLineChars="0"/>
        <w:jc w:val="both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4D4D4D"/>
          <w:spacing w:val="0"/>
          <w:sz w:val="21"/>
          <w:szCs w:val="21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B0770A"/>
          <w:spacing w:val="0"/>
          <w:sz w:val="21"/>
          <w:szCs w:val="21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B0770A"/>
          <w:spacing w:val="0"/>
          <w:sz w:val="21"/>
          <w:szCs w:val="21"/>
          <w:u w:val="none"/>
        </w:rPr>
        <w:instrText xml:space="preserve"> HYPERLINK "http://www.hntcmc.net/system/_content/download.jsp?urltype=news.DownloadAttachUrl&amp;owner=1458884804&amp;wbfileid=6474311" \t "http://www.hntcmc.net/info/1068/_blank"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B0770A"/>
          <w:spacing w:val="0"/>
          <w:sz w:val="21"/>
          <w:szCs w:val="21"/>
          <w:u w:val="none"/>
        </w:rPr>
        <w:fldChar w:fldCharType="separate"/>
      </w:r>
      <w:r>
        <w:rPr>
          <w:rStyle w:val="10"/>
          <w:rFonts w:hint="eastAsia" w:ascii="微软雅黑" w:hAnsi="微软雅黑" w:eastAsia="微软雅黑" w:cs="微软雅黑"/>
          <w:i w:val="0"/>
          <w:iCs w:val="0"/>
          <w:caps w:val="0"/>
          <w:color w:val="B0770A"/>
          <w:spacing w:val="0"/>
          <w:sz w:val="21"/>
          <w:szCs w:val="21"/>
          <w:u w:val="none"/>
        </w:rPr>
        <w:t>湖南中医药高等专科学校202</w:t>
      </w:r>
      <w:r>
        <w:rPr>
          <w:rStyle w:val="10"/>
          <w:rFonts w:hint="eastAsia" w:ascii="微软雅黑" w:hAnsi="微软雅黑" w:eastAsia="微软雅黑" w:cs="微软雅黑"/>
          <w:i w:val="0"/>
          <w:iCs w:val="0"/>
          <w:caps w:val="0"/>
          <w:color w:val="B0770A"/>
          <w:spacing w:val="0"/>
          <w:sz w:val="21"/>
          <w:szCs w:val="21"/>
          <w:u w:val="none"/>
          <w:lang w:val="en-US" w:eastAsia="zh-CN"/>
        </w:rPr>
        <w:t>2</w:t>
      </w:r>
      <w:r>
        <w:rPr>
          <w:rStyle w:val="10"/>
          <w:rFonts w:hint="eastAsia" w:ascii="微软雅黑" w:hAnsi="微软雅黑" w:eastAsia="微软雅黑" w:cs="微软雅黑"/>
          <w:i w:val="0"/>
          <w:iCs w:val="0"/>
          <w:caps w:val="0"/>
          <w:color w:val="B0770A"/>
          <w:spacing w:val="0"/>
          <w:sz w:val="21"/>
          <w:szCs w:val="21"/>
          <w:u w:val="none"/>
        </w:rPr>
        <w:t>年预算表.xlsx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B0770A"/>
          <w:spacing w:val="0"/>
          <w:sz w:val="21"/>
          <w:szCs w:val="21"/>
          <w:u w:val="none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D4D4D"/>
          <w:spacing w:val="0"/>
          <w:sz w:val="21"/>
          <w:szCs w:val="21"/>
        </w:rPr>
        <w:t>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A884ED"/>
    <w:multiLevelType w:val="singleLevel"/>
    <w:tmpl w:val="8CA884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44DFCF1"/>
    <w:multiLevelType w:val="singleLevel"/>
    <w:tmpl w:val="E44DFCF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35EFDD8"/>
    <w:multiLevelType w:val="singleLevel"/>
    <w:tmpl w:val="F35EFDD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F86C8588"/>
    <w:multiLevelType w:val="singleLevel"/>
    <w:tmpl w:val="F86C858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28656308"/>
    <w:multiLevelType w:val="singleLevel"/>
    <w:tmpl w:val="2865630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6295A35C"/>
    <w:multiLevelType w:val="singleLevel"/>
    <w:tmpl w:val="6295A35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2YmYyZDVkMDFkMmE4ODM3OTk4YzZlMTY3YTY4N2UifQ=="/>
  </w:docVars>
  <w:rsids>
    <w:rsidRoot w:val="70416C3F"/>
    <w:rsid w:val="002E1ECF"/>
    <w:rsid w:val="006F72BB"/>
    <w:rsid w:val="012F6634"/>
    <w:rsid w:val="02BF44B5"/>
    <w:rsid w:val="038B321A"/>
    <w:rsid w:val="03BB2AA1"/>
    <w:rsid w:val="05114273"/>
    <w:rsid w:val="07CF030D"/>
    <w:rsid w:val="07DD6ABC"/>
    <w:rsid w:val="0879136E"/>
    <w:rsid w:val="0F8B66D5"/>
    <w:rsid w:val="0FF51B74"/>
    <w:rsid w:val="10A01A4C"/>
    <w:rsid w:val="10A21BF2"/>
    <w:rsid w:val="1476018E"/>
    <w:rsid w:val="14F05D98"/>
    <w:rsid w:val="1622497D"/>
    <w:rsid w:val="16690973"/>
    <w:rsid w:val="181C3D58"/>
    <w:rsid w:val="18557345"/>
    <w:rsid w:val="18572E40"/>
    <w:rsid w:val="1CE0255C"/>
    <w:rsid w:val="1E287AF8"/>
    <w:rsid w:val="20A03274"/>
    <w:rsid w:val="219C541D"/>
    <w:rsid w:val="2352575D"/>
    <w:rsid w:val="23D0233B"/>
    <w:rsid w:val="26814A99"/>
    <w:rsid w:val="26994B4C"/>
    <w:rsid w:val="27644BB7"/>
    <w:rsid w:val="290B1084"/>
    <w:rsid w:val="291E7033"/>
    <w:rsid w:val="2B271F63"/>
    <w:rsid w:val="2BF30C0A"/>
    <w:rsid w:val="2C271F90"/>
    <w:rsid w:val="2C857EDA"/>
    <w:rsid w:val="2D1B74EB"/>
    <w:rsid w:val="2D852D61"/>
    <w:rsid w:val="31613C58"/>
    <w:rsid w:val="33972509"/>
    <w:rsid w:val="33AD2BD0"/>
    <w:rsid w:val="33D927A6"/>
    <w:rsid w:val="35BA7826"/>
    <w:rsid w:val="3610675C"/>
    <w:rsid w:val="37AB5678"/>
    <w:rsid w:val="3B8770D2"/>
    <w:rsid w:val="3B887DBD"/>
    <w:rsid w:val="3CB640E0"/>
    <w:rsid w:val="3DA45BCD"/>
    <w:rsid w:val="3FF37BBC"/>
    <w:rsid w:val="40623BB7"/>
    <w:rsid w:val="42BF647C"/>
    <w:rsid w:val="45B00FF0"/>
    <w:rsid w:val="4732014C"/>
    <w:rsid w:val="492B4FEF"/>
    <w:rsid w:val="4A5A46D3"/>
    <w:rsid w:val="4B7C296B"/>
    <w:rsid w:val="4C690CD4"/>
    <w:rsid w:val="4D311D24"/>
    <w:rsid w:val="4FD613E0"/>
    <w:rsid w:val="51F40144"/>
    <w:rsid w:val="53FD5FC4"/>
    <w:rsid w:val="551B0596"/>
    <w:rsid w:val="57942259"/>
    <w:rsid w:val="589D6F9A"/>
    <w:rsid w:val="59B86B81"/>
    <w:rsid w:val="5AE20984"/>
    <w:rsid w:val="62C03E1E"/>
    <w:rsid w:val="6467775E"/>
    <w:rsid w:val="64AB2758"/>
    <w:rsid w:val="65DF7F4E"/>
    <w:rsid w:val="695B0062"/>
    <w:rsid w:val="6D242B9A"/>
    <w:rsid w:val="6FF52628"/>
    <w:rsid w:val="70416C3F"/>
    <w:rsid w:val="713E1976"/>
    <w:rsid w:val="71B71266"/>
    <w:rsid w:val="76565163"/>
    <w:rsid w:val="774E3661"/>
    <w:rsid w:val="7794710B"/>
    <w:rsid w:val="793465D2"/>
    <w:rsid w:val="798870FF"/>
    <w:rsid w:val="7F0B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qFormat/>
    <w:uiPriority w:val="0"/>
    <w:pPr>
      <w:keepNext/>
      <w:keepLines/>
      <w:spacing w:line="412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60" w:lineRule="auto"/>
      <w:ind w:firstLine="200" w:firstLineChars="200"/>
    </w:pPr>
    <w:rPr>
      <w:rFonts w:eastAsia="仿宋_GB2312"/>
      <w:color w:val="000000"/>
      <w:kern w:val="0"/>
      <w:sz w:val="28"/>
      <w:szCs w:val="20"/>
      <w:lang w:val="zh-CN" w:eastAsia="zh-CN"/>
    </w:rPr>
  </w:style>
  <w:style w:type="paragraph" w:styleId="4">
    <w:name w:val="Body Text"/>
    <w:basedOn w:val="1"/>
    <w:qFormat/>
    <w:uiPriority w:val="1"/>
    <w:pPr>
      <w:spacing w:before="231"/>
      <w:ind w:left="120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5">
    <w:name w:val="Body Text Indent"/>
    <w:basedOn w:val="1"/>
    <w:next w:val="6"/>
    <w:qFormat/>
    <w:uiPriority w:val="0"/>
    <w:pPr>
      <w:spacing w:line="360" w:lineRule="auto"/>
      <w:ind w:firstLine="560" w:firstLineChars="200"/>
    </w:pPr>
    <w:rPr>
      <w:rFonts w:ascii="仿宋_GB2312" w:hAnsi="宋体" w:eastAsia="仿宋_GB2312"/>
      <w:bCs/>
      <w:sz w:val="28"/>
      <w:szCs w:val="28"/>
    </w:rPr>
  </w:style>
  <w:style w:type="paragraph" w:styleId="6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7">
    <w:name w:val="Body Text First Indent 2"/>
    <w:basedOn w:val="5"/>
    <w:next w:val="3"/>
    <w:qFormat/>
    <w:uiPriority w:val="0"/>
    <w:pPr>
      <w:ind w:firstLine="420" w:firstLineChars="200"/>
    </w:pPr>
  </w:style>
  <w:style w:type="character" w:styleId="10">
    <w:name w:val="Hyperlink"/>
    <w:basedOn w:val="9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2022-02-22T06:11:00Z</dcterms:created>
  <dc:creator>雅戈</dc:creator>
  <cp:lastModifiedBy>唐雅</cp:lastModifiedBy>
  <dcterms:modified xsi:type="dcterms:W3CDTF">2023-10-18T08:24:42Z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D9109938598E4153A643CBA182B3030F_12</vt:lpwstr>
  </property>
</Properties>
</file>