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9" w:line="222" w:lineRule="auto"/>
        <w:jc w:val="center"/>
        <w:rPr>
          <w:rFonts w:hint="eastAsia" w:ascii="方正小标宋_GBK" w:hAnsi="方正小标宋_GBK" w:eastAsia="方正小标宋_GBK" w:cs="方正小标宋_GBK"/>
          <w:spacing w:val="0"/>
          <w:w w:val="100"/>
          <w:sz w:val="44"/>
          <w:szCs w:val="44"/>
          <w:lang w:eastAsia="zh-CN"/>
          <w14:textOutline w14:w="8356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方正小标宋_GBK" w:hAnsi="方正小标宋_GBK" w:eastAsia="方正小标宋_GBK" w:cs="方正小标宋_GBK"/>
          <w:spacing w:val="0"/>
          <w:w w:val="100"/>
          <w:sz w:val="44"/>
          <w:szCs w:val="44"/>
          <w14:textOutline w14:w="8356" w14:cap="flat" w14:cmpd="sng">
            <w14:solidFill>
              <w14:srgbClr w14:val="000000"/>
            </w14:solidFill>
            <w14:prstDash w14:val="solid"/>
            <w14:miter w14:val="0"/>
          </w14:textOutline>
        </w:rPr>
        <w:t>2022年</w:t>
      </w:r>
      <w:r>
        <w:rPr>
          <w:rFonts w:hint="eastAsia" w:ascii="方正小标宋_GBK" w:hAnsi="方正小标宋_GBK" w:eastAsia="方正小标宋_GBK" w:cs="方正小标宋_GBK"/>
          <w:spacing w:val="0"/>
          <w:w w:val="100"/>
          <w:sz w:val="44"/>
          <w:szCs w:val="44"/>
          <w:lang w:eastAsia="zh-CN"/>
          <w14:textOutline w14:w="8356" w14:cap="flat" w14:cmpd="sng">
            <w14:solidFill>
              <w14:srgbClr w14:val="000000"/>
            </w14:solidFill>
            <w14:prstDash w14:val="solid"/>
            <w14:miter w14:val="0"/>
          </w14:textOutline>
        </w:rPr>
        <w:t>湖南省交通运输厅科技信息中心</w:t>
      </w:r>
    </w:p>
    <w:p>
      <w:pPr>
        <w:spacing w:before="149" w:line="222" w:lineRule="auto"/>
        <w:jc w:val="center"/>
        <w:rPr>
          <w:rFonts w:hint="eastAsia" w:ascii="方正小标宋_GBK" w:hAnsi="方正小标宋_GBK" w:eastAsia="方正小标宋_GBK" w:cs="方正小标宋_GBK"/>
          <w:spacing w:val="0"/>
          <w:w w:val="1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0"/>
          <w:w w:val="100"/>
          <w:sz w:val="44"/>
          <w:szCs w:val="44"/>
          <w14:textOutline w14:w="8356" w14:cap="flat" w14:cmpd="sng">
            <w14:solidFill>
              <w14:srgbClr w14:val="000000"/>
            </w14:solidFill>
            <w14:prstDash w14:val="solid"/>
            <w14:miter w14:val="0"/>
          </w14:textOutline>
        </w:rPr>
        <w:t>部门预算</w:t>
      </w:r>
    </w:p>
    <w:p>
      <w:pPr>
        <w:spacing w:line="341" w:lineRule="auto"/>
        <w:rPr>
          <w:rFonts w:ascii="Arial"/>
          <w:sz w:val="21"/>
        </w:rPr>
      </w:pPr>
    </w:p>
    <w:p>
      <w:pPr>
        <w:spacing w:before="104" w:line="228" w:lineRule="auto"/>
        <w:ind w:firstLine="3804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-19"/>
          <w:sz w:val="32"/>
          <w:szCs w:val="32"/>
          <w14:textOutline w14:w="5816" w14:cap="flat" w14:cmpd="sng">
            <w14:solidFill>
              <w14:srgbClr w14:val="000000"/>
            </w14:solidFill>
            <w14:prstDash w14:val="solid"/>
            <w14:miter w14:val="0"/>
          </w14:textOutline>
        </w:rPr>
        <w:t>目</w:t>
      </w:r>
      <w:r>
        <w:rPr>
          <w:rFonts w:hint="eastAsia" w:ascii="方正黑体_GBK" w:hAnsi="方正黑体_GBK" w:eastAsia="方正黑体_GBK" w:cs="方正黑体_GBK"/>
          <w:spacing w:val="-14"/>
          <w:sz w:val="32"/>
          <w:szCs w:val="32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-19"/>
          <w:sz w:val="32"/>
          <w:szCs w:val="32"/>
          <w14:textOutline w14:w="5816" w14:cap="flat" w14:cmpd="sng">
            <w14:solidFill>
              <w14:srgbClr w14:val="000000"/>
            </w14:solidFill>
            <w14:prstDash w14:val="solid"/>
            <w14:miter w14:val="0"/>
          </w14:textOutline>
        </w:rPr>
        <w:t>录</w:t>
      </w:r>
    </w:p>
    <w:p>
      <w:pPr>
        <w:spacing w:line="346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before="104" w:line="620" w:lineRule="exact"/>
        <w:rPr>
          <w:rFonts w:hint="eastAsia" w:ascii="方正楷体_GBK" w:hAnsi="方正楷体_GBK" w:eastAsia="方正楷体_GBK" w:cs="方正楷体_GBK"/>
          <w:b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bCs/>
          <w:spacing w:val="12"/>
          <w:position w:val="22"/>
          <w:sz w:val="32"/>
          <w:szCs w:val="32"/>
          <w14:textOutline w14:w="5816" w14:cap="flat" w14:cmpd="sng">
            <w14:solidFill>
              <w14:srgbClr w14:val="000000"/>
            </w14:solidFill>
            <w14:prstDash w14:val="solid"/>
            <w14:miter w14:val="0"/>
          </w14:textOutline>
        </w:rPr>
        <w:t>第一部分2022年部门预算说明</w:t>
      </w:r>
    </w:p>
    <w:p>
      <w:pPr>
        <w:spacing w:before="1" w:line="221" w:lineRule="auto"/>
        <w:rPr>
          <w:rFonts w:hint="eastAsia" w:ascii="方正楷体_GBK" w:hAnsi="方正楷体_GBK" w:eastAsia="方正楷体_GBK" w:cs="方正楷体_GBK"/>
          <w:b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bCs/>
          <w:spacing w:val="13"/>
          <w:sz w:val="32"/>
          <w:szCs w:val="32"/>
          <w14:textOutline w14:w="5816" w14:cap="flat" w14:cmpd="sng">
            <w14:solidFill>
              <w14:srgbClr w14:val="000000"/>
            </w14:solidFill>
            <w14:prstDash w14:val="solid"/>
            <w14:miter w14:val="0"/>
          </w14:textOutline>
        </w:rPr>
        <w:t>第二部分2022年部门预算表</w:t>
      </w:r>
    </w:p>
    <w:p>
      <w:pPr>
        <w:spacing w:before="205" w:line="223" w:lineRule="auto"/>
        <w:ind w:firstLine="64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1、收支总表</w:t>
      </w:r>
    </w:p>
    <w:p>
      <w:pPr>
        <w:spacing w:before="214" w:line="223" w:lineRule="auto"/>
        <w:ind w:firstLine="64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2、收入总表</w:t>
      </w:r>
    </w:p>
    <w:p>
      <w:pPr>
        <w:spacing w:before="213" w:line="224" w:lineRule="auto"/>
        <w:ind w:firstLine="64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3、支出总表</w:t>
      </w:r>
    </w:p>
    <w:p>
      <w:pPr>
        <w:spacing w:before="212" w:line="221" w:lineRule="auto"/>
        <w:ind w:firstLine="64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4、支出预算分类汇总表(按政府预算经济分类)</w:t>
      </w:r>
    </w:p>
    <w:p>
      <w:pPr>
        <w:spacing w:before="217" w:line="221" w:lineRule="auto"/>
        <w:ind w:firstLine="64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5、支出预算分类汇总表(按部门预算经济分类)</w:t>
      </w:r>
    </w:p>
    <w:p>
      <w:pPr>
        <w:spacing w:before="217" w:line="223" w:lineRule="auto"/>
        <w:ind w:firstLine="64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6、财政拨款收支总表</w:t>
      </w:r>
    </w:p>
    <w:p>
      <w:pPr>
        <w:spacing w:before="213" w:line="222" w:lineRule="auto"/>
        <w:ind w:firstLine="64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7、一般公共预算支出表</w:t>
      </w:r>
    </w:p>
    <w:p>
      <w:pPr>
        <w:spacing w:before="216" w:line="346" w:lineRule="auto"/>
        <w:ind w:left="199" w:right="13" w:firstLine="450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8、一般公共预算基本支出表-人员经费(工资福利支出)(按政府预算经济分类)</w:t>
      </w:r>
    </w:p>
    <w:p>
      <w:pPr>
        <w:spacing w:line="610" w:lineRule="exact"/>
        <w:ind w:firstLine="64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position w:val="21"/>
          <w:sz w:val="32"/>
          <w:szCs w:val="32"/>
        </w:rPr>
        <w:t>9、一般公共预算基本支出表-人员经费(工资福利支出)</w:t>
      </w:r>
    </w:p>
    <w:p>
      <w:pPr>
        <w:spacing w:before="1" w:line="220" w:lineRule="auto"/>
        <w:ind w:firstLine="19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(按部门预算经济分类)</w:t>
      </w:r>
    </w:p>
    <w:p>
      <w:pPr>
        <w:spacing w:before="198" w:line="346" w:lineRule="auto"/>
        <w:ind w:left="89" w:right="63" w:firstLine="62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10、一般公共预算基本支出表-人员经费(对个人和家庭的补助)(按政府预算经济分类)</w:t>
      </w:r>
    </w:p>
    <w:p>
      <w:pPr>
        <w:spacing w:line="610" w:lineRule="exact"/>
        <w:ind w:firstLine="72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position w:val="21"/>
          <w:sz w:val="32"/>
          <w:szCs w:val="32"/>
        </w:rPr>
        <w:t>11、一般公共预算基本支出表-人员经费(对个人和家庭</w:t>
      </w:r>
    </w:p>
    <w:p>
      <w:pPr>
        <w:spacing w:before="2" w:line="220" w:lineRule="auto"/>
        <w:ind w:firstLine="9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的补助)(按部门预算经济分类)</w:t>
      </w:r>
    </w:p>
    <w:p>
      <w:pPr>
        <w:spacing w:before="147" w:line="184" w:lineRule="auto"/>
        <w:ind w:firstLine="417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4</w:t>
      </w:r>
    </w:p>
    <w:p>
      <w:pP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sectPr>
          <w:pgSz w:w="11900" w:h="16830"/>
          <w:pgMar w:top="400" w:right="1785" w:bottom="400" w:left="1710" w:header="0" w:footer="0" w:gutter="0"/>
          <w:cols w:space="720" w:num="1"/>
        </w:sectPr>
      </w:pPr>
    </w:p>
    <w:p>
      <w:pPr>
        <w:spacing w:line="302" w:lineRule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</w:p>
    <w:p>
      <w:pPr>
        <w:spacing w:line="302" w:lineRule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</w:p>
    <w:p>
      <w:pPr>
        <w:spacing w:line="302" w:lineRule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</w:p>
    <w:p>
      <w:pPr>
        <w:spacing w:before="110" w:line="326" w:lineRule="auto"/>
        <w:ind w:right="121" w:firstLine="63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12、一般公共预算基本支出表-公用经费(商品和服务支出)(按政府预算经济分类)</w:t>
      </w:r>
    </w:p>
    <w:p>
      <w:pPr>
        <w:spacing w:before="2" w:line="325" w:lineRule="auto"/>
        <w:ind w:right="141" w:firstLine="63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13、一般公共预算基本支出表-公用经费(商品和服务支出)(按部门预算经济分类)</w:t>
      </w:r>
    </w:p>
    <w:p>
      <w:pPr>
        <w:spacing w:before="1" w:line="221" w:lineRule="auto"/>
        <w:ind w:firstLine="63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14、一般公共预算"三公"经费支出表</w:t>
      </w:r>
    </w:p>
    <w:p>
      <w:pPr>
        <w:spacing w:before="192" w:line="220" w:lineRule="auto"/>
        <w:ind w:firstLine="63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15、政府性基金预算支出表</w:t>
      </w:r>
    </w:p>
    <w:p>
      <w:pPr>
        <w:spacing w:before="193" w:line="326" w:lineRule="auto"/>
        <w:ind w:right="159" w:firstLine="63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16、政府性基金预算支出分类汇总表(按政府预算经济分类）</w:t>
      </w:r>
    </w:p>
    <w:p>
      <w:pPr>
        <w:spacing w:before="3" w:line="325" w:lineRule="auto"/>
        <w:ind w:right="159" w:firstLine="63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17、政府性基金预算支出分类汇总表(按部门预算经济分类）</w:t>
      </w:r>
    </w:p>
    <w:p>
      <w:pPr>
        <w:spacing w:before="1" w:line="221" w:lineRule="auto"/>
        <w:ind w:firstLine="63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18、国有资本经营预算支出表</w:t>
      </w:r>
    </w:p>
    <w:p>
      <w:pPr>
        <w:spacing w:before="191" w:line="222" w:lineRule="auto"/>
        <w:ind w:firstLine="63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19、财政专户管理资金预算支出表</w:t>
      </w:r>
    </w:p>
    <w:p>
      <w:pPr>
        <w:spacing w:before="192" w:line="222" w:lineRule="auto"/>
        <w:ind w:firstLine="63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20、省级专项资金预算汇总表</w:t>
      </w:r>
    </w:p>
    <w:p>
      <w:pPr>
        <w:spacing w:before="192" w:line="222" w:lineRule="auto"/>
        <w:ind w:firstLine="63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21、省级专项资金绩效目标表</w:t>
      </w:r>
    </w:p>
    <w:p>
      <w:pPr>
        <w:spacing w:before="190" w:line="222" w:lineRule="auto"/>
        <w:ind w:firstLine="63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22、其他项目支出绩效目标表</w:t>
      </w:r>
    </w:p>
    <w:p>
      <w:pPr>
        <w:spacing w:before="191" w:line="222" w:lineRule="auto"/>
        <w:ind w:firstLine="63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23、部门整体支出绩效目标表</w:t>
      </w:r>
    </w:p>
    <w:p>
      <w:pPr>
        <w:spacing w:before="194" w:line="330" w:lineRule="auto"/>
        <w:ind w:left="29" w:right="50" w:firstLine="609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注:以上部门预算报表中,空表表示本部门无相关收支情况。</w:t>
      </w:r>
    </w:p>
    <w:p>
      <w:pP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sectPr>
          <w:footerReference r:id="rId5" w:type="default"/>
          <w:pgSz w:w="11900" w:h="16830"/>
          <w:pgMar w:top="400" w:right="1785" w:bottom="1044" w:left="1730" w:header="0" w:footer="935" w:gutter="0"/>
          <w:cols w:space="720" w:num="1"/>
        </w:sectPr>
      </w:pPr>
    </w:p>
    <w:p>
      <w:pPr>
        <w:spacing w:line="291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291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292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tLeast"/>
        <w:ind w:firstLine="2496" w:firstLineChars="8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  <w14:textOutline w14:w="6896" w14:cap="flat" w14:cmpd="sng">
            <w14:solidFill>
              <w14:srgbClr w14:val="000000"/>
            </w14:solidFill>
            <w14:prstDash w14:val="solid"/>
            <w14:miter w14:val="0"/>
          </w14:textOutline>
        </w:rPr>
        <w:t>第一部分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  <w14:textOutline w14:w="6896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14:textOutline w14:w="6896" w14:cap="flat" w14:cmpd="sng">
            <w14:solidFill>
              <w14:srgbClr w14:val="000000"/>
            </w14:solidFill>
            <w14:prstDash w14:val="solid"/>
            <w14:miter w14:val="0"/>
          </w14:textOutline>
        </w:rPr>
        <w:t>2022年部门预算说明</w:t>
      </w:r>
    </w:p>
    <w:p>
      <w:pPr>
        <w:spacing w:line="337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37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0"/>
        </w:numPr>
        <w:spacing w:before="111" w:line="221" w:lineRule="auto"/>
        <w:ind w:firstLine="548" w:firstLineChars="200"/>
        <w:outlineLvl w:val="0"/>
        <w:rPr>
          <w:rFonts w:hint="eastAsia" w:ascii="仿宋_GB2312" w:hAnsi="仿宋_GB2312" w:eastAsia="仿宋_GB2312" w:cs="仿宋_GB2312"/>
          <w:b w:val="0"/>
          <w:bCs w:val="0"/>
          <w:spacing w:val="-23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23"/>
          <w:sz w:val="32"/>
          <w:szCs w:val="32"/>
          <w:lang w:eastAsia="zh-CN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一、</w:t>
      </w:r>
      <w:r>
        <w:rPr>
          <w:rFonts w:hint="eastAsia" w:ascii="仿宋_GB2312" w:hAnsi="仿宋_GB2312" w:eastAsia="仿宋_GB2312" w:cs="仿宋_GB2312"/>
          <w:b w:val="0"/>
          <w:bCs w:val="0"/>
          <w:spacing w:val="-23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部门基本概况</w:t>
      </w:r>
    </w:p>
    <w:p>
      <w:pPr>
        <w:numPr>
          <w:ilvl w:val="0"/>
          <w:numId w:val="0"/>
        </w:numPr>
        <w:spacing w:before="111" w:line="221" w:lineRule="auto"/>
        <w:outlineLvl w:val="0"/>
        <w:rPr>
          <w:rFonts w:hint="eastAsia" w:ascii="仿宋_GB2312" w:hAnsi="仿宋_GB2312" w:eastAsia="仿宋_GB2312" w:cs="仿宋_GB2312"/>
          <w:b w:val="0"/>
          <w:bCs w:val="0"/>
          <w:spacing w:val="-23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line="360" w:lineRule="auto"/>
        <w:ind w:firstLine="843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6"/>
          <w:w w:val="98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(一)职能职责</w:t>
      </w:r>
      <w:r>
        <w:rPr>
          <w:rFonts w:hint="eastAsia" w:ascii="仿宋_GB2312" w:hAnsi="仿宋_GB2312" w:eastAsia="仿宋_GB2312" w:cs="仿宋_GB2312"/>
          <w:b w:val="0"/>
          <w:bCs w:val="0"/>
          <w:spacing w:val="-16"/>
          <w:w w:val="98"/>
          <w:sz w:val="32"/>
          <w:szCs w:val="32"/>
          <w:lang w:eastAsia="zh-CN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编</w:t>
      </w:r>
      <w:r>
        <w:rPr>
          <w:rFonts w:hint="eastAsia" w:ascii="仿宋_GB2312" w:hAnsi="仿宋_GB2312" w:eastAsia="仿宋_GB2312" w:cs="仿宋_GB2312"/>
          <w:sz w:val="32"/>
          <w:szCs w:val="32"/>
        </w:rPr>
        <w:t>制全省交通信息化发展规划；指导与协调交通信息化建设工作；建设与管理全省交通信息网络系统；组织实施政府上网工程；负责交通政务信息的采编、发布以及办公自动化的应用；研究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开发与推广交通计算机应用系统，并负责技术培训工作，承担厅交办的其他工作任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务。</w:t>
      </w:r>
    </w:p>
    <w:p>
      <w:pPr>
        <w:spacing w:line="360" w:lineRule="auto"/>
        <w:ind w:firstLine="766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-33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/>
          <w:bCs/>
          <w:spacing w:val="-33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pacing w:val="10"/>
          <w:sz w:val="32"/>
          <w:szCs w:val="32"/>
        </w:rPr>
        <w:t>机构设置</w:t>
      </w:r>
      <w:r>
        <w:rPr>
          <w:rFonts w:hint="eastAsia" w:ascii="仿宋_GB2312" w:hAnsi="仿宋_GB2312" w:eastAsia="仿宋_GB2312" w:cs="仿宋_GB2312"/>
          <w:b/>
          <w:bCs/>
          <w:spacing w:val="1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中心设有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综合管理部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政务服务部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数据资源部、智能监测部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项目管理部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before="194" w:line="222" w:lineRule="auto"/>
        <w:ind w:firstLine="5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5"/>
          <w:sz w:val="32"/>
          <w:szCs w:val="32"/>
          <w:lang w:eastAsia="zh-CN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hint="eastAsia" w:ascii="仿宋_GB2312" w:hAnsi="仿宋_GB2312" w:eastAsia="仿宋_GB2312" w:cs="仿宋_GB2312"/>
          <w:spacing w:val="-25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、部门预算单位构成</w:t>
      </w:r>
    </w:p>
    <w:p>
      <w:pPr>
        <w:spacing w:before="199" w:line="221" w:lineRule="auto"/>
        <w:ind w:firstLine="58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16"/>
          <w:w w:val="98"/>
          <w:sz w:val="32"/>
          <w:szCs w:val="32"/>
        </w:rPr>
        <w:t>本部门</w:t>
      </w:r>
      <w:r>
        <w:rPr>
          <w:rFonts w:hint="eastAsia" w:ascii="仿宋_GB2312" w:hAnsi="仿宋_GB2312" w:eastAsia="仿宋_GB2312" w:cs="仿宋_GB2312"/>
          <w:spacing w:val="-16"/>
          <w:w w:val="98"/>
          <w:sz w:val="32"/>
          <w:szCs w:val="32"/>
          <w:lang w:eastAsia="zh-CN"/>
        </w:rPr>
        <w:t>只有本级</w:t>
      </w:r>
      <w:r>
        <w:rPr>
          <w:rFonts w:hint="eastAsia" w:ascii="仿宋_GB2312" w:hAnsi="仿宋_GB2312" w:eastAsia="仿宋_GB2312" w:cs="仿宋_GB2312"/>
          <w:spacing w:val="-16"/>
          <w:w w:val="98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pacing w:val="-16"/>
          <w:w w:val="98"/>
          <w:sz w:val="32"/>
          <w:szCs w:val="32"/>
          <w:lang w:eastAsia="zh-CN"/>
        </w:rPr>
        <w:t>没有其他部门预算</w:t>
      </w:r>
      <w:r>
        <w:rPr>
          <w:rFonts w:hint="eastAsia" w:ascii="仿宋_GB2312" w:hAnsi="仿宋_GB2312" w:eastAsia="仿宋_GB2312" w:cs="仿宋_GB2312"/>
          <w:color w:val="000000" w:themeColor="text1"/>
          <w:spacing w:val="-16"/>
          <w:w w:val="98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="仿宋_GB2312" w:hAnsi="仿宋_GB2312" w:eastAsia="仿宋_GB2312" w:cs="仿宋_GB2312"/>
          <w:spacing w:val="-16"/>
          <w:w w:val="98"/>
          <w:sz w:val="32"/>
          <w:szCs w:val="32"/>
          <w:lang w:eastAsia="zh-CN"/>
        </w:rPr>
        <w:t>，因此本部门预算仅含本级预算。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40" w:firstLineChars="200"/>
        <w:textAlignment w:val="baseline"/>
        <w:outlineLvl w:val="0"/>
        <w:rPr>
          <w:rFonts w:hint="eastAsia" w:ascii="仿宋_GB2312" w:hAnsi="仿宋_GB2312" w:eastAsia="仿宋_GB2312" w:cs="仿宋_GB2312"/>
          <w:spacing w:val="-25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仿宋_GB2312" w:hAnsi="仿宋_GB2312" w:eastAsia="仿宋_GB2312" w:cs="仿宋_GB2312"/>
          <w:spacing w:val="-25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部门收支总体情况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本部门2022年没有政府性基金预算拨款、国有资本经营预算收入和纳入专户管理的非税收入拨款收入，也没有使用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政府性基金预算拨款、国有资本经营预算收入和纳入专户管理的非税收入拨款安排的支出，所以公开的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预算表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15、16、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17、18、19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20、21表均为空。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收入包括经费拨款，也包括行政事业性收费收入和国有资源有偿使用收入，支出包括保障事业单位基本运行的经费，也包括信息化建设等业务工作经费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spacing w:before="189" w:line="331" w:lineRule="auto"/>
        <w:ind w:right="59" w:firstLine="734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(一)</w:t>
      </w:r>
      <w:r>
        <w:rPr>
          <w:rFonts w:hint="eastAsia" w:ascii="仿宋_GB2312" w:hAnsi="仿宋_GB2312" w:eastAsia="仿宋_GB2312" w:cs="仿宋_GB2312"/>
          <w:spacing w:val="39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收入预算: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包括一般公共预算、政府性基金、国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</w:rPr>
        <w:t>有资本经营预算等财政拨款收入,以及经营收入、事业收入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等单位资金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2022年本部门收入预算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u w:val="none"/>
          <w:lang w:val="en-US" w:eastAsia="zh-CN"/>
        </w:rPr>
        <w:t>2547.88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万元,其中,一般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公共预算拨款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  <w:u w:val="none"/>
          <w:lang w:val="en-US" w:eastAsia="zh-CN"/>
        </w:rPr>
        <w:t>2547.88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万元,政府性基金预算拨款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万元,国有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</w:rPr>
        <w:t>资本经营预算拨款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  <w:u w:val="none"/>
        </w:rPr>
        <w:t>万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</w:rPr>
        <w:t>元,纳入专户管理的非税收入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  <w:u w:val="none" w:color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pacing w:val="-58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58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较去年增加</w:t>
      </w:r>
      <w:r>
        <w:rPr>
          <w:rFonts w:hint="eastAsia" w:ascii="仿宋_GB2312" w:hAnsi="仿宋_GB2312" w:eastAsia="仿宋_GB2312" w:cs="仿宋_GB2312"/>
          <w:spacing w:val="-40"/>
          <w:sz w:val="32"/>
          <w:szCs w:val="32"/>
          <w:u w:val="none"/>
          <w:lang w:val="en-US" w:eastAsia="zh-CN"/>
        </w:rPr>
        <w:t>867.11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万元,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  <w:lang w:eastAsia="zh-CN"/>
        </w:rPr>
        <w:t>增加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  <w:lang w:val="en-US" w:eastAsia="zh-CN"/>
        </w:rPr>
        <w:t>51.59%，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主要是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  <w:lang w:val="en-US" w:eastAsia="zh-CN"/>
        </w:rPr>
        <w:t>2022年中心在职职工因人员编制增加而增加了10人，同时中心加大了网络安全、软件升级维护项目的资金投入，新增了值班值守等项目经费。</w:t>
      </w:r>
    </w:p>
    <w:p>
      <w:pPr>
        <w:spacing w:before="134" w:line="325" w:lineRule="auto"/>
        <w:ind w:right="20" w:firstLine="73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(二)</w:t>
      </w:r>
      <w:r>
        <w:rPr>
          <w:rFonts w:hint="eastAsia" w:ascii="仿宋_GB2312" w:hAnsi="仿宋_GB2312" w:eastAsia="仿宋_GB2312" w:cs="仿宋_GB2312"/>
          <w:spacing w:val="43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支出预算: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u w:val="none" w:color="auto"/>
        </w:rPr>
        <w:t>年本部门支出预算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u w:val="none" w:color="auto"/>
          <w:lang w:val="en-US" w:eastAsia="zh-CN"/>
        </w:rPr>
        <w:t>2547.88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万元,其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中,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lang w:eastAsia="zh-CN"/>
        </w:rPr>
        <w:t>社会保障和就业支出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sz w:val="32"/>
          <w:szCs w:val="32"/>
          <w:u w:val="none"/>
          <w:lang w:val="en-US" w:eastAsia="zh-CN"/>
        </w:rPr>
        <w:t>60.62万元，交通运输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u w:val="none"/>
          <w:lang w:val="en-US" w:eastAsia="zh-CN"/>
        </w:rPr>
        <w:t>2384.81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万元，住房保障支出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u w:val="none"/>
          <w:lang w:val="en-US" w:eastAsia="zh-CN"/>
        </w:rPr>
        <w:t>102.45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万元，</w:t>
      </w:r>
      <w:r>
        <w:rPr>
          <w:rFonts w:eastAsia="仿宋_GB2312"/>
          <w:sz w:val="32"/>
          <w:szCs w:val="32"/>
        </w:rPr>
        <w:t>支出较</w:t>
      </w:r>
      <w:r>
        <w:rPr>
          <w:rFonts w:hint="eastAsia" w:eastAsia="仿宋_GB2312"/>
          <w:sz w:val="32"/>
          <w:szCs w:val="32"/>
        </w:rPr>
        <w:t>上年同口径支出预算相比</w:t>
      </w:r>
      <w:r>
        <w:rPr>
          <w:rFonts w:hint="eastAsia" w:eastAsia="仿宋_GB2312"/>
          <w:sz w:val="32"/>
          <w:szCs w:val="32"/>
          <w:lang w:eastAsia="zh-CN"/>
        </w:rPr>
        <w:t>增加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867.11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中心人员编制增加和因为工作需求增加了网络安全等相关项目支出。</w:t>
      </w:r>
    </w:p>
    <w:p>
      <w:pPr>
        <w:spacing w:before="110" w:line="221" w:lineRule="auto"/>
        <w:ind w:firstLine="548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3"/>
          <w:sz w:val="32"/>
          <w:szCs w:val="32"/>
          <w:lang w:eastAsia="zh-CN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四、</w:t>
      </w:r>
      <w:r>
        <w:rPr>
          <w:rFonts w:hint="eastAsia" w:ascii="仿宋_GB2312" w:hAnsi="仿宋_GB2312" w:eastAsia="仿宋_GB2312" w:cs="仿宋_GB2312"/>
          <w:spacing w:val="-23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一般公共预算拨款支出</w:t>
      </w:r>
    </w:p>
    <w:p>
      <w:pPr>
        <w:spacing w:before="188" w:line="328" w:lineRule="auto"/>
        <w:ind w:right="134" w:firstLine="61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2022年本部门一般公共预算拨款支出预算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  <w:u w:val="none"/>
          <w:lang w:val="en-US" w:eastAsia="zh-CN"/>
        </w:rPr>
        <w:t>2547.88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  <w:u w:val="none"/>
        </w:rPr>
        <w:t>万元</w:t>
      </w:r>
      <w:r>
        <w:rPr>
          <w:rFonts w:hint="eastAsia" w:ascii="仿宋_GB2312" w:hAnsi="仿宋_GB2312" w:eastAsia="仿宋_GB2312" w:cs="仿宋_GB2312"/>
          <w:spacing w:val="-8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87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中社会保障和就业支出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60.62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pacing w:val="-99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pacing w:val="-78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78"/>
          <w:sz w:val="32"/>
          <w:szCs w:val="32"/>
          <w:lang w:eastAsia="zh-CN"/>
        </w:rPr>
        <w:t>，占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val="en-US" w:eastAsia="zh-CN"/>
        </w:rPr>
        <w:t>2.38%；交通运输支出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u w:val="none"/>
          <w:lang w:val="en-US" w:eastAsia="zh-CN"/>
        </w:rPr>
        <w:t>2384.81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val="en-US" w:eastAsia="zh-CN"/>
        </w:rPr>
        <w:t>万元，占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u w:val="none"/>
          <w:lang w:val="en-US" w:eastAsia="zh-CN"/>
        </w:rPr>
        <w:t>93.6%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val="en-US" w:eastAsia="zh-CN"/>
        </w:rPr>
        <w:t>；住房保障支出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u w:val="none"/>
          <w:lang w:val="en-US" w:eastAsia="zh-CN"/>
        </w:rPr>
        <w:t>102.45万元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val="en-US" w:eastAsia="zh-CN"/>
        </w:rPr>
        <w:t>，占4.02%。</w:t>
      </w:r>
    </w:p>
    <w:p>
      <w:pPr>
        <w:spacing w:before="1" w:line="324" w:lineRule="auto"/>
        <w:ind w:right="178" w:firstLine="77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(一)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基本支出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:2022年本部门基本支出预算数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u w:val="none"/>
          <w:lang w:val="en-US" w:eastAsia="zh-CN"/>
        </w:rPr>
        <w:t>875.07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元，</w:t>
      </w:r>
      <w:r>
        <w:rPr>
          <w:rFonts w:hint="eastAsia" w:ascii="仿宋_GB2312" w:hAnsi="仿宋_GB2312" w:eastAsia="仿宋_GB2312" w:cs="仿宋_GB2312"/>
          <w:spacing w:val="-17"/>
          <w:w w:val="99"/>
          <w:sz w:val="32"/>
          <w:szCs w:val="32"/>
        </w:rPr>
        <w:t>主要是为保障</w:t>
      </w:r>
      <w:r>
        <w:rPr>
          <w:rFonts w:hint="eastAsia" w:ascii="仿宋_GB2312" w:hAnsi="仿宋_GB2312" w:eastAsia="仿宋_GB2312" w:cs="仿宋_GB2312"/>
          <w:spacing w:val="-17"/>
          <w:w w:val="99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pacing w:val="-17"/>
          <w:w w:val="99"/>
          <w:sz w:val="32"/>
          <w:szCs w:val="32"/>
        </w:rPr>
        <w:t>正常运转、完成日常工作任务而发生</w:t>
      </w:r>
      <w:r>
        <w:rPr>
          <w:rFonts w:hint="eastAsia" w:ascii="仿宋_GB2312" w:hAnsi="仿宋_GB2312" w:eastAsia="仿宋_GB2312" w:cs="仿宋_GB2312"/>
          <w:spacing w:val="-16"/>
          <w:w w:val="99"/>
          <w:sz w:val="32"/>
          <w:szCs w:val="32"/>
        </w:rPr>
        <w:t>的各项支出,包括用于基本工资、津贴补贴等人员经费以及</w:t>
      </w:r>
      <w:r>
        <w:rPr>
          <w:rFonts w:hint="eastAsia" w:ascii="仿宋_GB2312" w:hAnsi="仿宋_GB2312" w:eastAsia="仿宋_GB2312" w:cs="仿宋_GB2312"/>
          <w:spacing w:val="-25"/>
          <w:sz w:val="32"/>
          <w:szCs w:val="32"/>
        </w:rPr>
        <w:t>办公费、印刷费、水电费、办公设备购置等公用经费。</w:t>
      </w:r>
    </w:p>
    <w:p>
      <w:pPr>
        <w:spacing w:before="7" w:line="323" w:lineRule="auto"/>
        <w:ind w:right="103" w:firstLine="77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12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(二)</w:t>
      </w:r>
      <w:r>
        <w:rPr>
          <w:rFonts w:hint="eastAsia" w:ascii="仿宋_GB2312" w:hAnsi="仿宋_GB2312" w:eastAsia="仿宋_GB2312" w:cs="仿宋_GB2312"/>
          <w:spacing w:val="89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项目支出: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2022年本部门项目支出预算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  <w:u w:val="none"/>
          <w:lang w:val="en-US" w:eastAsia="zh-CN"/>
        </w:rPr>
        <w:t>1672.81</w:t>
      </w:r>
      <w:r>
        <w:rPr>
          <w:rFonts w:hint="eastAsia" w:ascii="仿宋_GB2312" w:hAnsi="仿宋_GB2312" w:eastAsia="仿宋_GB2312" w:cs="仿宋_GB2312"/>
          <w:spacing w:val="-12"/>
          <w:position w:val="1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pacing w:val="-25"/>
          <w:sz w:val="32"/>
          <w:szCs w:val="32"/>
        </w:rPr>
        <w:t>主要是部门为完成特定行政工作任务或事业发展目标而发生的支出，包括有关事业发展专项、专项业务费、</w:t>
      </w:r>
      <w:r>
        <w:rPr>
          <w:rFonts w:hint="eastAsia" w:ascii="仿宋_GB2312" w:hAnsi="仿宋_GB2312" w:eastAsia="仿宋_GB2312" w:cs="仿宋_GB2312"/>
          <w:spacing w:val="-25"/>
          <w:sz w:val="32"/>
          <w:szCs w:val="32"/>
          <w:lang w:eastAsia="zh-CN"/>
        </w:rPr>
        <w:t>运行维护</w:t>
      </w:r>
      <w:r>
        <w:rPr>
          <w:rFonts w:hint="eastAsia" w:ascii="仿宋_GB2312" w:hAnsi="仿宋_GB2312" w:eastAsia="仿宋_GB2312" w:cs="仿宋_GB2312"/>
          <w:spacing w:val="-25"/>
          <w:sz w:val="32"/>
          <w:szCs w:val="32"/>
        </w:rPr>
        <w:t>支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出等</w:t>
      </w:r>
      <w:r>
        <w:rPr>
          <w:rFonts w:hint="eastAsia" w:ascii="仿宋_GB2312" w:hAnsi="仿宋_GB2312" w:eastAsia="仿宋_GB2312" w:cs="仿宋_GB2312"/>
          <w:spacing w:val="-6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eastAsia="zh-CN"/>
        </w:rPr>
        <w:t>其中交通运输支出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u w:val="none"/>
          <w:lang w:val="en-US" w:eastAsia="zh-CN"/>
        </w:rPr>
        <w:t>1672.81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spacing w:val="-9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,主要用于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eastAsia="zh-CN"/>
        </w:rPr>
        <w:t>数据资源中心、网络安全、行业政务、</w:t>
      </w:r>
      <w:r>
        <w:rPr>
          <w:rFonts w:hint="eastAsia" w:ascii="仿宋_GB2312" w:hAnsi="仿宋_GB2312" w:eastAsia="仿宋_GB2312" w:cs="仿宋_GB2312"/>
          <w:spacing w:val="-59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9"/>
          <w:sz w:val="32"/>
          <w:szCs w:val="32"/>
          <w:lang w:eastAsia="zh-CN"/>
        </w:rPr>
        <w:t>云计算中心运维及视频会议保障等专项业务费和运行维护费。</w:t>
      </w:r>
    </w:p>
    <w:p>
      <w:pPr>
        <w:spacing w:before="1" w:line="221" w:lineRule="auto"/>
        <w:ind w:firstLine="624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2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五、政府性基金预算支出</w:t>
      </w:r>
    </w:p>
    <w:p>
      <w:pPr>
        <w:spacing w:before="203" w:line="322" w:lineRule="auto"/>
        <w:ind w:right="64" w:firstLine="61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2022年本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lang w:eastAsia="zh-CN"/>
        </w:rPr>
        <w:t>单位无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政府性基金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lang w:eastAsia="zh-CN"/>
        </w:rPr>
        <w:t>安排的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支出预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lang w:eastAsia="zh-CN"/>
        </w:rPr>
        <w:t>算。</w:t>
      </w:r>
    </w:p>
    <w:p>
      <w:pPr>
        <w:spacing w:before="186" w:line="221" w:lineRule="auto"/>
        <w:ind w:firstLine="624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2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六、其他重要事项的情况说明</w:t>
      </w:r>
    </w:p>
    <w:p>
      <w:pPr>
        <w:spacing w:before="198" w:line="336" w:lineRule="auto"/>
        <w:ind w:right="52" w:firstLine="562" w:firstLineChars="200"/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6"/>
          <w:w w:val="98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(一)</w:t>
      </w:r>
      <w:r>
        <w:rPr>
          <w:rFonts w:hint="eastAsia" w:ascii="仿宋_GB2312" w:hAnsi="仿宋_GB2312" w:eastAsia="仿宋_GB2312" w:cs="仿宋_GB2312"/>
          <w:spacing w:val="-28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6"/>
          <w:w w:val="98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机关运行经费:</w:t>
      </w:r>
      <w:r>
        <w:rPr>
          <w:rFonts w:hint="eastAsia" w:ascii="仿宋_GB2312" w:hAnsi="仿宋_GB2312" w:eastAsia="仿宋_GB2312" w:cs="仿宋_GB2312"/>
          <w:spacing w:val="-16"/>
          <w:w w:val="98"/>
          <w:sz w:val="32"/>
          <w:szCs w:val="32"/>
        </w:rPr>
        <w:t>2022年本</w:t>
      </w:r>
      <w:r>
        <w:rPr>
          <w:rFonts w:hint="eastAsia" w:ascii="仿宋_GB2312" w:hAnsi="仿宋_GB2312" w:eastAsia="仿宋_GB2312" w:cs="仿宋_GB2312"/>
          <w:spacing w:val="-16"/>
          <w:w w:val="98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pacing w:val="-18"/>
          <w:sz w:val="32"/>
          <w:szCs w:val="32"/>
          <w:u w:val="none" w:color="auto"/>
        </w:rPr>
        <w:t>机关运行经费</w:t>
      </w:r>
      <w:r>
        <w:rPr>
          <w:rFonts w:hint="eastAsia" w:ascii="仿宋_GB2312" w:hAnsi="仿宋_GB2312" w:eastAsia="仿宋_GB2312" w:cs="仿宋_GB2312"/>
          <w:spacing w:val="-18"/>
          <w:sz w:val="32"/>
          <w:szCs w:val="32"/>
          <w:u w:val="none" w:color="auto"/>
          <w:lang w:val="en-US" w:eastAsia="zh-CN"/>
        </w:rPr>
        <w:t>134.87</w:t>
      </w:r>
      <w:r>
        <w:rPr>
          <w:rFonts w:hint="eastAsia" w:ascii="仿宋_GB2312" w:hAnsi="仿宋_GB2312" w:eastAsia="仿宋_GB2312" w:cs="仿宋_GB2312"/>
          <w:spacing w:val="-18"/>
          <w:sz w:val="32"/>
          <w:szCs w:val="32"/>
          <w:u w:val="none" w:color="auto"/>
        </w:rPr>
        <w:t>万</w:t>
      </w: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元,比上年预算增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加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u w:val="none"/>
          <w:lang w:val="en-US" w:eastAsia="zh-CN"/>
        </w:rPr>
        <w:t>32.08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万元，增加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u w:val="none"/>
          <w:lang w:val="en-US" w:eastAsia="zh-CN"/>
        </w:rPr>
        <w:t>31.21%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，主要是2022年中心在职职工编制人数由2021年的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u w:val="none"/>
          <w:lang w:val="en-US" w:eastAsia="zh-CN"/>
        </w:rPr>
        <w:t>18人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增加至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u w:val="none"/>
          <w:lang w:val="en-US" w:eastAsia="zh-CN"/>
        </w:rPr>
        <w:t>33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人，在职职工实有人数由2021年的22人增加至2022年的32人增加45.45%，所以机关运行费用有所增加。</w:t>
      </w:r>
    </w:p>
    <w:p>
      <w:pPr>
        <w:spacing w:before="110" w:line="324" w:lineRule="auto"/>
        <w:ind w:right="142" w:firstLine="588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hint="eastAsia" w:ascii="仿宋_GB2312" w:hAnsi="仿宋_GB2312" w:eastAsia="仿宋_GB2312" w:cs="仿宋_GB2312"/>
          <w:spacing w:val="-74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二)</w:t>
      </w:r>
      <w:r>
        <w:rPr>
          <w:rFonts w:hint="eastAsia" w:ascii="仿宋_GB2312" w:hAnsi="仿宋_GB2312" w:eastAsia="仿宋_GB2312" w:cs="仿宋_GB2312"/>
          <w:spacing w:val="-8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"三公"经费预算: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2022年本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"三公"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u w:val="none" w:color="auto"/>
        </w:rPr>
        <w:t>经费预算数为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u w:val="none" w:color="auto"/>
          <w:lang w:val="en-US" w:eastAsia="zh-CN"/>
        </w:rPr>
        <w:t>11.6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万元,其中,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  <w:u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万元,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  <w:u w:val="none" w:color="auto"/>
        </w:rPr>
        <w:t>公务用车购置及运行费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  <w:u w:val="none" w:color="auto"/>
          <w:lang w:val="en-US" w:eastAsia="zh-CN"/>
        </w:rPr>
        <w:t>3.6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万元(其中,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公务用车购置费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万元,公务用车运行费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  <w:u w:val="none"/>
          <w:lang w:val="en-US" w:eastAsia="zh-CN"/>
        </w:rPr>
        <w:t>3.6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万元),因公出国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(境)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  <w:lang w:eastAsia="zh-CN"/>
        </w:rPr>
        <w:t>费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  <w:lang w:val="en-US" w:eastAsia="zh-CN"/>
        </w:rPr>
        <w:t>万元，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2022年"三公"经费预算较2021年减少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  <w:u w:val="none"/>
          <w:lang w:val="en-US" w:eastAsia="zh-CN"/>
        </w:rPr>
        <w:t>1.9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万元,主要是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  <w:lang w:eastAsia="zh-CN"/>
        </w:rPr>
        <w:t>进一步压缩公务接待、公务用车费用。</w:t>
      </w:r>
    </w:p>
    <w:p>
      <w:pPr>
        <w:numPr>
          <w:ilvl w:val="0"/>
          <w:numId w:val="2"/>
        </w:numPr>
        <w:spacing w:line="322" w:lineRule="auto"/>
        <w:ind w:right="118" w:firstLine="588" w:firstLineChars="200"/>
        <w:rPr>
          <w:rFonts w:hint="eastAsia" w:ascii="仿宋_GB2312" w:hAnsi="仿宋_GB2312" w:eastAsia="仿宋_GB2312" w:cs="仿宋_GB2312"/>
          <w:spacing w:val="-6"/>
          <w:sz w:val="32"/>
          <w:szCs w:val="32"/>
          <w:u w:val="none" w:color="auto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一般性支出情况: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2022年本部门会议费预算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pacing w:val="4"/>
          <w:position w:val="-1"/>
          <w:sz w:val="32"/>
          <w:szCs w:val="32"/>
        </w:rPr>
        <w:t>元,</w:t>
      </w:r>
      <w:r>
        <w:rPr>
          <w:rFonts w:hint="eastAsia" w:ascii="仿宋_GB2312" w:hAnsi="仿宋_GB2312" w:eastAsia="仿宋_GB2312" w:cs="仿宋_GB2312"/>
          <w:spacing w:val="4"/>
          <w:position w:val="-1"/>
          <w:sz w:val="32"/>
          <w:szCs w:val="32"/>
          <w:lang w:eastAsia="zh-CN"/>
        </w:rPr>
        <w:t>内容为派出相关人员参加业务工作会议经费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;培训费预算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u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万元,拟开展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  <w:u w:val="none"/>
          <w:lang w:eastAsia="zh-CN"/>
        </w:rPr>
        <w:t>市州信息工业务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  <w:u w:val="none"/>
        </w:rPr>
        <w:t>培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训,人数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  <w:u w:val="none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  <w:lang w:eastAsia="zh-CN"/>
        </w:rPr>
        <w:t>次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  <w:u w:val="none" w:color="auto"/>
        </w:rPr>
        <w:t>内容为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  <w:u w:val="none" w:color="auto"/>
          <w:lang w:eastAsia="zh-CN"/>
        </w:rPr>
        <w:t>市州信息中心主任业务培训。无节庆、晚会、论坛、赛事活动。</w:t>
      </w:r>
    </w:p>
    <w:p>
      <w:pPr>
        <w:numPr>
          <w:ilvl w:val="0"/>
          <w:numId w:val="0"/>
        </w:numPr>
        <w:spacing w:line="322" w:lineRule="auto"/>
        <w:ind w:right="118" w:rightChars="0" w:firstLine="588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(四)</w:t>
      </w:r>
      <w:r>
        <w:rPr>
          <w:rFonts w:hint="eastAsia" w:ascii="仿宋_GB2312" w:hAnsi="仿宋_GB2312" w:eastAsia="仿宋_GB2312" w:cs="仿宋_GB2312"/>
          <w:spacing w:val="6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政府采购情况: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2022年本部门政府采购预算总额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815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万元,其中,货物类采购预算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  <w:u w:val="none" w:color="auto"/>
          <w:lang w:val="en-US" w:eastAsia="zh-CN"/>
        </w:rPr>
        <w:t>210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万元;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  <w:u w:val="none" w:color="auto"/>
        </w:rPr>
        <w:t>工程类采购预算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  <w:u w:val="none" w:color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  <w:u w:val="none" w:color="auto"/>
        </w:rPr>
        <w:t>万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  <w:u w:val="none" w:color="auto"/>
          <w:lang w:eastAsia="zh-CN"/>
        </w:rPr>
        <w:t>元；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服务类采购预算</w:t>
      </w:r>
      <w:r>
        <w:rPr>
          <w:rFonts w:hint="eastAsia" w:ascii="仿宋_GB2312" w:hAnsi="仿宋_GB2312" w:eastAsia="仿宋_GB2312" w:cs="仿宋_GB2312"/>
          <w:spacing w:val="-135"/>
          <w:sz w:val="32"/>
          <w:szCs w:val="32"/>
          <w:u w:val="non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u w:val="none" w:color="auto"/>
          <w:lang w:val="en-US" w:eastAsia="zh-CN"/>
        </w:rPr>
        <w:t>605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万元。</w:t>
      </w:r>
    </w:p>
    <w:p>
      <w:pPr>
        <w:numPr>
          <w:ilvl w:val="0"/>
          <w:numId w:val="0"/>
        </w:numPr>
        <w:spacing w:before="104" w:line="610" w:lineRule="exact"/>
        <w:ind w:firstLine="562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6"/>
          <w:w w:val="98"/>
          <w:sz w:val="32"/>
          <w:szCs w:val="32"/>
          <w:lang w:eastAsia="zh-CN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（五）</w:t>
      </w:r>
      <w:r>
        <w:rPr>
          <w:rFonts w:hint="eastAsia" w:ascii="仿宋_GB2312" w:hAnsi="仿宋_GB2312" w:eastAsia="仿宋_GB2312" w:cs="仿宋_GB2312"/>
          <w:spacing w:val="-16"/>
          <w:w w:val="98"/>
          <w:sz w:val="32"/>
          <w:szCs w:val="32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国有资产占用使用及新增资产配置情况</w:t>
      </w:r>
      <w:r>
        <w:rPr>
          <w:rFonts w:hint="eastAsia" w:ascii="仿宋_GB2312" w:hAnsi="仿宋_GB2312" w:eastAsia="仿宋_GB2312" w:cs="仿宋_GB2312"/>
          <w:spacing w:val="-16"/>
          <w:w w:val="98"/>
          <w:sz w:val="32"/>
          <w:szCs w:val="32"/>
          <w:lang w:eastAsia="zh-CN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：</w:t>
      </w:r>
      <w:r>
        <w:rPr>
          <w:rFonts w:hint="eastAsia" w:ascii="仿宋_GB2312" w:hAnsi="仿宋_GB2312" w:eastAsia="仿宋_GB2312" w:cs="仿宋_GB2312"/>
          <w:b/>
          <w:bCs/>
          <w:spacing w:val="-16"/>
          <w:w w:val="98"/>
          <w:sz w:val="32"/>
          <w:szCs w:val="32"/>
          <w:lang w:eastAsia="zh-CN"/>
          <w14:textOutline w14:w="6172" w14:cap="flat" w14:cmpd="sng">
            <w14:solidFill>
              <w14:srgbClr w14:val="000000"/>
            </w14:solidFill>
            <w14:prstDash w14:val="solid"/>
            <w14:miter w14:val="0"/>
          </w14:textOutline>
        </w:rPr>
        <w:t>截止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2021年12月底,本部门共有公务用车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辆,其中,机要通信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用车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  <w:u w:val="none" w:color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辆,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  <w:u w:val="none" w:color="auto"/>
        </w:rPr>
        <w:t>应急保障用车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  <w:u w:val="none" w:color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辆,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  <w:u w:val="none" w:color="auto"/>
        </w:rPr>
        <w:t>执法执勤用车</w:t>
      </w:r>
      <w:r>
        <w:rPr>
          <w:rFonts w:hint="eastAsia" w:ascii="仿宋_GB2312" w:hAnsi="仿宋_GB2312" w:eastAsia="仿宋_GB2312" w:cs="仿宋_GB2312"/>
          <w:spacing w:val="121"/>
          <w:sz w:val="32"/>
          <w:szCs w:val="32"/>
          <w:u w:val="none" w:color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辆,特种专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业技术用车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辆,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:u w:val="none" w:color="auto"/>
        </w:rPr>
        <w:t>其他按照规定配备的公务用车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:u w:val="none" w:color="auto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spacing w:val="-89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;单位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价值50万元以上通用设备</w:t>
      </w:r>
      <w:r>
        <w:rPr>
          <w:rFonts w:hint="eastAsia" w:ascii="仿宋_GB2312" w:hAnsi="仿宋_GB2312" w:eastAsia="仿宋_GB2312" w:cs="仿宋_GB2312"/>
          <w:spacing w:val="-122"/>
          <w:sz w:val="32"/>
          <w:szCs w:val="32"/>
          <w:u w:val="non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u w:val="none" w:color="auto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台,单位价值100万元以上专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用设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备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台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22年拟新增配置公务用车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spacing w:val="-74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pacing w:val="-98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其中</w:t>
      </w:r>
      <w:r>
        <w:rPr>
          <w:rFonts w:hint="eastAsia" w:ascii="仿宋_GB2312" w:hAnsi="仿宋_GB2312" w:eastAsia="仿宋_GB2312" w:cs="仿宋_GB2312"/>
          <w:spacing w:val="-74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pacing w:val="-101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机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要通信用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车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辆,应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u w:val="none" w:color="auto"/>
        </w:rPr>
        <w:t>急保障用车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u w:val="none" w:color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辆,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u w:val="none" w:color="auto"/>
        </w:rPr>
        <w:t>执法执勤用车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u w:val="none" w:color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辆,</w:t>
      </w:r>
      <w:r>
        <w:rPr>
          <w:rFonts w:hint="eastAsia" w:ascii="仿宋_GB2312" w:hAnsi="仿宋_GB2312" w:eastAsia="仿宋_GB2312" w:cs="仿宋_GB2312"/>
          <w:spacing w:val="-19"/>
          <w:sz w:val="32"/>
          <w:szCs w:val="32"/>
        </w:rPr>
        <w:t>特种专业技术用车</w:t>
      </w:r>
      <w:r>
        <w:rPr>
          <w:rFonts w:hint="eastAsia" w:ascii="仿宋_GB2312" w:hAnsi="仿宋_GB2312" w:eastAsia="仿宋_GB2312" w:cs="仿宋_GB2312"/>
          <w:spacing w:val="-9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  <w:u w:val="none" w:color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pacing w:val="-19"/>
          <w:sz w:val="32"/>
          <w:szCs w:val="32"/>
        </w:rPr>
        <w:t>辆,</w:t>
      </w:r>
      <w:r>
        <w:rPr>
          <w:rFonts w:hint="eastAsia" w:ascii="仿宋_GB2312" w:hAnsi="仿宋_GB2312" w:eastAsia="仿宋_GB2312" w:cs="仿宋_GB2312"/>
          <w:spacing w:val="-19"/>
          <w:sz w:val="32"/>
          <w:szCs w:val="32"/>
          <w:u w:val="none" w:color="auto"/>
        </w:rPr>
        <w:t>其他按照规定配备的公务用车</w:t>
      </w:r>
      <w:r>
        <w:rPr>
          <w:rFonts w:hint="eastAsia" w:ascii="仿宋_GB2312" w:hAnsi="仿宋_GB2312" w:eastAsia="仿宋_GB2312" w:cs="仿宋_GB2312"/>
          <w:spacing w:val="129"/>
          <w:sz w:val="32"/>
          <w:szCs w:val="32"/>
          <w:u w:val="none" w:color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pacing w:val="-19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spacing w:val="-19"/>
          <w:sz w:val="32"/>
          <w:szCs w:val="32"/>
          <w:lang w:eastAsia="zh-CN"/>
        </w:rPr>
        <w:t>，新增配备单位价值</w:t>
      </w:r>
      <w:r>
        <w:rPr>
          <w:rFonts w:hint="eastAsia" w:ascii="仿宋_GB2312" w:hAnsi="仿宋_GB2312" w:eastAsia="仿宋_GB2312" w:cs="仿宋_GB2312"/>
          <w:spacing w:val="-19"/>
          <w:sz w:val="32"/>
          <w:szCs w:val="32"/>
          <w:lang w:val="en-US" w:eastAsia="zh-CN"/>
        </w:rPr>
        <w:t>50万元以上通用设备</w:t>
      </w:r>
      <w:r>
        <w:rPr>
          <w:rFonts w:hint="eastAsia" w:ascii="仿宋_GB2312" w:hAnsi="仿宋_GB2312" w:eastAsia="仿宋_GB2312" w:cs="仿宋_GB2312"/>
          <w:spacing w:val="-19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pacing w:val="-19"/>
          <w:sz w:val="32"/>
          <w:szCs w:val="32"/>
          <w:lang w:val="en-US" w:eastAsia="zh-CN"/>
        </w:rPr>
        <w:t>台，单位价值100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万元以上专用设备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台。</w:t>
      </w:r>
    </w:p>
    <w:p>
      <w:pPr>
        <w:spacing w:before="187" w:line="348" w:lineRule="auto"/>
        <w:ind w:right="156" w:firstLine="80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  <w14:textOutline w14:w="5816" w14:cap="flat" w14:cmpd="sng">
            <w14:solidFill>
              <w14:srgbClr w14:val="000000"/>
            </w14:solidFill>
            <w14:prstDash w14:val="solid"/>
            <w14:miter w14:val="0"/>
          </w14:textOutline>
        </w:rPr>
        <w:t>(六)</w:t>
      </w:r>
      <w:r>
        <w:rPr>
          <w:rFonts w:hint="eastAsia" w:ascii="仿宋_GB2312" w:hAnsi="仿宋_GB2312" w:eastAsia="仿宋_GB2312" w:cs="仿宋_GB2312"/>
          <w:spacing w:val="8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14:textOutline w14:w="5816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预算绩效目标说明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: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本部门所有支出实行绩效目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标管理.纳入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:u w:val="none" w:color="auto"/>
        </w:rPr>
        <w:t>2022年部门整体支出绩效目标的金额为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:u w:val="none" w:color="auto"/>
          <w:lang w:val="en-US" w:eastAsia="zh-CN"/>
        </w:rPr>
        <w:t>2547.88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pacing w:val="-6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pacing w:val="-94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其中</w:t>
      </w:r>
      <w:r>
        <w:rPr>
          <w:rFonts w:hint="eastAsia" w:ascii="仿宋_GB2312" w:hAnsi="仿宋_GB2312" w:eastAsia="仿宋_GB2312" w:cs="仿宋_GB2312"/>
          <w:spacing w:val="-7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  <w:u w:val="none" w:color="auto"/>
        </w:rPr>
        <w:t>,基本支出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  <w:u w:val="none" w:color="auto"/>
          <w:lang w:val="en-US" w:eastAsia="zh-CN"/>
        </w:rPr>
        <w:t>875.07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  <w:u w:val="none" w:color="auto"/>
        </w:rPr>
        <w:t>万元</w:t>
      </w:r>
      <w:r>
        <w:rPr>
          <w:rFonts w:hint="eastAsia" w:ascii="仿宋_GB2312" w:hAnsi="仿宋_GB2312" w:eastAsia="仿宋_GB2312" w:cs="仿宋_GB2312"/>
          <w:spacing w:val="-82"/>
          <w:sz w:val="32"/>
          <w:szCs w:val="32"/>
          <w:u w:val="non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82"/>
          <w:sz w:val="32"/>
          <w:szCs w:val="32"/>
          <w:u w:val="none" w:color="auto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  <w:u w:val="none" w:color="auto"/>
        </w:rPr>
        <w:t>项目支出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  <w:u w:val="none" w:color="auto"/>
          <w:lang w:val="en-US" w:eastAsia="zh-CN"/>
        </w:rPr>
        <w:t>1672.81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  <w:u w:val="none" w:color="auto"/>
        </w:rPr>
        <w:t>万元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,具体绩效</w:t>
      </w:r>
      <w:r>
        <w:rPr>
          <w:rFonts w:hint="eastAsia" w:ascii="仿宋_GB2312" w:hAnsi="仿宋_GB2312" w:eastAsia="仿宋_GB2312" w:cs="仿宋_GB2312"/>
          <w:spacing w:val="-18"/>
          <w:sz w:val="32"/>
          <w:szCs w:val="32"/>
        </w:rPr>
        <w:t>目标详见报表。</w:t>
      </w:r>
    </w:p>
    <w:p>
      <w:pPr>
        <w:spacing w:line="222" w:lineRule="auto"/>
        <w:ind w:firstLine="684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  <w14:textOutline w14:w="5816" w14:cap="flat" w14:cmpd="sng">
            <w14:solidFill>
              <w14:srgbClr w14:val="000000"/>
            </w14:solidFill>
            <w14:prstDash w14:val="solid"/>
            <w14:miter w14:val="0"/>
          </w14:textOutline>
        </w:rPr>
        <w:t>七、名词解释</w:t>
      </w:r>
    </w:p>
    <w:p>
      <w:pPr>
        <w:spacing w:before="213" w:line="346" w:lineRule="auto"/>
        <w:ind w:right="129" w:firstLine="67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1、机关运行经费:</w:t>
      </w:r>
      <w:r>
        <w:rPr>
          <w:rFonts w:hint="eastAsia" w:ascii="仿宋_GB2312" w:hAnsi="仿宋_GB2312" w:eastAsia="仿宋_GB2312" w:cs="仿宋_GB2312"/>
          <w:spacing w:val="58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是指各部门的公用经费,包括办公及印刷费、邮电费、差旅费、会议费、福利费、日常维修费、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专用资料及一般设备购置费、办公用房水电费、办公用房取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暖费、办公用房物业管理费、公务用车运行维护费以及其他</w:t>
      </w:r>
      <w:r>
        <w:rPr>
          <w:rFonts w:hint="eastAsia" w:ascii="仿宋_GB2312" w:hAnsi="仿宋_GB2312" w:eastAsia="仿宋_GB2312" w:cs="仿宋_GB2312"/>
          <w:spacing w:val="-23"/>
          <w:sz w:val="32"/>
          <w:szCs w:val="32"/>
        </w:rPr>
        <w:t>费用。</w:t>
      </w:r>
    </w:p>
    <w:p>
      <w:pPr>
        <w:spacing w:before="12" w:line="346" w:lineRule="auto"/>
        <w:ind w:right="46" w:firstLine="67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2、"三公"经费:</w:t>
      </w:r>
      <w:r>
        <w:rPr>
          <w:rFonts w:hint="eastAsia" w:ascii="仿宋_GB2312" w:hAnsi="仿宋_GB2312" w:eastAsia="仿宋_GB2312" w:cs="仿宋_GB2312"/>
          <w:spacing w:val="28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</w:rPr>
        <w:t>纳入省(市/县)财政预算管理的"三公"经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费,是指用一般公共预算拨款安排的公务接待费、公务用车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购置及运行维护费和因公出国(境)费.其中</w:t>
      </w:r>
      <w:r>
        <w:rPr>
          <w:rFonts w:hint="eastAsia" w:ascii="仿宋_GB2312" w:hAnsi="仿宋_GB2312" w:eastAsia="仿宋_GB2312" w:cs="仿宋_GB2312"/>
          <w:spacing w:val="-8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8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反映单位按规定开支的各类公务接待支出;公务用车购置及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运行费反映单位公务用车车辆购置支出(含车辆购置税),以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及燃料费、维修费、保险费等支出;因公出国(境)费反映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单位公务出国(境)的国际旅费、国外城市间交通费、住宿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费、伙食费、培训费、公杂费等等支出。</w:t>
      </w:r>
    </w:p>
    <w:p>
      <w:pPr>
        <w:spacing w:line="355" w:lineRule="auto"/>
        <w:ind w:right="38" w:firstLine="67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16"/>
          <w:sz w:val="32"/>
          <w:szCs w:val="32"/>
        </w:rPr>
        <w:t>3、(注:各部门对本部门预算中其他专有名词作出</w:t>
      </w:r>
      <w:r>
        <w:rPr>
          <w:rFonts w:hint="eastAsia" w:ascii="仿宋_GB2312" w:hAnsi="仿宋_GB2312" w:eastAsia="仿宋_GB2312" w:cs="仿宋_GB2312"/>
          <w:spacing w:val="18"/>
          <w:w w:val="101"/>
          <w:sz w:val="32"/>
          <w:szCs w:val="32"/>
        </w:rPr>
        <w:t>说明,便于公众理解)</w:t>
      </w:r>
      <w:r>
        <w:rPr>
          <w:rFonts w:hint="eastAsia" w:ascii="仿宋_GB2312" w:hAnsi="仿宋_GB2312" w:eastAsia="仿宋_GB2312" w:cs="仿宋_GB2312"/>
          <w:spacing w:val="18"/>
          <w:w w:val="101"/>
          <w:sz w:val="32"/>
          <w:szCs w:val="32"/>
          <w:lang w:eastAsia="zh-CN"/>
        </w:rPr>
        <w:t>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6" w:type="default"/>
          <w:pgSz w:w="11900" w:h="16830"/>
          <w:pgMar w:top="400" w:right="1785" w:bottom="1047" w:left="1690" w:header="0" w:footer="909" w:gutter="0"/>
          <w:cols w:space="720" w:num="1"/>
        </w:sectPr>
      </w:pPr>
    </w:p>
    <w:p>
      <w:pPr>
        <w:spacing w:line="245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245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245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245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245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246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before="123" w:line="219" w:lineRule="auto"/>
        <w:ind w:firstLine="21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footerReference r:id="rId7" w:type="default"/>
          <w:pgSz w:w="11900" w:h="16830"/>
          <w:pgMar w:top="400" w:right="1785" w:bottom="1046" w:left="1785" w:header="0" w:footer="921" w:gutter="0"/>
          <w:cols w:space="720" w:num="1"/>
        </w:sect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  <w14:textOutline w14:w="6896" w14:cap="flat" w14:cmpd="sng">
            <w14:solidFill>
              <w14:srgbClr w14:val="000000"/>
            </w14:solidFill>
            <w14:prstDash w14:val="solid"/>
            <w14:miter w14:val="0"/>
          </w14:textOutline>
        </w:rPr>
        <w:t>第二部分2022年部门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eastAsia="zh-CN"/>
          <w14:textOutline w14:w="6896" w14:cap="flat" w14:cmpd="sng">
            <w14:solidFill>
              <w14:srgbClr w14:val="000000"/>
            </w14:solidFill>
            <w14:prstDash w14:val="solid"/>
            <w14:miter w14:val="0"/>
          </w14:textOutline>
        </w:rPr>
        <w:t>预算表</w:t>
      </w:r>
    </w:p>
    <w:p>
      <w:pPr>
        <w:spacing w:before="182" w:line="222" w:lineRule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8" w:type="default"/>
          <w:pgSz w:w="11900" w:h="16830"/>
          <w:pgMar w:top="400" w:right="1785" w:bottom="400" w:left="1660" w:header="0" w:footer="0" w:gutter="0"/>
          <w:cols w:space="720" w:num="1"/>
        </w:sectPr>
      </w:pPr>
    </w:p>
    <w:p>
      <w:pPr>
        <w:spacing w:before="198" w:line="336" w:lineRule="auto"/>
        <w:ind w:right="52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footerReference r:id="rId9" w:type="default"/>
          <w:pgSz w:w="11900" w:h="16830"/>
          <w:pgMar w:top="400" w:right="1785" w:bottom="400" w:left="1730" w:header="0" w:footer="0" w:gutter="0"/>
          <w:cols w:space="720" w:num="1"/>
        </w:sectPr>
      </w:pPr>
    </w:p>
    <w:p/>
    <w:sectPr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09" w:lineRule="exact"/>
      <w:ind w:firstLine="4160"/>
      <w:rPr>
        <w:rFonts w:ascii="幼圆" w:hAnsi="幼圆" w:eastAsia="幼圆" w:cs="幼圆"/>
        <w:sz w:val="16"/>
        <w:szCs w:val="16"/>
      </w:rPr>
    </w:pPr>
    <w:r>
      <w:rPr>
        <w:rFonts w:ascii="幼圆" w:hAnsi="幼圆" w:eastAsia="幼圆" w:cs="幼圆"/>
        <w:position w:val="-2"/>
        <w:sz w:val="16"/>
        <w:szCs w:val="16"/>
      </w:rPr>
      <w:t>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38" w:lineRule="exact"/>
      <w:ind w:firstLine="4189"/>
      <w:rPr>
        <w:rFonts w:ascii="宋体" w:hAnsi="宋体" w:eastAsia="宋体" w:cs="宋体"/>
        <w:sz w:val="20"/>
        <w:szCs w:val="20"/>
      </w:rPr>
    </w:pPr>
    <w:r>
      <w:rPr>
        <w:rFonts w:ascii="宋体" w:hAnsi="宋体" w:eastAsia="宋体" w:cs="宋体"/>
        <w:position w:val="-3"/>
        <w:sz w:val="20"/>
        <w:szCs w:val="20"/>
      </w:rPr>
      <w:t>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25" w:lineRule="exact"/>
      <w:ind w:firstLine="4065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6"/>
        <w:position w:val="-3"/>
        <w:sz w:val="18"/>
        <w:szCs w:val="18"/>
      </w:rPr>
      <w:t>10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25" w:lineRule="exact"/>
      <w:ind w:firstLine="4065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6"/>
        <w:position w:val="-3"/>
        <w:sz w:val="18"/>
        <w:szCs w:val="18"/>
      </w:rPr>
      <w:t>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217A4F"/>
    <w:multiLevelType w:val="singleLevel"/>
    <w:tmpl w:val="15217A4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0C83796"/>
    <w:multiLevelType w:val="singleLevel"/>
    <w:tmpl w:val="20C83796"/>
    <w:lvl w:ilvl="0" w:tentative="0">
      <w:start w:val="3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3YmYxMzUxMWNhODNhOTk4ZDNlODQzNDc3YzBhOTAifQ=="/>
  </w:docVars>
  <w:rsids>
    <w:rsidRoot w:val="00000000"/>
    <w:rsid w:val="05046D4F"/>
    <w:rsid w:val="05163002"/>
    <w:rsid w:val="09B218E2"/>
    <w:rsid w:val="09F3307C"/>
    <w:rsid w:val="0ADD677E"/>
    <w:rsid w:val="0D751D14"/>
    <w:rsid w:val="0E311E54"/>
    <w:rsid w:val="0EA94DFB"/>
    <w:rsid w:val="0ECA07E3"/>
    <w:rsid w:val="0FA4015B"/>
    <w:rsid w:val="104D42F7"/>
    <w:rsid w:val="120B623B"/>
    <w:rsid w:val="14A96CCB"/>
    <w:rsid w:val="15C870FD"/>
    <w:rsid w:val="160510F5"/>
    <w:rsid w:val="165C5129"/>
    <w:rsid w:val="16773CA9"/>
    <w:rsid w:val="16B25250"/>
    <w:rsid w:val="17546900"/>
    <w:rsid w:val="18575E2E"/>
    <w:rsid w:val="19EB5B79"/>
    <w:rsid w:val="1AD80FFE"/>
    <w:rsid w:val="1BD36FE4"/>
    <w:rsid w:val="1BE64436"/>
    <w:rsid w:val="1C60574F"/>
    <w:rsid w:val="1CA133D1"/>
    <w:rsid w:val="1CDC3027"/>
    <w:rsid w:val="1D187341"/>
    <w:rsid w:val="1D4819AF"/>
    <w:rsid w:val="1D4A5468"/>
    <w:rsid w:val="1E133DBB"/>
    <w:rsid w:val="1FF233D2"/>
    <w:rsid w:val="20092124"/>
    <w:rsid w:val="238355CB"/>
    <w:rsid w:val="24EB4442"/>
    <w:rsid w:val="2673365F"/>
    <w:rsid w:val="26E36E29"/>
    <w:rsid w:val="2970456A"/>
    <w:rsid w:val="29D66234"/>
    <w:rsid w:val="2DDA42D4"/>
    <w:rsid w:val="3324299D"/>
    <w:rsid w:val="340F44AE"/>
    <w:rsid w:val="346D02E2"/>
    <w:rsid w:val="34A50B4F"/>
    <w:rsid w:val="366C2586"/>
    <w:rsid w:val="3A7206CF"/>
    <w:rsid w:val="3DD14949"/>
    <w:rsid w:val="42EE0BFF"/>
    <w:rsid w:val="46693C23"/>
    <w:rsid w:val="484C378C"/>
    <w:rsid w:val="48AC28E0"/>
    <w:rsid w:val="48B122E4"/>
    <w:rsid w:val="4AFA204F"/>
    <w:rsid w:val="4B681BEA"/>
    <w:rsid w:val="4BE47AAD"/>
    <w:rsid w:val="4DE62EE1"/>
    <w:rsid w:val="507A1C34"/>
    <w:rsid w:val="51A16657"/>
    <w:rsid w:val="52A12347"/>
    <w:rsid w:val="534E487F"/>
    <w:rsid w:val="55D37F8E"/>
    <w:rsid w:val="569C303E"/>
    <w:rsid w:val="57531D37"/>
    <w:rsid w:val="586451B5"/>
    <w:rsid w:val="594E69FC"/>
    <w:rsid w:val="59583A57"/>
    <w:rsid w:val="5A0A279E"/>
    <w:rsid w:val="5A0D2AF6"/>
    <w:rsid w:val="5B7A7456"/>
    <w:rsid w:val="5C3029F2"/>
    <w:rsid w:val="5D1C1B70"/>
    <w:rsid w:val="5DB108FE"/>
    <w:rsid w:val="5E571D72"/>
    <w:rsid w:val="5E587A58"/>
    <w:rsid w:val="5EF64B7B"/>
    <w:rsid w:val="5EF70935"/>
    <w:rsid w:val="5F0608C4"/>
    <w:rsid w:val="5F4C094B"/>
    <w:rsid w:val="62334566"/>
    <w:rsid w:val="63BA6A4B"/>
    <w:rsid w:val="6666174A"/>
    <w:rsid w:val="687C7707"/>
    <w:rsid w:val="6A283551"/>
    <w:rsid w:val="6A3C604B"/>
    <w:rsid w:val="6A720CF4"/>
    <w:rsid w:val="6B1C31B7"/>
    <w:rsid w:val="6E2E5C99"/>
    <w:rsid w:val="6EF632D9"/>
    <w:rsid w:val="70B14F63"/>
    <w:rsid w:val="72A5407A"/>
    <w:rsid w:val="741F652D"/>
    <w:rsid w:val="771F0CBB"/>
    <w:rsid w:val="77C36134"/>
    <w:rsid w:val="77F60F8F"/>
    <w:rsid w:val="78E33C9D"/>
    <w:rsid w:val="793C3DEF"/>
    <w:rsid w:val="7A7F15CC"/>
    <w:rsid w:val="7AB53328"/>
    <w:rsid w:val="7C16681D"/>
    <w:rsid w:val="7D980F67"/>
    <w:rsid w:val="7E3E4262"/>
    <w:rsid w:val="FCFB8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2715</Words>
  <Characters>2992</Characters>
  <Lines>0</Lines>
  <Paragraphs>0</Paragraphs>
  <TotalTime>94</TotalTime>
  <ScaleCrop>false</ScaleCrop>
  <LinksUpToDate>false</LinksUpToDate>
  <CharactersWithSpaces>3026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2022-02-22T08:57:00Z</dcterms:created>
  <dc:creator>20151110</dc:creator>
  <cp:lastModifiedBy>张蓉晖</cp:lastModifiedBy>
  <cp:lastPrinted>2023-09-21T02:09:00Z</cp:lastPrinted>
  <dcterms:modified xsi:type="dcterms:W3CDTF">2023-09-21T03:27:23Z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1D76F35BA36B41D386B63397A93549EC</vt:lpwstr>
  </property>
</Properties>
</file>