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hint="eastAsia"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ascii="方正小标宋简体" w:eastAsia="方正小标宋简体"/>
          <w:bCs/>
          <w:kern w:val="0"/>
          <w:sz w:val="44"/>
          <w:szCs w:val="44"/>
        </w:rPr>
      </w:pPr>
      <w:r>
        <w:rPr>
          <w:rFonts w:hint="eastAsia" w:ascii="方正小标宋简体" w:eastAsia="方正小标宋简体"/>
          <w:bCs/>
          <w:kern w:val="0"/>
          <w:sz w:val="44"/>
          <w:szCs w:val="44"/>
        </w:rPr>
        <w:t>202</w:t>
      </w:r>
      <w:r>
        <w:rPr>
          <w:rFonts w:hint="default" w:ascii="方正小标宋简体" w:eastAsia="方正小标宋简体"/>
          <w:bCs/>
          <w:kern w:val="0"/>
          <w:sz w:val="44"/>
          <w:szCs w:val="44"/>
          <w:lang w:val="en"/>
        </w:rPr>
        <w:t>2</w:t>
      </w:r>
      <w:r>
        <w:rPr>
          <w:rFonts w:hint="eastAsia" w:ascii="方正小标宋简体" w:eastAsia="方正小标宋简体"/>
          <w:bCs/>
          <w:kern w:val="0"/>
          <w:sz w:val="44"/>
          <w:szCs w:val="44"/>
        </w:rPr>
        <w:t>年湖南省铁路专用线运输管理办公室单位预算</w:t>
      </w:r>
    </w:p>
    <w:p>
      <w:pPr>
        <w:widowControl/>
        <w:spacing w:line="600" w:lineRule="exact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</w:rPr>
        <w:t>目 录 </w:t>
      </w:r>
    </w:p>
    <w:p>
      <w:pPr>
        <w:widowControl/>
        <w:spacing w:line="600" w:lineRule="exact"/>
        <w:jc w:val="center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 xml:space="preserve">   第一部分2022年部门预算说明 </w:t>
      </w:r>
    </w:p>
    <w:p>
      <w:pPr>
        <w:widowControl/>
        <w:spacing w:line="600" w:lineRule="exact"/>
        <w:jc w:val="left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 xml:space="preserve">   第二部分2022年部门预算表 </w:t>
      </w:r>
    </w:p>
    <w:p>
      <w:pPr>
        <w:widowControl/>
        <w:spacing w:line="600" w:lineRule="exact"/>
        <w:jc w:val="left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 xml:space="preserve">    1、收支总表 </w:t>
      </w:r>
    </w:p>
    <w:p>
      <w:pPr>
        <w:widowControl/>
        <w:spacing w:line="600" w:lineRule="exact"/>
        <w:jc w:val="left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 xml:space="preserve">    2、收入总表 </w:t>
      </w:r>
    </w:p>
    <w:p>
      <w:pPr>
        <w:widowControl/>
        <w:spacing w:line="600" w:lineRule="exact"/>
        <w:jc w:val="left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 xml:space="preserve">    3、支出总表 </w:t>
      </w:r>
    </w:p>
    <w:p>
      <w:pPr>
        <w:widowControl/>
        <w:spacing w:line="600" w:lineRule="exact"/>
        <w:jc w:val="left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 xml:space="preserve">    4、支出预算分类汇总表(按政府预算经济分类) </w:t>
      </w:r>
    </w:p>
    <w:p>
      <w:pPr>
        <w:widowControl/>
        <w:spacing w:line="600" w:lineRule="exact"/>
        <w:jc w:val="left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 xml:space="preserve">    5、支出预算分类汇总表(按部门预算经济分类) </w:t>
      </w:r>
    </w:p>
    <w:p>
      <w:pPr>
        <w:widowControl/>
        <w:spacing w:line="600" w:lineRule="exact"/>
        <w:jc w:val="left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 xml:space="preserve">    6、财政拨款收支总表 </w:t>
      </w:r>
    </w:p>
    <w:p>
      <w:pPr>
        <w:widowControl/>
        <w:spacing w:line="600" w:lineRule="exact"/>
        <w:jc w:val="left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 xml:space="preserve">    7、一般公共预算支出表 </w:t>
      </w:r>
    </w:p>
    <w:p>
      <w:pPr>
        <w:widowControl/>
        <w:spacing w:line="600" w:lineRule="exact"/>
        <w:jc w:val="left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 xml:space="preserve">    8、一般公共预算基本支出表-人员经费(工资福利支出)(按政府预算经济分类) </w:t>
      </w:r>
    </w:p>
    <w:p>
      <w:pPr>
        <w:widowControl/>
        <w:spacing w:line="600" w:lineRule="exact"/>
        <w:jc w:val="left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 xml:space="preserve">    9、一般公共预算基本支出表-人员经费(工资福利支出) (按部门预算经济分类) </w:t>
      </w:r>
    </w:p>
    <w:p>
      <w:pPr>
        <w:widowControl/>
        <w:spacing w:line="600" w:lineRule="exact"/>
        <w:jc w:val="left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 xml:space="preserve">    10、一般公共预算基本支出表-人员经费(对个人和家庭的补助)(按政府预算经济分类) </w:t>
      </w:r>
    </w:p>
    <w:p>
      <w:pPr>
        <w:widowControl/>
        <w:spacing w:line="600" w:lineRule="exact"/>
        <w:jc w:val="left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 xml:space="preserve">    11、一般公共预算基本支出表-人员经费(对个人和家庭 的补助)(按部门预算经济分类) </w:t>
      </w:r>
    </w:p>
    <w:p>
      <w:pPr>
        <w:widowControl/>
        <w:spacing w:line="600" w:lineRule="exact"/>
        <w:jc w:val="left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 xml:space="preserve">    12、一般公共预算基本支出表-公用经费(商品和服务支出)(按政府预算经济分类) </w:t>
      </w:r>
    </w:p>
    <w:p>
      <w:pPr>
        <w:widowControl/>
        <w:spacing w:line="600" w:lineRule="exact"/>
        <w:jc w:val="left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 xml:space="preserve">    13、一般公共预算基本支出表-公用经费(商品和服务支出)(按部门预算经济分类) </w:t>
      </w:r>
    </w:p>
    <w:p>
      <w:pPr>
        <w:widowControl/>
        <w:spacing w:line="600" w:lineRule="exact"/>
        <w:jc w:val="left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 xml:space="preserve">    14、一般公共预算"三公"经费支出表 </w:t>
      </w:r>
    </w:p>
    <w:p>
      <w:pPr>
        <w:widowControl/>
        <w:spacing w:line="600" w:lineRule="exact"/>
        <w:jc w:val="left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 xml:space="preserve">    15、政府性基金预算支出表 </w:t>
      </w:r>
    </w:p>
    <w:p>
      <w:pPr>
        <w:widowControl/>
        <w:spacing w:line="600" w:lineRule="exact"/>
        <w:jc w:val="left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 xml:space="preserve">    16、政府性基金预算支出分类汇总表(按政府预算经济分类） </w:t>
      </w:r>
    </w:p>
    <w:p>
      <w:pPr>
        <w:widowControl/>
        <w:spacing w:line="600" w:lineRule="exact"/>
        <w:jc w:val="left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 xml:space="preserve">    17、政府性基金预算支出分类汇总表(按部门预算经济分类） </w:t>
      </w:r>
    </w:p>
    <w:p>
      <w:pPr>
        <w:widowControl/>
        <w:spacing w:line="600" w:lineRule="exact"/>
        <w:jc w:val="left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 xml:space="preserve">    18、国有资本经营预算支出表 </w:t>
      </w:r>
    </w:p>
    <w:p>
      <w:pPr>
        <w:widowControl/>
        <w:spacing w:line="600" w:lineRule="exact"/>
        <w:jc w:val="left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 xml:space="preserve">    19、财政专户管理资金预算支出表 </w:t>
      </w:r>
    </w:p>
    <w:p>
      <w:pPr>
        <w:widowControl/>
        <w:spacing w:line="600" w:lineRule="exact"/>
        <w:jc w:val="left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 xml:space="preserve">    20、省级专项资金预算汇总表 </w:t>
      </w:r>
    </w:p>
    <w:p>
      <w:pPr>
        <w:widowControl/>
        <w:spacing w:line="600" w:lineRule="exact"/>
        <w:jc w:val="left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 xml:space="preserve">    21、省级专项资金绩效目标表 </w:t>
      </w:r>
    </w:p>
    <w:p>
      <w:pPr>
        <w:widowControl/>
        <w:spacing w:line="600" w:lineRule="exact"/>
        <w:jc w:val="left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 xml:space="preserve">    22、其他项目支出绩效目标表 </w:t>
      </w:r>
    </w:p>
    <w:p>
      <w:pPr>
        <w:widowControl/>
        <w:spacing w:line="600" w:lineRule="exact"/>
        <w:jc w:val="left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 xml:space="preserve">    23、部门整体支出绩效目标表 </w:t>
      </w:r>
    </w:p>
    <w:p>
      <w:pPr>
        <w:widowControl/>
        <w:spacing w:line="600" w:lineRule="exact"/>
        <w:jc w:val="left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 xml:space="preserve">    注:以上部门预算报表中,空表表示本部门无相关收支情况。 </w:t>
      </w: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 202</w:t>
      </w:r>
      <w:r>
        <w:rPr>
          <w:rFonts w:hint="default" w:eastAsia="方正小标宋_GBK"/>
          <w:bCs/>
          <w:kern w:val="0"/>
          <w:sz w:val="36"/>
          <w:szCs w:val="36"/>
          <w:lang w:val="en"/>
        </w:rPr>
        <w:t>2</w:t>
      </w:r>
      <w:r>
        <w:rPr>
          <w:rFonts w:eastAsia="方正小标宋_GBK"/>
          <w:bCs/>
          <w:kern w:val="0"/>
          <w:sz w:val="36"/>
          <w:szCs w:val="36"/>
        </w:rPr>
        <w:t>年单位预算说明</w:t>
      </w: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一、单位基本概况</w:t>
      </w:r>
    </w:p>
    <w:p>
      <w:pPr>
        <w:widowControl/>
        <w:spacing w:line="600" w:lineRule="exact"/>
        <w:ind w:firstLine="629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（一）职能职责。</w:t>
      </w:r>
    </w:p>
    <w:p>
      <w:pPr>
        <w:widowControl/>
        <w:spacing w:line="600" w:lineRule="exact"/>
        <w:jc w:val="left"/>
        <w:rPr>
          <w:rFonts w:eastAsia="楷体_GB2312"/>
          <w:b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 xml:space="preserve">    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1.具体负责实施全省铁路专用线的管理、监督与协调。</w:t>
      </w:r>
    </w:p>
    <w:p>
      <w:pPr>
        <w:widowControl/>
        <w:wordWrap w:val="0"/>
        <w:spacing w:line="450" w:lineRule="atLeast"/>
        <w:jc w:val="left"/>
        <w:rPr>
          <w:rFonts w:ascii="仿宋_GB2312" w:hAnsi="微软雅黑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 xml:space="preserve">    2.参与新建和改扩建以及拆除铁路专用线工程项目的审查等工作；承办全省范围内铁路专用线建设工程开工备案，参与铁路专用线建设项目竣工验收。</w:t>
      </w:r>
    </w:p>
    <w:p>
      <w:pPr>
        <w:widowControl/>
        <w:wordWrap w:val="0"/>
        <w:spacing w:line="450" w:lineRule="atLeast"/>
        <w:jc w:val="left"/>
        <w:rPr>
          <w:rFonts w:ascii="仿宋_GB2312" w:hAnsi="微软雅黑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　　3.监督、指导全省铁路专用线社会道口的安全管理；负责拟订全省铁路专用线安全事故应急方案；配合地方政府开展社会道口安全事故应急救援。协助铁路部门做好省域国家铁路道口安全管理。</w:t>
      </w:r>
    </w:p>
    <w:p>
      <w:pPr>
        <w:widowControl/>
        <w:wordWrap w:val="0"/>
        <w:spacing w:line="450" w:lineRule="atLeast"/>
        <w:jc w:val="left"/>
        <w:rPr>
          <w:rFonts w:ascii="仿宋_GB2312" w:hAnsi="微软雅黑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　　4.参与城市轨道交通规划，具体组织城市轨道交通工程试运营基本条件评审；指导、监督城市轨道交通运营管理、服务质量和运营安全评价工作。</w:t>
      </w:r>
    </w:p>
    <w:p>
      <w:pPr>
        <w:widowControl/>
        <w:wordWrap w:val="0"/>
        <w:spacing w:line="450" w:lineRule="atLeast"/>
        <w:jc w:val="left"/>
        <w:rPr>
          <w:rFonts w:ascii="仿宋_GB2312" w:hAnsi="微软雅黑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　　5.承办铁路专用线兼办公共旅客运输营业、公共货物运输营业的审核报批；负责全省铁路专用线、城市轨道交通运输和安全事故统计工作。</w:t>
      </w:r>
    </w:p>
    <w:p>
      <w:pPr>
        <w:widowControl/>
        <w:wordWrap w:val="0"/>
        <w:spacing w:line="450" w:lineRule="atLeast"/>
        <w:jc w:val="left"/>
        <w:rPr>
          <w:rFonts w:ascii="仿宋_GB2312" w:hAnsi="微软雅黑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　　6.承办省交通运输厅交办的其他事项。</w:t>
      </w:r>
    </w:p>
    <w:p>
      <w:pPr>
        <w:widowControl/>
        <w:spacing w:line="600" w:lineRule="exact"/>
        <w:ind w:firstLine="629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（二）机构设置。</w:t>
      </w:r>
    </w:p>
    <w:p>
      <w:pPr>
        <w:widowControl/>
        <w:spacing w:line="600" w:lineRule="exact"/>
        <w:ind w:firstLine="627" w:firstLineChars="196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1.核定编制数8名，202</w:t>
      </w:r>
      <w:r>
        <w:rPr>
          <w:rFonts w:hint="default" w:ascii="仿宋_GB2312" w:eastAsia="仿宋_GB2312"/>
          <w:sz w:val="32"/>
          <w:szCs w:val="32"/>
          <w:lang w:val="en"/>
        </w:rPr>
        <w:t>1</w:t>
      </w:r>
      <w:r>
        <w:rPr>
          <w:rFonts w:hint="eastAsia" w:ascii="仿宋_GB2312" w:eastAsia="仿宋_GB2312"/>
          <w:sz w:val="32"/>
          <w:szCs w:val="32"/>
        </w:rPr>
        <w:t>年12月底实际在职人数8人。</w:t>
      </w:r>
    </w:p>
    <w:p>
      <w:pPr>
        <w:widowControl/>
        <w:spacing w:line="600" w:lineRule="exact"/>
        <w:ind w:firstLine="627" w:firstLineChars="196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2.内设机构：综合科、安全监督科、运营管理科。</w:t>
      </w:r>
    </w:p>
    <w:p>
      <w:pPr>
        <w:widowControl/>
        <w:spacing w:line="600" w:lineRule="exact"/>
        <w:ind w:firstLine="627" w:firstLineChars="196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二、预算单位构成 </w:t>
      </w:r>
    </w:p>
    <w:p>
      <w:pPr>
        <w:widowControl/>
        <w:spacing w:line="600" w:lineRule="exact"/>
        <w:ind w:firstLine="548" w:firstLineChars="196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/>
        </w:rPr>
        <w:t>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我办无二级预算单位，因此，纳入2022年部门预算编制范围的为湖南省铁路专用线运输管理办公室本级。</w:t>
      </w: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  <w:lang w:eastAsia="zh-CN"/>
        </w:rPr>
        <w:t>三</w:t>
      </w:r>
      <w:r>
        <w:rPr>
          <w:rFonts w:eastAsia="黑体"/>
          <w:bCs/>
          <w:kern w:val="0"/>
          <w:sz w:val="32"/>
          <w:szCs w:val="32"/>
        </w:rPr>
        <w:t>、单位收支总体情况</w:t>
      </w:r>
    </w:p>
    <w:p>
      <w:pPr>
        <w:widowControl/>
        <w:spacing w:line="600" w:lineRule="exact"/>
        <w:ind w:firstLine="627" w:firstLineChars="196"/>
        <w:rPr>
          <w:rFonts w:eastAsia="黑体"/>
          <w:bCs/>
          <w:kern w:val="0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我单位2022年年初部门预算没有政府性基金预算拨款、国有资本经营预算收入和纳入专户管理的非税收入拨款收入，也没有使用政府性基金预算拨款、国有资本经营预算收入和纳入专户管理的非税收入拨款安排的支出，所以公开的附件15、16、17、18、19、20、21表均为空。</w:t>
      </w:r>
    </w:p>
    <w:p>
      <w:pPr>
        <w:widowControl/>
        <w:spacing w:line="600" w:lineRule="exact"/>
        <w:ind w:firstLine="629" w:firstLineChars="196"/>
        <w:rPr>
          <w:rFonts w:ascii="仿宋_GB2312"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hint="eastAsia" w:ascii="仿宋_GB2312" w:eastAsia="仿宋_GB2312"/>
          <w:sz w:val="32"/>
          <w:szCs w:val="32"/>
        </w:rPr>
        <w:t>包括一般公共预算、政府性基金、国有资本经营预算等财政拨款收入，以及经营收入、事业收入等单位资金。202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年本单位收入预算</w:t>
      </w:r>
      <w:r>
        <w:rPr>
          <w:rFonts w:hint="default" w:ascii="仿宋_GB2312" w:eastAsia="仿宋_GB2312"/>
          <w:sz w:val="32"/>
          <w:szCs w:val="32"/>
          <w:lang w:val="en"/>
        </w:rPr>
        <w:t>221.5</w:t>
      </w:r>
      <w:r>
        <w:rPr>
          <w:rFonts w:hint="eastAsia" w:ascii="仿宋_GB2312" w:eastAsia="仿宋_GB2312"/>
          <w:sz w:val="32"/>
          <w:szCs w:val="32"/>
        </w:rPr>
        <w:t>万元，为一般公共预算拨款。收入较去年减少</w:t>
      </w:r>
      <w:r>
        <w:rPr>
          <w:rFonts w:hint="default" w:ascii="仿宋_GB2312" w:eastAsia="仿宋_GB2312"/>
          <w:sz w:val="32"/>
          <w:szCs w:val="32"/>
          <w:lang w:val="en"/>
        </w:rPr>
        <w:t>9.02</w:t>
      </w:r>
      <w:r>
        <w:rPr>
          <w:rFonts w:hint="eastAsia" w:ascii="仿宋_GB2312" w:eastAsia="仿宋_GB2312"/>
          <w:sz w:val="32"/>
          <w:szCs w:val="32"/>
        </w:rPr>
        <w:t>万元，主要是</w:t>
      </w:r>
      <w:r>
        <w:rPr>
          <w:rFonts w:hint="default" w:ascii="仿宋_GB2312" w:eastAsia="仿宋_GB2312"/>
          <w:sz w:val="32"/>
          <w:szCs w:val="32"/>
          <w:lang w:val="en"/>
        </w:rPr>
        <w:t>2022</w:t>
      </w:r>
      <w:r>
        <w:rPr>
          <w:rFonts w:hint="eastAsia" w:ascii="仿宋_GB2312" w:eastAsia="仿宋_GB2312"/>
          <w:sz w:val="32"/>
          <w:szCs w:val="32"/>
          <w:lang w:val="en" w:eastAsia="zh-CN"/>
        </w:rPr>
        <w:t>年对预算进行了压减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29" w:firstLineChars="196"/>
        <w:rPr>
          <w:rFonts w:hint="eastAsia" w:ascii="仿宋_GB2312" w:hAnsi="仿宋"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（二）支出预算：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年本单位支出预算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221.5</w:t>
      </w:r>
      <w:r>
        <w:rPr>
          <w:rFonts w:hint="eastAsia" w:ascii="仿宋_GB2312" w:eastAsia="仿宋_GB2312"/>
          <w:sz w:val="32"/>
          <w:szCs w:val="32"/>
        </w:rPr>
        <w:t>万元，其中，社会保障和就业支出25万元，交通运输支出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196.5</w:t>
      </w:r>
      <w:r>
        <w:rPr>
          <w:rFonts w:hint="eastAsia" w:ascii="仿宋_GB2312" w:eastAsia="仿宋_GB2312"/>
          <w:sz w:val="32"/>
          <w:szCs w:val="32"/>
        </w:rPr>
        <w:t>万元。支出较去年减少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9.02</w:t>
      </w:r>
      <w:r>
        <w:rPr>
          <w:rFonts w:hint="eastAsia" w:ascii="仿宋_GB2312" w:eastAsia="仿宋_GB2312"/>
          <w:sz w:val="32"/>
          <w:szCs w:val="32"/>
        </w:rPr>
        <w:t>万元，主要是</w:t>
      </w:r>
      <w:r>
        <w:rPr>
          <w:rFonts w:hint="default" w:ascii="仿宋_GB2312" w:eastAsia="仿宋_GB2312"/>
          <w:sz w:val="32"/>
          <w:szCs w:val="32"/>
          <w:lang w:val="en"/>
        </w:rPr>
        <w:t>2022</w:t>
      </w:r>
      <w:r>
        <w:rPr>
          <w:rFonts w:hint="eastAsia" w:ascii="仿宋_GB2312" w:eastAsia="仿宋_GB2312"/>
          <w:sz w:val="32"/>
          <w:szCs w:val="32"/>
          <w:lang w:val="en" w:eastAsia="zh-CN"/>
        </w:rPr>
        <w:t>年对预算进行了压减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四</w:t>
      </w:r>
      <w:r>
        <w:rPr>
          <w:rFonts w:eastAsia="黑体"/>
          <w:sz w:val="32"/>
          <w:szCs w:val="32"/>
        </w:rPr>
        <w:t>、一般公共预算拨款支出</w:t>
      </w:r>
    </w:p>
    <w:p>
      <w:pPr>
        <w:widowControl/>
        <w:spacing w:line="600" w:lineRule="exact"/>
        <w:ind w:firstLine="66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年本单位一般公共预算拨款支出预算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221.5</w:t>
      </w:r>
      <w:r>
        <w:rPr>
          <w:rFonts w:hint="eastAsia" w:ascii="仿宋_GB2312" w:eastAsia="仿宋_GB2312"/>
          <w:sz w:val="32"/>
          <w:szCs w:val="32"/>
        </w:rPr>
        <w:t>万元，其中，社会保障和就业支出25万元，占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11.29</w:t>
      </w:r>
      <w:r>
        <w:rPr>
          <w:rFonts w:hint="eastAsia" w:ascii="仿宋_GB2312" w:eastAsia="仿宋_GB2312"/>
          <w:sz w:val="32"/>
          <w:szCs w:val="32"/>
        </w:rPr>
        <w:t xml:space="preserve"> %；交通运输支出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196.5</w:t>
      </w:r>
      <w:r>
        <w:rPr>
          <w:rFonts w:hint="eastAsia" w:ascii="仿宋_GB2312" w:eastAsia="仿宋_GB2312"/>
          <w:sz w:val="32"/>
          <w:szCs w:val="32"/>
        </w:rPr>
        <w:t>万元，占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88.71</w:t>
      </w:r>
      <w:r>
        <w:rPr>
          <w:rFonts w:hint="eastAsia" w:ascii="仿宋_GB2312" w:eastAsia="仿宋_GB2312"/>
          <w:sz w:val="32"/>
          <w:szCs w:val="32"/>
        </w:rPr>
        <w:t xml:space="preserve"> %。具体安排情况如下：</w:t>
      </w:r>
    </w:p>
    <w:p>
      <w:pPr>
        <w:widowControl/>
        <w:spacing w:line="600" w:lineRule="exact"/>
        <w:ind w:firstLine="660"/>
        <w:jc w:val="left"/>
        <w:rPr>
          <w:rFonts w:ascii="仿宋_GB2312"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年本单位基本支出预算数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171.5</w:t>
      </w:r>
      <w:r>
        <w:rPr>
          <w:rFonts w:hint="eastAsia" w:ascii="仿宋_GB2312" w:eastAsia="仿宋_GB2312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年本单位项目支出预算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50</w:t>
      </w:r>
      <w:r>
        <w:rPr>
          <w:rFonts w:hint="eastAsia" w:ascii="仿宋_GB2312" w:eastAsia="仿宋_GB2312"/>
          <w:sz w:val="32"/>
          <w:szCs w:val="32"/>
        </w:rPr>
        <w:t>万元，</w:t>
      </w:r>
      <w:r>
        <w:rPr>
          <w:rFonts w:eastAsia="仿宋_GB2312"/>
          <w:sz w:val="32"/>
          <w:szCs w:val="32"/>
        </w:rPr>
        <w:t>主要是部门为完成特定行政工作任务或事业发展目标而发生的支出，包括有关事业发展专项、专项业务费、基本建设支出等，</w:t>
      </w:r>
      <w:r>
        <w:rPr>
          <w:rFonts w:hint="eastAsia" w:ascii="仿宋_GB2312" w:eastAsia="仿宋_GB2312"/>
          <w:sz w:val="32"/>
          <w:szCs w:val="32"/>
        </w:rPr>
        <w:t>其中：交通运输支出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50</w:t>
      </w:r>
      <w:r>
        <w:rPr>
          <w:rFonts w:hint="eastAsia" w:ascii="仿宋_GB2312" w:eastAsia="仿宋_GB2312"/>
          <w:sz w:val="32"/>
          <w:szCs w:val="32"/>
        </w:rPr>
        <w:t>万元，主要用于</w:t>
      </w:r>
      <w:r>
        <w:rPr>
          <w:rFonts w:hint="eastAsia" w:ascii="仿宋_GB2312" w:eastAsia="仿宋_GB2312"/>
          <w:sz w:val="32"/>
          <w:szCs w:val="32"/>
          <w:lang w:eastAsia="zh-CN"/>
        </w:rPr>
        <w:t>铁路安全环境整治工作、</w:t>
      </w:r>
      <w:r>
        <w:rPr>
          <w:rFonts w:hint="eastAsia" w:ascii="仿宋_GB2312" w:eastAsia="仿宋_GB2312"/>
          <w:sz w:val="32"/>
          <w:szCs w:val="32"/>
        </w:rPr>
        <w:t>城市轨道交通技能竞赛、全省铁路专用线安全管理等。</w:t>
      </w:r>
      <w:r>
        <w:rPr>
          <w:rFonts w:eastAsia="仿宋_GB2312"/>
          <w:sz w:val="32"/>
          <w:szCs w:val="32"/>
        </w:rPr>
        <w:t xml:space="preserve"> 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五</w:t>
      </w:r>
      <w:r>
        <w:rPr>
          <w:rFonts w:eastAsia="黑体"/>
          <w:sz w:val="32"/>
          <w:szCs w:val="32"/>
        </w:rPr>
        <w:t>、政府性基金预算支出</w:t>
      </w:r>
    </w:p>
    <w:p>
      <w:pPr>
        <w:widowControl/>
        <w:spacing w:line="600" w:lineRule="exact"/>
        <w:ind w:firstLine="66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年本单位无政府性基金安排的支出。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六</w:t>
      </w:r>
      <w:r>
        <w:rPr>
          <w:rFonts w:eastAsia="黑体"/>
          <w:sz w:val="32"/>
          <w:szCs w:val="32"/>
        </w:rPr>
        <w:t>、其他重要事项的情况说明</w:t>
      </w:r>
    </w:p>
    <w:p>
      <w:pPr>
        <w:widowControl/>
        <w:spacing w:line="600" w:lineRule="exact"/>
        <w:ind w:firstLine="660"/>
        <w:jc w:val="left"/>
        <w:rPr>
          <w:rFonts w:ascii="仿宋_GB2312"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年本单位机关运行经费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26.5</w:t>
      </w:r>
      <w:r>
        <w:rPr>
          <w:rFonts w:hint="eastAsia" w:ascii="仿宋_GB2312" w:eastAsia="仿宋_GB2312"/>
          <w:sz w:val="32"/>
          <w:szCs w:val="32"/>
        </w:rPr>
        <w:t>万元，比上年预算减少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0.7</w:t>
      </w:r>
      <w:r>
        <w:rPr>
          <w:rFonts w:hint="eastAsia" w:ascii="仿宋_GB2312" w:eastAsia="仿宋_GB2312"/>
          <w:sz w:val="32"/>
          <w:szCs w:val="32"/>
        </w:rPr>
        <w:t>万元，下降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2.64</w:t>
      </w:r>
      <w:r>
        <w:rPr>
          <w:rFonts w:hint="eastAsia" w:ascii="仿宋_GB2312" w:eastAsia="仿宋_GB2312"/>
          <w:sz w:val="32"/>
          <w:szCs w:val="32"/>
        </w:rPr>
        <w:t>%，主要是按要求控制公用经费支出。</w:t>
      </w:r>
    </w:p>
    <w:p>
      <w:pPr>
        <w:widowControl/>
        <w:spacing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（二）“三公”经费预算：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年本单位“三公”经费预算数为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0.5</w:t>
      </w:r>
      <w:r>
        <w:rPr>
          <w:rFonts w:hint="eastAsia" w:ascii="仿宋_GB2312" w:eastAsia="仿宋_GB2312"/>
          <w:sz w:val="32"/>
          <w:szCs w:val="32"/>
        </w:rPr>
        <w:t>万元，其中，公务接待费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0.5</w:t>
      </w:r>
      <w:r>
        <w:rPr>
          <w:rFonts w:hint="eastAsia" w:ascii="仿宋_GB2312" w:eastAsia="仿宋_GB2312"/>
          <w:sz w:val="32"/>
          <w:szCs w:val="32"/>
        </w:rPr>
        <w:t>万元，公务用车购置及运行费0万元（其中，公务用车购置费0万元，公务用车运行费0万元），因公出国（境）费0万元。2021年“三公”经费预算较上年减少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0.5</w:t>
      </w:r>
      <w:r>
        <w:rPr>
          <w:rFonts w:hint="eastAsia" w:ascii="仿宋_GB2312" w:eastAsia="仿宋_GB2312"/>
          <w:sz w:val="32"/>
          <w:szCs w:val="32"/>
        </w:rPr>
        <w:t>万元，主要是</w:t>
      </w:r>
      <w:r>
        <w:rPr>
          <w:rFonts w:hint="eastAsia" w:ascii="仿宋_GB2312" w:eastAsia="仿宋_GB2312"/>
          <w:sz w:val="32"/>
          <w:szCs w:val="32"/>
          <w:lang w:eastAsia="zh-CN"/>
        </w:rPr>
        <w:t>公务接待费进一步压减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eastAsia="仿宋_GB2312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hint="eastAsia" w:ascii="仿宋_GB2312" w:eastAsia="仿宋_GB2312"/>
          <w:kern w:val="0"/>
          <w:sz w:val="32"/>
          <w:szCs w:val="32"/>
        </w:rPr>
        <w:t>202</w:t>
      </w:r>
      <w:r>
        <w:rPr>
          <w:rFonts w:hint="eastAsia" w:ascii="仿宋_GB2312" w:eastAsia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kern w:val="0"/>
          <w:sz w:val="32"/>
          <w:szCs w:val="32"/>
        </w:rPr>
        <w:t>年本单位会议费预算</w:t>
      </w:r>
      <w:r>
        <w:rPr>
          <w:rFonts w:hint="eastAsia"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kern w:val="0"/>
          <w:sz w:val="32"/>
          <w:szCs w:val="32"/>
        </w:rPr>
        <w:t>万元， 202</w:t>
      </w:r>
      <w:r>
        <w:rPr>
          <w:rFonts w:hint="eastAsia" w:ascii="仿宋_GB2312" w:eastAsia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kern w:val="0"/>
          <w:sz w:val="32"/>
          <w:szCs w:val="32"/>
        </w:rPr>
        <w:t>年度会议均计划在厅内召开；培训费预算</w:t>
      </w:r>
      <w:r>
        <w:rPr>
          <w:rFonts w:hint="eastAsia" w:ascii="仿宋_GB2312" w:eastAsia="仿宋_GB2312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kern w:val="0"/>
          <w:sz w:val="32"/>
          <w:szCs w:val="32"/>
        </w:rPr>
        <w:t>万元，拟开展</w:t>
      </w:r>
      <w:r>
        <w:rPr>
          <w:rFonts w:hint="eastAsia" w:ascii="仿宋_GB2312" w:eastAsia="仿宋_GB2312"/>
          <w:sz w:val="32"/>
          <w:szCs w:val="32"/>
        </w:rPr>
        <w:t>全省铁路专用线</w:t>
      </w:r>
      <w:r>
        <w:rPr>
          <w:rFonts w:hint="eastAsia" w:ascii="仿宋_GB2312" w:eastAsia="仿宋_GB2312"/>
          <w:sz w:val="32"/>
          <w:szCs w:val="32"/>
          <w:lang w:eastAsia="zh-CN"/>
        </w:rPr>
        <w:t>、城市轨道交通运营</w:t>
      </w:r>
      <w:r>
        <w:rPr>
          <w:rFonts w:hint="eastAsia" w:ascii="仿宋_GB2312" w:eastAsia="仿宋_GB2312"/>
          <w:sz w:val="32"/>
          <w:szCs w:val="32"/>
        </w:rPr>
        <w:t>安全管理</w:t>
      </w:r>
      <w:r>
        <w:rPr>
          <w:rFonts w:hint="eastAsia" w:ascii="仿宋_GB2312" w:eastAsia="仿宋_GB2312"/>
          <w:kern w:val="0"/>
          <w:sz w:val="32"/>
          <w:szCs w:val="32"/>
        </w:rPr>
        <w:t>培训，人数</w:t>
      </w:r>
      <w:r>
        <w:rPr>
          <w:rFonts w:hint="eastAsia" w:ascii="仿宋_GB2312" w:eastAsia="仿宋_GB2312"/>
          <w:sz w:val="32"/>
          <w:szCs w:val="32"/>
        </w:rPr>
        <w:t>约</w:t>
      </w:r>
      <w:r>
        <w:rPr>
          <w:rFonts w:hint="default" w:ascii="仿宋_GB2312" w:eastAsia="仿宋_GB2312"/>
          <w:sz w:val="32"/>
          <w:szCs w:val="32"/>
          <w:lang w:val="en"/>
        </w:rPr>
        <w:t>80</w:t>
      </w:r>
      <w:r>
        <w:rPr>
          <w:rFonts w:hint="eastAsia" w:ascii="仿宋_GB2312" w:eastAsia="仿宋_GB2312"/>
          <w:kern w:val="0"/>
          <w:sz w:val="32"/>
          <w:szCs w:val="32"/>
        </w:rPr>
        <w:t>人，内容为拟</w:t>
      </w:r>
      <w:r>
        <w:rPr>
          <w:rFonts w:hint="eastAsia" w:ascii="仿宋_GB2312" w:eastAsia="仿宋_GB2312"/>
          <w:kern w:val="0"/>
          <w:sz w:val="32"/>
          <w:szCs w:val="32"/>
          <w:lang w:eastAsia="zh-CN"/>
        </w:rPr>
        <w:t>组织</w:t>
      </w:r>
      <w:r>
        <w:rPr>
          <w:rFonts w:hint="eastAsia" w:ascii="仿宋_GB2312" w:eastAsia="仿宋_GB2312"/>
          <w:kern w:val="0"/>
          <w:sz w:val="32"/>
          <w:szCs w:val="32"/>
        </w:rPr>
        <w:t>各市州铁路专用线管理</w:t>
      </w:r>
      <w:r>
        <w:rPr>
          <w:rFonts w:hint="eastAsia" w:ascii="仿宋_GB2312" w:eastAsia="仿宋_GB2312"/>
          <w:kern w:val="0"/>
          <w:sz w:val="32"/>
          <w:szCs w:val="32"/>
          <w:lang w:eastAsia="zh-CN"/>
        </w:rPr>
        <w:t>、城市轨道交通运营行业</w:t>
      </w:r>
      <w:r>
        <w:rPr>
          <w:rFonts w:hint="eastAsia" w:ascii="仿宋_GB2312" w:eastAsia="仿宋_GB2312"/>
          <w:kern w:val="0"/>
          <w:sz w:val="32"/>
          <w:szCs w:val="32"/>
        </w:rPr>
        <w:t>相关人员</w:t>
      </w:r>
      <w:r>
        <w:rPr>
          <w:rFonts w:hint="eastAsia" w:ascii="仿宋_GB2312" w:eastAsia="仿宋_GB2312"/>
          <w:sz w:val="32"/>
          <w:szCs w:val="32"/>
        </w:rPr>
        <w:t>参加安全管理相关知识培训</w:t>
      </w:r>
      <w:r>
        <w:rPr>
          <w:rFonts w:hint="eastAsia" w:ascii="仿宋_GB2312" w:eastAsia="仿宋_GB2312"/>
          <w:kern w:val="0"/>
          <w:sz w:val="32"/>
          <w:szCs w:val="32"/>
        </w:rPr>
        <w:t>；无节庆、晚会、论坛、赛事活动，经费预算0万元。</w:t>
      </w:r>
    </w:p>
    <w:p>
      <w:pPr>
        <w:widowControl/>
        <w:spacing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年本单位采购预算总额0万元，其中，货物类采购预算0万元；工程类采购预算0万元；服务类采购预算0万元。</w:t>
      </w:r>
    </w:p>
    <w:p>
      <w:pPr>
        <w:widowControl/>
        <w:spacing w:line="600" w:lineRule="exact"/>
        <w:ind w:firstLine="660"/>
        <w:jc w:val="left"/>
        <w:rPr>
          <w:rFonts w:ascii="仿宋_GB2312" w:eastAsia="仿宋_GB2312"/>
          <w:bCs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hint="eastAsia" w:ascii="仿宋_GB2312" w:eastAsia="仿宋_GB2312"/>
          <w:sz w:val="32"/>
          <w:szCs w:val="32"/>
        </w:rPr>
        <w:t>截至202</w:t>
      </w:r>
      <w:r>
        <w:rPr>
          <w:rFonts w:hint="default" w:ascii="仿宋_GB2312" w:eastAsia="仿宋_GB2312"/>
          <w:sz w:val="32"/>
          <w:szCs w:val="32"/>
          <w:lang w:val="en"/>
        </w:rPr>
        <w:t>1</w:t>
      </w:r>
      <w:r>
        <w:rPr>
          <w:rFonts w:hint="eastAsia" w:ascii="仿宋_GB2312" w:eastAsia="仿宋_GB2312"/>
          <w:sz w:val="32"/>
          <w:szCs w:val="32"/>
        </w:rPr>
        <w:t>年12月底，本单位</w:t>
      </w:r>
      <w:r>
        <w:rPr>
          <w:rFonts w:hint="eastAsia" w:ascii="仿宋_GB2312" w:eastAsia="仿宋_GB2312"/>
          <w:bCs/>
          <w:kern w:val="0"/>
          <w:sz w:val="32"/>
          <w:szCs w:val="32"/>
        </w:rPr>
        <w:t>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2021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widowControl/>
        <w:spacing w:line="600" w:lineRule="exact"/>
        <w:ind w:firstLine="660"/>
        <w:jc w:val="left"/>
        <w:rPr>
          <w:rFonts w:ascii="仿宋_GB2312" w:eastAsia="仿宋_GB2312"/>
          <w:bCs/>
          <w:kern w:val="0"/>
          <w:sz w:val="32"/>
          <w:szCs w:val="32"/>
        </w:rPr>
      </w:pPr>
      <w:r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hint="eastAsia" w:ascii="仿宋_GB2312" w:eastAsia="仿宋_GB2312"/>
          <w:bCs/>
          <w:kern w:val="0"/>
          <w:sz w:val="32"/>
          <w:szCs w:val="32"/>
        </w:rPr>
        <w:t>本单位所有支出实行绩效目标管理。纳入202</w:t>
      </w:r>
      <w:r>
        <w:rPr>
          <w:rFonts w:hint="default" w:ascii="仿宋_GB2312" w:eastAsia="仿宋_GB2312"/>
          <w:bCs/>
          <w:kern w:val="0"/>
          <w:sz w:val="32"/>
          <w:szCs w:val="32"/>
          <w:lang w:val="en"/>
        </w:rPr>
        <w:t>2</w:t>
      </w:r>
      <w:r>
        <w:rPr>
          <w:rFonts w:hint="eastAsia" w:ascii="仿宋_GB2312" w:eastAsia="仿宋_GB2312"/>
          <w:bCs/>
          <w:kern w:val="0"/>
          <w:sz w:val="32"/>
          <w:szCs w:val="32"/>
        </w:rPr>
        <w:t>年单位整体支出绩效目标的金额为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221.5</w:t>
      </w:r>
      <w:r>
        <w:rPr>
          <w:rFonts w:hint="eastAsia" w:ascii="仿宋_GB2312" w:eastAsia="仿宋_GB2312"/>
          <w:bCs/>
          <w:kern w:val="0"/>
          <w:sz w:val="32"/>
          <w:szCs w:val="32"/>
        </w:rPr>
        <w:t>万元，其中，基本支出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171.5</w:t>
      </w:r>
      <w:r>
        <w:rPr>
          <w:rFonts w:hint="eastAsia" w:ascii="仿宋_GB2312" w:eastAsia="仿宋_GB2312"/>
          <w:bCs/>
          <w:kern w:val="0"/>
          <w:sz w:val="32"/>
          <w:szCs w:val="32"/>
        </w:rPr>
        <w:t>万元，项目支出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50</w:t>
      </w:r>
      <w:r>
        <w:rPr>
          <w:rFonts w:hint="eastAsia" w:ascii="仿宋_GB2312" w:eastAsia="仿宋_GB2312"/>
          <w:bCs/>
          <w:kern w:val="0"/>
          <w:sz w:val="32"/>
          <w:szCs w:val="32"/>
        </w:rPr>
        <w:t>万元，具体绩效目标详见报表。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七</w:t>
      </w:r>
      <w:r>
        <w:rPr>
          <w:rFonts w:eastAsia="黑体"/>
          <w:sz w:val="32"/>
          <w:szCs w:val="32"/>
        </w:rPr>
        <w:t>、名词解释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spacing w:line="600" w:lineRule="exac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第二部分 202</w:t>
      </w:r>
      <w:r>
        <w:rPr>
          <w:rFonts w:hint="eastAsia" w:eastAsia="方正小标宋_GBK"/>
          <w:bCs/>
          <w:kern w:val="0"/>
          <w:sz w:val="36"/>
          <w:szCs w:val="36"/>
          <w:lang w:val="en-US" w:eastAsia="zh-CN"/>
        </w:rPr>
        <w:t>2</w:t>
      </w:r>
      <w:r>
        <w:rPr>
          <w:rFonts w:eastAsia="方正小标宋_GBK"/>
          <w:bCs/>
          <w:kern w:val="0"/>
          <w:sz w:val="36"/>
          <w:szCs w:val="36"/>
        </w:rPr>
        <w:t>年单位预算表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注：以上部门预算报表中，空表表示本单位无相关收支情况。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FB4B0D2F"/>
    <w:rsid w:val="FFFF32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0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9</Pages>
  <Words>3137</Words>
  <Characters>3432</Characters>
  <Lines>20</Lines>
  <Paragraphs>5</Paragraphs>
  <TotalTime>1</TotalTime>
  <ScaleCrop>false</ScaleCrop>
  <LinksUpToDate>false</LinksUpToDate>
  <CharactersWithSpaces>3483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2021-03-12T01:23:00Z</dcterms:created>
  <dc:creator>冯青</dc:creator>
  <cp:lastModifiedBy>F</cp:lastModifiedBy>
  <cp:lastPrinted>2022-03-03T10:24:00Z</cp:lastPrinted>
  <dcterms:modified xsi:type="dcterms:W3CDTF">2023-09-25T09:28:31Z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D8041E7D1E144803B335BA45A340425C_12</vt:lpwstr>
  </property>
</Properties>
</file>