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eastAsia="方正小标宋_GBK"/>
          <w:bCs/>
          <w:kern w:val="0"/>
          <w:sz w:val="44"/>
          <w:szCs w:val="44"/>
        </w:rPr>
      </w:pPr>
      <w:r>
        <w:rPr>
          <w:rFonts w:hint="eastAsia" w:eastAsia="仿宋_GB2312"/>
          <w:bCs/>
          <w:kern w:val="0"/>
          <w:sz w:val="32"/>
          <w:szCs w:val="32"/>
        </w:rPr>
        <w:t xml:space="preserve">   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方正小标宋_GBK"/>
          <w:bCs/>
          <w:kern w:val="0"/>
          <w:sz w:val="44"/>
          <w:szCs w:val="44"/>
        </w:rPr>
        <w:t>2021年湖南省</w:t>
      </w:r>
      <w:r>
        <w:rPr>
          <w:rFonts w:hint="eastAsia" w:eastAsia="方正小标宋_GBK"/>
          <w:bCs/>
          <w:kern w:val="0"/>
          <w:sz w:val="44"/>
          <w:szCs w:val="44"/>
        </w:rPr>
        <w:t>长沙航道</w:t>
      </w:r>
      <w:r>
        <w:rPr>
          <w:rFonts w:eastAsia="方正小标宋_GBK"/>
          <w:bCs/>
          <w:kern w:val="0"/>
          <w:sz w:val="44"/>
          <w:szCs w:val="44"/>
        </w:rPr>
        <w:t>事务中心预算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  <w:r>
        <w:rPr>
          <w:rFonts w:hint="eastAsia" w:eastAsia="楷体_GB2312"/>
          <w:bCs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hint="eastAsia" w:eastAsia="黑体"/>
          <w:bCs/>
          <w:kern w:val="0"/>
          <w:sz w:val="32"/>
          <w:szCs w:val="32"/>
        </w:rPr>
        <w:t>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</w:t>
      </w:r>
      <w:r>
        <w:rPr>
          <w:rFonts w:hint="eastAsia"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2021</w:t>
      </w:r>
      <w:r>
        <w:rPr>
          <w:rFonts w:hint="eastAsia"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/>
          <w:sz w:val="32"/>
          <w:szCs w:val="32"/>
        </w:rPr>
        <w:t>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hint="eastAsia"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/>
          <w:sz w:val="32"/>
          <w:szCs w:val="32"/>
        </w:rPr>
        <w:t>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hint="eastAsia"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hint="eastAsia"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hint="eastAsia"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hint="eastAsia"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hint="eastAsia"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hint="eastAsia" w:eastAsia="仿宋_GB2312"/>
          <w:sz w:val="32"/>
          <w:szCs w:val="32"/>
        </w:rPr>
        <w:t>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hint="eastAsia" w:eastAsia="仿宋_GB2312"/>
          <w:sz w:val="32"/>
          <w:szCs w:val="32"/>
        </w:rPr>
        <w:t>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hint="eastAsia"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hint="eastAsia" w:eastAsia="方正小标宋_GBK"/>
          <w:bCs/>
          <w:kern w:val="0"/>
          <w:sz w:val="36"/>
          <w:szCs w:val="36"/>
        </w:rPr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2021</w:t>
      </w:r>
      <w:r>
        <w:rPr>
          <w:rFonts w:hint="eastAsia"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一、单位基本概况</w:t>
      </w:r>
    </w:p>
    <w:p>
      <w:pPr>
        <w:snapToGrid w:val="0"/>
        <w:spacing w:line="560" w:lineRule="exact"/>
        <w:ind w:firstLine="643" w:firstLineChars="200"/>
        <w:outlineLvl w:val="0"/>
        <w:rPr>
          <w:rFonts w:hint="eastAsia" w:eastAsia="楷体_GB2312"/>
          <w:b/>
          <w:sz w:val="32"/>
          <w:szCs w:val="32"/>
          <w:lang w:eastAsia="zh-CN"/>
        </w:rPr>
      </w:pPr>
      <w:r>
        <w:rPr>
          <w:rFonts w:hint="eastAsia" w:eastAsia="楷体_GB2312"/>
          <w:b/>
          <w:sz w:val="32"/>
          <w:szCs w:val="32"/>
        </w:rPr>
        <w:t>（一）职能职责</w:t>
      </w:r>
      <w:r>
        <w:rPr>
          <w:rFonts w:hint="eastAsia" w:eastAsia="楷体_GB2312"/>
          <w:b/>
          <w:sz w:val="32"/>
          <w:szCs w:val="32"/>
          <w:lang w:eastAsia="zh-CN"/>
        </w:rPr>
        <w:t>。</w:t>
      </w:r>
    </w:p>
    <w:p>
      <w:pPr>
        <w:spacing w:line="560" w:lineRule="exact"/>
        <w:ind w:firstLine="51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1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贯彻落实国家和省有关航道工作的方针政策、法律法规和技术标准。参与或拟订辖区航道保护、运行、养护管理有关制度、技术标准和规范。</w:t>
      </w:r>
    </w:p>
    <w:p>
      <w:pPr>
        <w:spacing w:line="560" w:lineRule="exact"/>
        <w:ind w:firstLine="510"/>
        <w:rPr>
          <w:rFonts w:eastAsia="仿宋_GB2312"/>
          <w:w w:val="105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 2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承担航道管理的事务性工作。</w:t>
      </w:r>
      <w:r>
        <w:rPr>
          <w:rFonts w:hint="eastAsia" w:eastAsia="仿宋_GB2312"/>
          <w:w w:val="105"/>
          <w:sz w:val="32"/>
          <w:szCs w:val="32"/>
        </w:rPr>
        <w:t>按规定参与航道通航条件影响评价审核事务性工作；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按规定配合交通综合执法机构做好事务性、技术性和辅助性工作；参与船闸的运行管理及其他事务性工作。</w:t>
      </w:r>
    </w:p>
    <w:p>
      <w:pPr>
        <w:spacing w:line="560" w:lineRule="exact"/>
        <w:ind w:firstLine="504" w:firstLineChars="15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3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承担辖区航道，航标及航道整治建筑物、航道站房等航道设施的养护管理和日常巡查工作。</w:t>
      </w:r>
    </w:p>
    <w:p>
      <w:pPr>
        <w:spacing w:line="560" w:lineRule="exact"/>
        <w:ind w:firstLine="504" w:firstLineChars="15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4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承担辖区航道探测、测绘工作，发布航道通告，按要求公布辖区航道维护尺度和航道图。</w:t>
      </w:r>
    </w:p>
    <w:p>
      <w:pPr>
        <w:spacing w:line="560" w:lineRule="exact"/>
        <w:ind w:firstLine="557" w:firstLineChars="166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5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eastAsia="仿宋_GB2312"/>
          <w:w w:val="105"/>
          <w:sz w:val="32"/>
          <w:szCs w:val="32"/>
        </w:rPr>
        <w:t>负责组织基层航道处落实航道现场保护工作，制定相应工作规定的细则，与综合执法机构及其他相关管理部门的协调工作，受委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托出具损害航道通航条件的技术鉴定（认定），监督检查基层航道处航道现场保护工作开展；基层航道处负责具体实施航道现场保护工作，宣传航道现场保护的法律法规和要求，及时与对应</w:t>
      </w:r>
      <w:r>
        <w:rPr>
          <w:rFonts w:hint="eastAsia" w:eastAsia="仿宋_GB2312"/>
          <w:w w:val="105"/>
          <w:sz w:val="32"/>
          <w:szCs w:val="32"/>
        </w:rPr>
        <w:t>综合执法机构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和其他相关管理单位的信息通报、工作协调等工作。</w:t>
      </w:r>
    </w:p>
    <w:p>
      <w:pPr>
        <w:spacing w:line="560" w:lineRule="exact"/>
        <w:ind w:firstLine="510"/>
        <w:rPr>
          <w:rFonts w:eastAsia="仿宋_GB2312"/>
          <w:w w:val="105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6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负责编报辖区航道养护计划并组织实施。</w:t>
      </w:r>
    </w:p>
    <w:p>
      <w:pPr>
        <w:spacing w:line="560" w:lineRule="exact"/>
        <w:ind w:firstLine="510"/>
        <w:rPr>
          <w:rFonts w:ascii="仿宋_GB2312" w:hAnsi="宋体" w:eastAsia="仿宋_GB2312"/>
          <w:color w:val="000000"/>
          <w:spacing w:val="-11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7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参与拟订与辖区航道相关的发展战略及发展规划。</w:t>
      </w:r>
    </w:p>
    <w:p>
      <w:pPr>
        <w:spacing w:line="560" w:lineRule="exact"/>
        <w:ind w:firstLine="493" w:firstLineChars="147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8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eastAsia="仿宋_GB2312"/>
          <w:w w:val="105"/>
          <w:sz w:val="32"/>
          <w:szCs w:val="32"/>
        </w:rPr>
        <w:t>参与协调水资源综合利用事务</w:t>
      </w:r>
      <w:r>
        <w:rPr>
          <w:rFonts w:hint="eastAsia" w:eastAsia="仿宋_GB2312"/>
          <w:w w:val="105"/>
          <w:sz w:val="32"/>
          <w:szCs w:val="32"/>
        </w:rPr>
        <w:t>性工作。</w:t>
      </w:r>
    </w:p>
    <w:p>
      <w:pPr>
        <w:spacing w:line="560" w:lineRule="exact"/>
        <w:ind w:firstLine="504" w:firstLineChars="15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9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按上级主管部门要求参与辖区航道安全生产和应急管理有关工作。</w:t>
      </w:r>
    </w:p>
    <w:p>
      <w:pPr>
        <w:spacing w:line="560" w:lineRule="exact"/>
        <w:ind w:firstLine="504" w:firstLineChars="150"/>
        <w:rPr>
          <w:rFonts w:eastAsia="仿宋_GB2312"/>
          <w:w w:val="105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10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eastAsia="仿宋_GB2312"/>
          <w:w w:val="105"/>
          <w:sz w:val="32"/>
          <w:szCs w:val="32"/>
        </w:rPr>
        <w:t>逐步建立航道基础数据库，并做好动态维护，积极推进航道智慧化。</w:t>
      </w:r>
    </w:p>
    <w:p>
      <w:pPr>
        <w:spacing w:line="560" w:lineRule="exact"/>
        <w:ind w:firstLine="504" w:firstLineChars="150"/>
        <w:rPr>
          <w:rFonts w:eastAsia="楷体_GB2312"/>
          <w:b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 xml:space="preserve"> 11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承办上级部门交办的其他工作。</w:t>
      </w:r>
    </w:p>
    <w:p>
      <w:pPr>
        <w:spacing w:line="580" w:lineRule="exact"/>
        <w:ind w:firstLine="643" w:firstLineChars="200"/>
        <w:rPr>
          <w:rFonts w:hint="eastAsia" w:eastAsia="楷体_GB2312"/>
          <w:b/>
          <w:sz w:val="32"/>
          <w:szCs w:val="32"/>
          <w:lang w:eastAsia="zh-CN"/>
        </w:rPr>
      </w:pPr>
      <w:r>
        <w:rPr>
          <w:rFonts w:hint="eastAsia" w:eastAsia="楷体_GB2312"/>
          <w:b/>
          <w:sz w:val="32"/>
          <w:szCs w:val="32"/>
        </w:rPr>
        <w:t>（二）机构设置</w:t>
      </w:r>
      <w:r>
        <w:rPr>
          <w:rFonts w:hint="eastAsia" w:eastAsia="楷体_GB2312"/>
          <w:b/>
          <w:sz w:val="32"/>
          <w:szCs w:val="32"/>
          <w:lang w:eastAsia="zh-CN"/>
        </w:rPr>
        <w:t>。</w:t>
      </w:r>
    </w:p>
    <w:p>
      <w:pPr>
        <w:spacing w:line="580" w:lineRule="exact"/>
        <w:ind w:firstLine="672" w:firstLineChars="200"/>
        <w:rPr>
          <w:rFonts w:eastAsia="仿宋_GB2312"/>
          <w:kern w:val="18"/>
          <w:sz w:val="32"/>
          <w:szCs w:val="32"/>
        </w:rPr>
      </w:pPr>
      <w:r>
        <w:rPr>
          <w:rFonts w:hint="eastAsia" w:eastAsia="仿宋_GB2312"/>
          <w:w w:val="105"/>
          <w:sz w:val="32"/>
          <w:szCs w:val="32"/>
        </w:rPr>
        <w:t>1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eastAsia="仿宋_GB2312"/>
          <w:w w:val="105"/>
          <w:sz w:val="32"/>
          <w:szCs w:val="32"/>
        </w:rPr>
        <w:t>内设机构。本单位现有内设机构7个，分别是</w:t>
      </w:r>
      <w:r>
        <w:rPr>
          <w:rFonts w:eastAsia="仿宋_GB2312"/>
          <w:kern w:val="18"/>
          <w:sz w:val="32"/>
          <w:szCs w:val="32"/>
        </w:rPr>
        <w:t>办公室、财务科、航政科、航道科、安全设备科、党群办、工会办</w:t>
      </w:r>
      <w:r>
        <w:rPr>
          <w:rFonts w:hint="eastAsia" w:eastAsia="仿宋_GB2312"/>
          <w:kern w:val="18"/>
          <w:sz w:val="32"/>
          <w:szCs w:val="32"/>
        </w:rPr>
        <w:t>。</w:t>
      </w:r>
    </w:p>
    <w:p>
      <w:pPr>
        <w:spacing w:line="580" w:lineRule="exact"/>
        <w:ind w:firstLine="672" w:firstLineChars="200"/>
        <w:rPr>
          <w:rFonts w:eastAsia="仿宋_GB2312"/>
          <w:kern w:val="18"/>
          <w:sz w:val="32"/>
          <w:szCs w:val="32"/>
          <w:lang w:val="zh-CN"/>
        </w:rPr>
      </w:pPr>
      <w:r>
        <w:rPr>
          <w:rFonts w:hint="eastAsia" w:eastAsia="仿宋_GB2312"/>
          <w:w w:val="105"/>
          <w:sz w:val="32"/>
          <w:szCs w:val="32"/>
          <w:lang w:val="en-US" w:eastAsia="zh-CN"/>
        </w:rPr>
        <w:t>2</w:t>
      </w:r>
      <w:r>
        <w:rPr>
          <w:rFonts w:hint="eastAsia" w:eastAsia="仿宋_GB2312"/>
          <w:w w:val="105"/>
          <w:sz w:val="32"/>
          <w:szCs w:val="32"/>
          <w:lang w:eastAsia="zh-CN"/>
        </w:rPr>
        <w:t>、</w:t>
      </w:r>
      <w:r>
        <w:rPr>
          <w:rFonts w:hint="eastAsia" w:eastAsia="仿宋_GB2312"/>
          <w:w w:val="105"/>
          <w:sz w:val="32"/>
          <w:szCs w:val="32"/>
        </w:rPr>
        <w:t>基层单位。本单位现有基层单位</w:t>
      </w:r>
      <w:r>
        <w:rPr>
          <w:rFonts w:hint="eastAsia" w:eastAsia="仿宋_GB2312"/>
          <w:kern w:val="18"/>
          <w:sz w:val="32"/>
          <w:szCs w:val="32"/>
          <w:lang w:val="zh-CN"/>
        </w:rPr>
        <w:t>13个，分别是株洲航道管理处、湘潭航道管理处、长沙航道管理处、望城航道管理处、铁角咀航道管理处、枢纽航道管理处、湘阴航道管理处、汨罗航道管理处、岳阳县航道管理处、岳阳航道管理处；长沙航政执法大队、岳阳航政执法大队和信息中心。</w:t>
      </w:r>
    </w:p>
    <w:p>
      <w:pPr>
        <w:widowControl/>
        <w:spacing w:line="600" w:lineRule="exact"/>
        <w:ind w:firstLine="672" w:firstLineChars="200"/>
        <w:rPr>
          <w:rFonts w:hint="eastAsia" w:ascii="黑体" w:hAnsi="黑体" w:eastAsia="黑体" w:cs="黑体"/>
          <w:w w:val="105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  <w:highlight w:val="none"/>
          <w:lang w:val="en-US" w:eastAsia="zh-CN"/>
        </w:rPr>
        <w:t>二、预算单位构成</w:t>
      </w:r>
    </w:p>
    <w:p>
      <w:pPr>
        <w:widowControl/>
        <w:spacing w:line="600" w:lineRule="exact"/>
        <w:ind w:firstLine="640" w:firstLineChars="200"/>
        <w:rPr>
          <w:rFonts w:hint="eastAsia" w:eastAsia="黑体"/>
          <w:bCs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我单位无二级预算单位，因此，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湖南省长沙航道事务中心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20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2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年部门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lang w:eastAsia="zh-CN"/>
        </w:rPr>
        <w:t>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算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即为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湖南省长沙航道事务中心本级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年部门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三</w:t>
      </w:r>
      <w:r>
        <w:rPr>
          <w:rFonts w:hint="eastAsia"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（一）收入预算：</w:t>
      </w:r>
      <w:r>
        <w:rPr>
          <w:rFonts w:hint="eastAsia"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年本单位收入预算3597.62万元，</w:t>
      </w:r>
      <w:r>
        <w:rPr>
          <w:rFonts w:hint="eastAsia" w:eastAsia="仿宋_GB2312"/>
          <w:sz w:val="32"/>
          <w:szCs w:val="32"/>
          <w:lang w:val="en-US" w:eastAsia="zh-CN"/>
        </w:rPr>
        <w:t>其中，</w:t>
      </w:r>
      <w:r>
        <w:rPr>
          <w:rFonts w:hint="eastAsia" w:eastAsia="仿宋_GB2312"/>
          <w:sz w:val="32"/>
          <w:szCs w:val="32"/>
        </w:rPr>
        <w:t>一般公共预算拨款3597.62万元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政府性基金预算拨款0万元，国有资本经营预算拨款0万元，纳入专户管理的非税收入0万元</w:t>
      </w:r>
      <w:r>
        <w:rPr>
          <w:rFonts w:hint="eastAsia" w:eastAsia="仿宋_GB2312"/>
          <w:sz w:val="32"/>
          <w:szCs w:val="32"/>
        </w:rPr>
        <w:t>。上年结转结余1942.29万元。收入较去年减少1383.71万元，主要是充分统筹利用上年结转结余资金。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年本单位支出预算5539.91万元，其中，社会保障和就业支出463.55万元，交通运输支出4838.59万元，住房保障支出237.77万元。支出较去年增加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</w:rPr>
        <w:t>558.58万元。主要是新增上级单位湖南省水运事务中心转来“对附属单位的困难补助”项目支出。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仿宋_GB2312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eastAsia="楷体_GB2312"/>
          <w:b/>
          <w:sz w:val="32"/>
          <w:szCs w:val="32"/>
          <w:highlight w:val="none"/>
        </w:rPr>
        <w:t>（</w:t>
      </w:r>
      <w:r>
        <w:rPr>
          <w:rFonts w:hint="eastAsia" w:eastAsia="楷体_GB2312"/>
          <w:b/>
          <w:sz w:val="32"/>
          <w:szCs w:val="32"/>
          <w:highlight w:val="none"/>
          <w:lang w:eastAsia="zh-CN"/>
        </w:rPr>
        <w:t>三</w:t>
      </w:r>
      <w:r>
        <w:rPr>
          <w:rFonts w:hint="eastAsia" w:eastAsia="楷体_GB2312"/>
          <w:b/>
          <w:sz w:val="32"/>
          <w:szCs w:val="32"/>
          <w:highlight w:val="none"/>
        </w:rPr>
        <w:t>）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我单位2021年年初部门预算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、20、21表均为空。</w:t>
      </w:r>
    </w:p>
    <w:bookmarkEnd w:id="0"/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hint="eastAsia"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年本单位一般公共预算拨款支出预算3597.62万元，其中，社会保障和就业支出463.55万元，占12.88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；交通运输支出2896.30万元，占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80.51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；住房保障支出237.77万元，占6.61 %，具体安排情况如下：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年本单位基本支出预算数3095.29万元，主要是为保障部门正常运转、完成日常工作任务而发生的各项支出，包括用于基本工资、津贴补贴等人员经费以及办公费、印刷费、水电费、办公设备购置等公用经费。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年本单位项目支出预算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502.33万元，主要是单位为完成特定行政工作任务或事业发展目标而发生的支出，包括有关事业发展专项、专项业务费、基本建设支出等，其中交通运输支出502.33万元，主要用于航道维护和管理等方面工作。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hint="eastAsia"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年本单位无政府性基金安排的支出。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hint="eastAsia"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年本单位机关运行经费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446.07万元，比上年预算减少16.87万元，下降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3.6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，主要是差旅费根据实际需求进行了相应压减。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“</w:t>
      </w:r>
      <w:r>
        <w:rPr>
          <w:rFonts w:hint="eastAsia" w:eastAsia="楷体_GB2312"/>
          <w:b/>
          <w:sz w:val="32"/>
          <w:szCs w:val="32"/>
        </w:rPr>
        <w:t>三公</w:t>
      </w:r>
      <w:r>
        <w:rPr>
          <w:rFonts w:eastAsia="楷体_GB2312"/>
          <w:b/>
          <w:sz w:val="32"/>
          <w:szCs w:val="32"/>
        </w:rPr>
        <w:t>”</w:t>
      </w:r>
      <w:r>
        <w:rPr>
          <w:rFonts w:hint="eastAsia" w:eastAsia="楷体_GB2312"/>
          <w:b/>
          <w:sz w:val="32"/>
          <w:szCs w:val="32"/>
        </w:rPr>
        <w:t>经费预算：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</w:t>
      </w:r>
      <w:r>
        <w:rPr>
          <w:rFonts w:eastAsia="仿宋_GB2312"/>
          <w:sz w:val="32"/>
          <w:szCs w:val="32"/>
        </w:rPr>
        <w:t xml:space="preserve"> “</w:t>
      </w:r>
      <w:r>
        <w:rPr>
          <w:rFonts w:hint="eastAsia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/>
          <w:sz w:val="32"/>
          <w:szCs w:val="32"/>
        </w:rPr>
        <w:t>经费预算数为51.50万元，其中，公务接待费9.00万元，公务用车购置及运行费42.50万元（其中，公务用车购置费20.00万元，公务用车运行费22.50万元），因公出国（境）费0.00万元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较上年一致</w:t>
      </w:r>
      <w:r>
        <w:rPr>
          <w:rFonts w:hint="eastAsia" w:eastAsia="仿宋_GB2312"/>
          <w:sz w:val="32"/>
          <w:szCs w:val="32"/>
          <w:highlight w:val="none"/>
        </w:rPr>
        <w:t>。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/>
          <w:sz w:val="32"/>
          <w:szCs w:val="32"/>
        </w:rPr>
        <w:t>经费预算较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年增加20.00万元，主要是本年度经湖南省机关事务局批复购置车辆一台</w:t>
      </w:r>
      <w:r>
        <w:rPr>
          <w:rFonts w:eastAsia="仿宋_GB2312"/>
          <w:sz w:val="32"/>
          <w:szCs w:val="32"/>
        </w:rPr>
        <w:t>。</w:t>
      </w:r>
    </w:p>
    <w:p>
      <w:pPr>
        <w:pStyle w:val="9"/>
        <w:ind w:firstLine="643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</w:rPr>
        <w:t>1年本单位会议费预算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</w:rPr>
        <w:t>4.71</w:t>
      </w:r>
      <w:r>
        <w:rPr>
          <w:rFonts w:hint="eastAsia"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</w:rPr>
        <w:t>职代</w:t>
      </w:r>
      <w:r>
        <w:rPr>
          <w:rFonts w:hint="eastAsia" w:eastAsia="仿宋_GB2312"/>
          <w:kern w:val="0"/>
          <w:sz w:val="32"/>
          <w:szCs w:val="32"/>
        </w:rPr>
        <w:t>会、航道养护工作等会议，人数</w:t>
      </w:r>
      <w:r>
        <w:rPr>
          <w:rFonts w:hint="eastAsia" w:eastAsia="仿宋_GB2312"/>
          <w:sz w:val="32"/>
          <w:szCs w:val="32"/>
        </w:rPr>
        <w:t>190</w:t>
      </w:r>
      <w:r>
        <w:rPr>
          <w:rFonts w:hint="eastAsia" w:eastAsia="仿宋_GB2312"/>
          <w:kern w:val="0"/>
          <w:sz w:val="32"/>
          <w:szCs w:val="32"/>
        </w:rPr>
        <w:t>人，内容为通报</w:t>
      </w:r>
      <w:r>
        <w:rPr>
          <w:rFonts w:hint="eastAsia" w:eastAsia="仿宋_GB2312"/>
          <w:sz w:val="32"/>
          <w:szCs w:val="32"/>
        </w:rPr>
        <w:t>全局工作情况、分析安全形势、传达上级安全文件精神及谋划下年度工作计划等</w:t>
      </w:r>
      <w:r>
        <w:rPr>
          <w:rFonts w:hint="eastAsia" w:eastAsia="仿宋_GB2312"/>
          <w:kern w:val="0"/>
          <w:sz w:val="32"/>
          <w:szCs w:val="32"/>
        </w:rPr>
        <w:t>；培训费预算</w:t>
      </w:r>
      <w:r>
        <w:rPr>
          <w:rFonts w:hint="eastAsia" w:eastAsia="仿宋_GB2312"/>
          <w:sz w:val="32"/>
          <w:szCs w:val="32"/>
        </w:rPr>
        <w:t>8.57</w:t>
      </w:r>
      <w:r>
        <w:rPr>
          <w:rFonts w:hint="eastAsia"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</w:rPr>
        <w:t>航道业务培训</w:t>
      </w:r>
      <w:r>
        <w:rPr>
          <w:rFonts w:hint="eastAsia" w:eastAsia="仿宋_GB2312"/>
          <w:kern w:val="0"/>
          <w:sz w:val="32"/>
          <w:szCs w:val="32"/>
        </w:rPr>
        <w:t>培训、船舶船员安全培训等，人数约</w:t>
      </w:r>
      <w:r>
        <w:rPr>
          <w:rFonts w:hint="eastAsia" w:eastAsia="仿宋_GB2312"/>
          <w:sz w:val="32"/>
          <w:szCs w:val="32"/>
        </w:rPr>
        <w:t>74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sz w:val="32"/>
          <w:szCs w:val="32"/>
        </w:rPr>
        <w:t>开展航道养护相关知识及船舶船员安全知识培训等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sz w:val="32"/>
          <w:szCs w:val="32"/>
        </w:rPr>
        <w:t>本单位无节庆、晚会、论坛、赛事活动。</w:t>
      </w:r>
    </w:p>
    <w:p>
      <w:pPr>
        <w:pStyle w:val="9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年本单位政府采购预算总额100.00万元，其中，货物类采购预算0.00万元；工程类采购预算0.00万元；服务类采购预算100.00万元。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（五）国有资产占用使用及新增资产配置情况：</w:t>
      </w:r>
      <w:r>
        <w:rPr>
          <w:rFonts w:hint="eastAsia"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hint="eastAsia" w:eastAsia="仿宋_GB2312"/>
          <w:sz w:val="32"/>
          <w:szCs w:val="32"/>
        </w:rPr>
        <w:t>月底，本单位</w:t>
      </w:r>
      <w:r>
        <w:rPr>
          <w:rFonts w:hint="eastAsia" w:eastAsia="仿宋_GB2312"/>
          <w:bCs/>
          <w:kern w:val="0"/>
          <w:sz w:val="32"/>
          <w:szCs w:val="32"/>
        </w:rPr>
        <w:t>共有公务用车6辆，其中，机要通信用车0辆，应急保障用车0辆，执法执勤用车0辆，特种专业技术用车0辆，其他按照规定配备的公务用车6辆；单位价值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hint="eastAsia" w:eastAsia="仿宋_GB2312"/>
          <w:bCs/>
          <w:kern w:val="0"/>
          <w:sz w:val="32"/>
          <w:szCs w:val="32"/>
        </w:rPr>
        <w:t>万元以上通用设备0台，单位价值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hint="eastAsia" w:eastAsia="仿宋_GB2312"/>
          <w:bCs/>
          <w:kern w:val="0"/>
          <w:sz w:val="32"/>
          <w:szCs w:val="32"/>
        </w:rPr>
        <w:t>万元以上专用设备0台。</w:t>
      </w:r>
      <w:r>
        <w:rPr>
          <w:rFonts w:eastAsia="仿宋_GB2312"/>
          <w:bCs/>
          <w:kern w:val="0"/>
          <w:sz w:val="32"/>
          <w:szCs w:val="32"/>
        </w:rPr>
        <w:t>2021</w:t>
      </w:r>
      <w:r>
        <w:rPr>
          <w:rFonts w:hint="eastAsia" w:eastAsia="仿宋_GB2312"/>
          <w:bCs/>
          <w:kern w:val="0"/>
          <w:sz w:val="32"/>
          <w:szCs w:val="32"/>
        </w:rPr>
        <w:t>年拟新增配置公务用车1辆，其中，机要通信用车0辆，应急保障用车</w:t>
      </w:r>
      <w:r>
        <w:rPr>
          <w:rFonts w:eastAsia="仿宋_GB2312"/>
          <w:bCs/>
          <w:kern w:val="0"/>
          <w:sz w:val="32"/>
          <w:szCs w:val="32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</w:rPr>
        <w:t>0辆，执法执勤用车0辆，特种专业技术用车0辆，其他按照规定配备的公务用车0辆；新增配备单位价值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hint="eastAsia" w:eastAsia="仿宋_GB2312"/>
          <w:bCs/>
          <w:kern w:val="0"/>
          <w:sz w:val="32"/>
          <w:szCs w:val="32"/>
        </w:rPr>
        <w:t>万元以上通用设备0台，单位价值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hint="eastAsia" w:eastAsia="仿宋_GB2312"/>
          <w:bCs/>
          <w:kern w:val="0"/>
          <w:sz w:val="32"/>
          <w:szCs w:val="32"/>
        </w:rPr>
        <w:t>万元以上专用设备0台。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hint="eastAsia"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</w:rPr>
        <w:t>2021</w:t>
      </w:r>
      <w:r>
        <w:rPr>
          <w:rFonts w:hint="eastAsia" w:eastAsia="仿宋_GB2312"/>
          <w:bCs/>
          <w:kern w:val="0"/>
          <w:sz w:val="32"/>
          <w:szCs w:val="32"/>
        </w:rPr>
        <w:t>年单位整体支出绩效目标的金额</w:t>
      </w:r>
      <w:r>
        <w:rPr>
          <w:rFonts w:hint="eastAsia" w:eastAsia="仿宋_GB2312"/>
          <w:sz w:val="32"/>
          <w:szCs w:val="32"/>
        </w:rPr>
        <w:t>5539.91</w:t>
      </w:r>
      <w:r>
        <w:rPr>
          <w:rFonts w:hint="eastAsia"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3095.29</w:t>
      </w:r>
      <w:r>
        <w:rPr>
          <w:rFonts w:hint="eastAsia"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</w:rPr>
        <w:t>2444.62</w:t>
      </w:r>
      <w:r>
        <w:rPr>
          <w:rFonts w:hint="eastAsia"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hint="eastAsia"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、机关运行经费：是指本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hint="eastAsia" w:eastAsia="仿宋_GB2312"/>
          <w:sz w:val="32"/>
          <w:szCs w:val="32"/>
        </w:rPr>
        <w:t>县）财政预算管理的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hint="eastAsia"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2021</w:t>
      </w:r>
      <w:r>
        <w:rPr>
          <w:rFonts w:hint="eastAsia"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1NTNiODM5YTExMzhlYTNhODJhNjljMjE0YTlkOWIifQ=="/>
  </w:docVars>
  <w:rsids>
    <w:rsidRoot w:val="00415BF9"/>
    <w:rsid w:val="000109D0"/>
    <w:rsid w:val="000670ED"/>
    <w:rsid w:val="0007057D"/>
    <w:rsid w:val="000B41E7"/>
    <w:rsid w:val="000B663F"/>
    <w:rsid w:val="000C0EED"/>
    <w:rsid w:val="001179A1"/>
    <w:rsid w:val="001340C2"/>
    <w:rsid w:val="00137474"/>
    <w:rsid w:val="0016643F"/>
    <w:rsid w:val="00175223"/>
    <w:rsid w:val="001B5BD1"/>
    <w:rsid w:val="001C57C1"/>
    <w:rsid w:val="00204F05"/>
    <w:rsid w:val="00216F8B"/>
    <w:rsid w:val="00246C3F"/>
    <w:rsid w:val="00267093"/>
    <w:rsid w:val="00274440"/>
    <w:rsid w:val="0028212B"/>
    <w:rsid w:val="00295E0D"/>
    <w:rsid w:val="002A76ED"/>
    <w:rsid w:val="002B74FC"/>
    <w:rsid w:val="002F0C51"/>
    <w:rsid w:val="002F3347"/>
    <w:rsid w:val="0039497F"/>
    <w:rsid w:val="003A6CBC"/>
    <w:rsid w:val="003B7845"/>
    <w:rsid w:val="003C7499"/>
    <w:rsid w:val="003E1511"/>
    <w:rsid w:val="003E6043"/>
    <w:rsid w:val="00402B28"/>
    <w:rsid w:val="00415BF9"/>
    <w:rsid w:val="0042034A"/>
    <w:rsid w:val="00451CC5"/>
    <w:rsid w:val="00497B2C"/>
    <w:rsid w:val="004C6285"/>
    <w:rsid w:val="004F5C93"/>
    <w:rsid w:val="00501B4D"/>
    <w:rsid w:val="00546686"/>
    <w:rsid w:val="00555C12"/>
    <w:rsid w:val="00595183"/>
    <w:rsid w:val="005C4743"/>
    <w:rsid w:val="005F6C29"/>
    <w:rsid w:val="006029D6"/>
    <w:rsid w:val="00604986"/>
    <w:rsid w:val="00611A29"/>
    <w:rsid w:val="006158BB"/>
    <w:rsid w:val="00673FC2"/>
    <w:rsid w:val="00683B8B"/>
    <w:rsid w:val="006851FE"/>
    <w:rsid w:val="00691455"/>
    <w:rsid w:val="006A50EB"/>
    <w:rsid w:val="006B0765"/>
    <w:rsid w:val="006C47BA"/>
    <w:rsid w:val="006D6A9D"/>
    <w:rsid w:val="00715C80"/>
    <w:rsid w:val="00781EA4"/>
    <w:rsid w:val="00782D8D"/>
    <w:rsid w:val="007C4842"/>
    <w:rsid w:val="007D370C"/>
    <w:rsid w:val="007E16BD"/>
    <w:rsid w:val="008515F9"/>
    <w:rsid w:val="00882C2E"/>
    <w:rsid w:val="0089133F"/>
    <w:rsid w:val="008A38C6"/>
    <w:rsid w:val="008B7AD1"/>
    <w:rsid w:val="008E4EDB"/>
    <w:rsid w:val="008F1839"/>
    <w:rsid w:val="009006E1"/>
    <w:rsid w:val="009014B3"/>
    <w:rsid w:val="009061B3"/>
    <w:rsid w:val="009224F8"/>
    <w:rsid w:val="00923144"/>
    <w:rsid w:val="009D013D"/>
    <w:rsid w:val="009E2788"/>
    <w:rsid w:val="009E4D56"/>
    <w:rsid w:val="009E7A40"/>
    <w:rsid w:val="009F4117"/>
    <w:rsid w:val="00A02885"/>
    <w:rsid w:val="00A10504"/>
    <w:rsid w:val="00A10E6A"/>
    <w:rsid w:val="00A163C4"/>
    <w:rsid w:val="00A23AEB"/>
    <w:rsid w:val="00A3742C"/>
    <w:rsid w:val="00A578AD"/>
    <w:rsid w:val="00AB4F6C"/>
    <w:rsid w:val="00AC62C3"/>
    <w:rsid w:val="00AF6F0B"/>
    <w:rsid w:val="00B23BAD"/>
    <w:rsid w:val="00B66C42"/>
    <w:rsid w:val="00B7352E"/>
    <w:rsid w:val="00B918A3"/>
    <w:rsid w:val="00BA0765"/>
    <w:rsid w:val="00BA2391"/>
    <w:rsid w:val="00BB09B4"/>
    <w:rsid w:val="00BC13AD"/>
    <w:rsid w:val="00C10DD0"/>
    <w:rsid w:val="00C658C4"/>
    <w:rsid w:val="00CA6E47"/>
    <w:rsid w:val="00D10A30"/>
    <w:rsid w:val="00D41415"/>
    <w:rsid w:val="00D638EF"/>
    <w:rsid w:val="00D744FF"/>
    <w:rsid w:val="00D94973"/>
    <w:rsid w:val="00DB6EA2"/>
    <w:rsid w:val="00DE2CFD"/>
    <w:rsid w:val="00E625DB"/>
    <w:rsid w:val="00E771B3"/>
    <w:rsid w:val="00E83C8E"/>
    <w:rsid w:val="00EA7D06"/>
    <w:rsid w:val="00ED0F17"/>
    <w:rsid w:val="00EE2D57"/>
    <w:rsid w:val="00F0505D"/>
    <w:rsid w:val="00F23B21"/>
    <w:rsid w:val="00F97C09"/>
    <w:rsid w:val="00FA7B55"/>
    <w:rsid w:val="00FB4747"/>
    <w:rsid w:val="1542149B"/>
    <w:rsid w:val="20A36F19"/>
    <w:rsid w:val="2FB10D29"/>
    <w:rsid w:val="38553A1D"/>
    <w:rsid w:val="44DF0CEB"/>
    <w:rsid w:val="45CE21FF"/>
    <w:rsid w:val="49333953"/>
    <w:rsid w:val="55A30D63"/>
    <w:rsid w:val="5790546C"/>
    <w:rsid w:val="67AF6F33"/>
    <w:rsid w:val="7DFA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C4C86-50A5-44B2-81E3-555A067B03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3182</Words>
  <Characters>3462</Characters>
  <Lines>23</Lines>
  <Paragraphs>6</Paragraphs>
  <TotalTime>1</TotalTime>
  <ScaleCrop>false</ScaleCrop>
  <LinksUpToDate>false</LinksUpToDate>
  <CharactersWithSpaces>3500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2021-03-09T03:18:00Z</dcterms:created>
  <dc:creator>陈彩霞</dc:creator>
  <cp:lastModifiedBy>刘婵</cp:lastModifiedBy>
  <cp:lastPrinted>2021-03-24T02:15:00Z</cp:lastPrinted>
  <dcterms:modified xsi:type="dcterms:W3CDTF">2022-09-07T09:27:08Z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3B2F1A99743440809F89F121D2D44CAB</vt:lpwstr>
  </property>
</Properties>
</file>