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600" w:lineRule="atLeast"/>
        <w:jc w:val="center"/>
        <w:rPr>
          <w:rFonts w:hint="default" w:ascii="微软雅黑" w:hAnsi="微软雅黑" w:eastAsia="微软雅黑" w:cs="微软雅黑"/>
          <w:color w:val="333333"/>
        </w:rPr>
      </w:pPr>
      <w:r>
        <w:rPr>
          <w:rFonts w:ascii="黑体" w:hAnsi="黑体" w:eastAsia="黑体" w:cs="黑体"/>
          <w:color w:val="333333"/>
          <w:shd w:val="clear" w:color="auto" w:fill="FFFFFF"/>
        </w:rPr>
        <w:t>2021年湖南省益阳航道事务中心预算公开说明</w:t>
      </w:r>
    </w:p>
    <w:p>
      <w:pPr>
        <w:pStyle w:val="5"/>
        <w:widowControl/>
        <w:spacing w:beforeAutospacing="0" w:afterAutospacing="0" w:line="600" w:lineRule="atLeast"/>
        <w:jc w:val="center"/>
        <w:rPr>
          <w:rFonts w:ascii="黑体" w:hAnsi="黑体" w:eastAsia="黑体" w:cs="黑体"/>
          <w:color w:val="333333"/>
          <w:sz w:val="28"/>
          <w:szCs w:val="28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目 录</w:t>
      </w:r>
    </w:p>
    <w:p>
      <w:pPr>
        <w:pStyle w:val="5"/>
        <w:widowControl/>
        <w:spacing w:beforeAutospacing="0" w:afterAutospacing="0" w:line="6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 </w:t>
      </w:r>
    </w:p>
    <w:p>
      <w:pPr>
        <w:pStyle w:val="5"/>
        <w:widowControl/>
        <w:spacing w:beforeAutospacing="0" w:afterAutospacing="0" w:line="600" w:lineRule="atLeast"/>
        <w:ind w:firstLine="637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仿宋" w:hAnsi="仿宋" w:eastAsia="仿宋" w:cs="仿宋"/>
          <w:b/>
          <w:bCs/>
          <w:color w:val="333333"/>
          <w:sz w:val="32"/>
          <w:szCs w:val="32"/>
          <w:shd w:val="clear" w:color="auto" w:fill="FFFFFF"/>
        </w:rPr>
        <w:t>第一部分</w:t>
      </w:r>
      <w:r>
        <w:rPr>
          <w:rFonts w:ascii="Times New Roman" w:hAnsi="Times New Roman" w:eastAsia="微软雅黑"/>
          <w:b/>
          <w:bCs/>
          <w:color w:val="333333"/>
          <w:sz w:val="32"/>
          <w:szCs w:val="32"/>
          <w:shd w:val="clear" w:color="auto" w:fill="FFFFFF"/>
        </w:rPr>
        <w:t> 2021</w:t>
      </w:r>
      <w:r>
        <w:rPr>
          <w:rFonts w:hint="eastAsia" w:ascii="仿宋" w:hAnsi="仿宋" w:eastAsia="仿宋" w:cs="仿宋"/>
          <w:b/>
          <w:bCs/>
          <w:color w:val="333333"/>
          <w:sz w:val="32"/>
          <w:szCs w:val="32"/>
          <w:shd w:val="clear" w:color="auto" w:fill="FFFFFF"/>
        </w:rPr>
        <w:t>年单位预算说明</w:t>
      </w:r>
    </w:p>
    <w:p>
      <w:pPr>
        <w:pStyle w:val="5"/>
        <w:widowControl/>
        <w:spacing w:beforeAutospacing="0" w:afterAutospacing="0" w:line="600" w:lineRule="atLeast"/>
        <w:ind w:firstLine="637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z w:val="32"/>
          <w:szCs w:val="32"/>
          <w:shd w:val="clear" w:color="auto" w:fill="FFFFFF"/>
        </w:rPr>
        <w:t>第二部分</w:t>
      </w:r>
      <w:r>
        <w:rPr>
          <w:rFonts w:ascii="Times New Roman" w:hAnsi="Times New Roman" w:eastAsia="微软雅黑"/>
          <w:b/>
          <w:bCs/>
          <w:color w:val="333333"/>
          <w:sz w:val="32"/>
          <w:szCs w:val="32"/>
          <w:shd w:val="clear" w:color="auto" w:fill="FFFFFF"/>
        </w:rPr>
        <w:t> 2021</w:t>
      </w:r>
      <w:r>
        <w:rPr>
          <w:rFonts w:hint="eastAsia" w:ascii="仿宋" w:hAnsi="仿宋" w:eastAsia="仿宋" w:cs="仿宋"/>
          <w:b/>
          <w:bCs/>
          <w:color w:val="333333"/>
          <w:sz w:val="32"/>
          <w:szCs w:val="32"/>
          <w:shd w:val="clear" w:color="auto" w:fill="FFFFFF"/>
        </w:rPr>
        <w:t>年单位预算表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、收支总表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、收入总表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、支出总表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、支出预算分类汇总表（按政府预算经济分类）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、支出预算分类汇总表（按部门预算经济分类）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6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、财政拨款收支总表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7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、一般公共预算支出表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8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人员经费（工资福利支出）（按政府预算经济分类）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9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人员经费（工资福利支出）（按部门预算经济分类）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人员经费（对个人和家庭的补助）（按政府预算经济分类）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人员经费（对个人和家庭的补助）（按部门预算经济分类）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公用经费（商品和服务支出）（按政府预算经济分类）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公用经费（商品和服务支出）（按部门预算经济分类）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经费支出表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、政府性基金预算支出表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16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、政府性基金预算支出分类汇总表（按政府预算经济分类）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17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、政府性基金预算支出分类汇总表（按部门预算经济分类）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18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、国有资本经营预算支出表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19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、财政专户管理资金预算支出表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、省级专项资金预算汇总表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、省级专项资金绩效目标表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、其他项目支出绩效目标表</w:t>
      </w:r>
    </w:p>
    <w:p>
      <w:pPr>
        <w:pStyle w:val="5"/>
        <w:widowControl/>
        <w:spacing w:beforeAutospacing="0" w:afterAutospacing="0" w:line="600" w:lineRule="atLeast"/>
        <w:ind w:firstLine="634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、部门整体支出绩效目标表</w:t>
      </w:r>
    </w:p>
    <w:p>
      <w:pPr>
        <w:pStyle w:val="5"/>
        <w:widowControl/>
        <w:spacing w:beforeAutospacing="0" w:afterAutospacing="0" w:line="600" w:lineRule="atLeast"/>
        <w:ind w:firstLine="634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注：以上部门预算报表中，空表表示本单位无相关收支情况。</w:t>
      </w:r>
    </w:p>
    <w:p>
      <w:pPr>
        <w:pStyle w:val="5"/>
        <w:widowControl/>
        <w:spacing w:beforeAutospacing="0" w:afterAutospacing="0" w:line="600" w:lineRule="atLeast"/>
        <w:ind w:firstLine="634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 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 </w:t>
      </w:r>
    </w:p>
    <w:p>
      <w:pPr>
        <w:pStyle w:val="5"/>
        <w:widowControl/>
        <w:spacing w:beforeAutospacing="0" w:afterAutospacing="0" w:line="600" w:lineRule="atLeast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  <w:t>第一部分</w:t>
      </w:r>
      <w:r>
        <w:rPr>
          <w:rFonts w:ascii="Times New Roman" w:hAnsi="Times New Roman" w:eastAsia="微软雅黑"/>
          <w:color w:val="333333"/>
          <w:sz w:val="36"/>
          <w:szCs w:val="36"/>
          <w:shd w:val="clear" w:color="auto" w:fill="FFFFFF"/>
        </w:rPr>
        <w:t> 2021</w:t>
      </w:r>
      <w:r>
        <w:rPr>
          <w:rFonts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  <w:t>年单位预算说明</w:t>
      </w:r>
    </w:p>
    <w:p>
      <w:pPr>
        <w:pStyle w:val="5"/>
        <w:widowControl/>
        <w:spacing w:beforeAutospacing="0" w:afterAutospacing="0" w:line="6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  <w:shd w:val="clear" w:color="auto" w:fill="FFFFFF"/>
        </w:rPr>
        <w:t> </w:t>
      </w:r>
    </w:p>
    <w:p>
      <w:pPr>
        <w:pStyle w:val="5"/>
        <w:widowControl/>
        <w:spacing w:beforeAutospacing="0" w:afterAutospacing="0" w:line="600" w:lineRule="atLeast"/>
        <w:ind w:firstLine="622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黑体" w:hAnsi="宋体" w:eastAsia="黑体" w:cs="黑体"/>
          <w:color w:val="333333"/>
          <w:sz w:val="32"/>
          <w:szCs w:val="32"/>
          <w:shd w:val="clear" w:color="auto" w:fill="FFFFFF"/>
        </w:rPr>
        <w:t>一、单位基本概况</w:t>
      </w:r>
    </w:p>
    <w:p>
      <w:pPr>
        <w:pStyle w:val="5"/>
        <w:widowControl/>
        <w:spacing w:beforeAutospacing="0" w:afterAutospacing="0" w:line="600" w:lineRule="atLeast"/>
        <w:ind w:firstLine="641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（一）职能职责</w:t>
      </w:r>
    </w:p>
    <w:p>
      <w:pPr>
        <w:pStyle w:val="5"/>
        <w:widowControl/>
        <w:spacing w:beforeAutospacing="0" w:afterAutospacing="0" w:line="600" w:lineRule="atLeast"/>
        <w:ind w:right="228" w:firstLine="664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根据《航道法》及国家其他有关航道法规和技术标准，对所辖航道及航道设施实施管理、养护和建设；审查与通航有关的拦河、跨河、临河建筑物的通航标准和技术要求；参加编制航道规划，组织辖区航道建设计划实施；组织开展航道先进技术交流和对航道职工进行技术业务培训；保护航道及航道设施，防止偷盗、破坏航道设施、侵占和损坏航道的现象发生。</w:t>
      </w:r>
    </w:p>
    <w:p>
      <w:pPr>
        <w:pStyle w:val="5"/>
        <w:widowControl/>
        <w:spacing w:beforeAutospacing="0" w:afterAutospacing="0" w:line="600" w:lineRule="atLeast"/>
        <w:ind w:firstLine="641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（二）机构设置</w:t>
      </w:r>
    </w:p>
    <w:p>
      <w:pPr>
        <w:pStyle w:val="5"/>
        <w:widowControl/>
        <w:spacing w:beforeAutospacing="0" w:afterAutospacing="0" w:line="600" w:lineRule="atLeast"/>
        <w:ind w:firstLine="651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内设机构。本单位现有内设机构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7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个，分别是党群办、办公室、财务科、安全设备科、航道养护科、航道行政科、工会办。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        </w:t>
      </w:r>
    </w:p>
    <w:p>
      <w:pPr>
        <w:pStyle w:val="5"/>
        <w:widowControl/>
        <w:spacing w:beforeAutospacing="0" w:afterAutospacing="0" w:line="600" w:lineRule="atLeast"/>
        <w:ind w:firstLine="651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2.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基层单位。本单位现有基层单位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个，分别是益阳、漉湖、南县、沅江、白马寺、毛角口、新桥河、黄茅洲、白沙和监控分中心。</w:t>
      </w:r>
    </w:p>
    <w:p>
      <w:pPr>
        <w:pStyle w:val="5"/>
        <w:widowControl/>
        <w:spacing w:beforeAutospacing="0" w:afterAutospacing="0" w:line="600" w:lineRule="atLeast"/>
        <w:ind w:firstLine="651"/>
        <w:rPr>
          <w:rFonts w:ascii="微软雅黑" w:hAnsi="微软雅黑" w:eastAsia="微软雅黑" w:cs="微软雅黑"/>
          <w:color w:val="333333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.预算单位构成。我中心无下级预算单位，因此，湖南省益阳航道事务中心2021年部门预算即湖南省益阳航道事务中心本级2021年部门预算。</w:t>
      </w:r>
    </w:p>
    <w:p>
      <w:pPr>
        <w:pStyle w:val="5"/>
        <w:widowControl/>
        <w:spacing w:beforeAutospacing="0" w:afterAutospacing="0" w:line="600" w:lineRule="atLeast"/>
        <w:ind w:firstLine="622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黑体" w:hAnsi="宋体" w:eastAsia="黑体" w:cs="黑体"/>
          <w:color w:val="333333"/>
          <w:sz w:val="32"/>
          <w:szCs w:val="32"/>
          <w:shd w:val="clear" w:color="auto" w:fill="FFFFFF"/>
        </w:rPr>
        <w:t>二、单位收支总体情况</w:t>
      </w:r>
    </w:p>
    <w:p>
      <w:pPr>
        <w:pStyle w:val="5"/>
        <w:widowControl/>
        <w:spacing w:beforeAutospacing="0" w:afterAutospacing="0" w:line="600" w:lineRule="atLeast"/>
        <w:ind w:firstLine="624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（一）收入预算：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包括一般公共预算、政府性基金、国有资本经营预算等财政拨款收入，以及经营收入、事业收入等单位资金。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年本单位收入预算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3153.35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eastAsia="仿宋_GB2312"/>
          <w:sz w:val="32"/>
          <w:szCs w:val="32"/>
        </w:rPr>
        <w:t>其中，一般公共预算拨款</w:t>
      </w:r>
      <w:r>
        <w:rPr>
          <w:rFonts w:hint="eastAsia" w:ascii="Times New Roman" w:hAnsi="Times New Roman" w:eastAsia="微软雅黑"/>
          <w:color w:val="333333"/>
          <w:sz w:val="32"/>
          <w:szCs w:val="32"/>
          <w:shd w:val="clear" w:color="auto" w:fill="FFFFFF"/>
        </w:rPr>
        <w:t>3153.35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hint="eastAsia"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上年结余结转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1136.30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万元。收入较去年减少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1130.03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万元，主要是充分统筹利用上年结转结余资金。</w:t>
      </w:r>
    </w:p>
    <w:p>
      <w:pPr>
        <w:pStyle w:val="5"/>
        <w:widowControl/>
        <w:spacing w:beforeAutospacing="0" w:afterAutospacing="0" w:line="600" w:lineRule="atLeast"/>
        <w:ind w:firstLine="624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（二）支出预算：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FFFFF"/>
        </w:rPr>
        <w:t>2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年本单位支出预算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4289.65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万元，其中，社会保障和就业支出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297.66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万元，交通运输支出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3786.25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万元，住房保障支出</w:t>
      </w:r>
      <w:bookmarkStart w:id="0" w:name="_GoBack"/>
      <w:bookmarkEnd w:id="0"/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205.74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万元。支出较去年增加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6.27 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万元，主要是基本支出中，增加了单位文明奖金的支出。</w:t>
      </w:r>
    </w:p>
    <w:p>
      <w:pPr>
        <w:pStyle w:val="5"/>
        <w:widowControl/>
        <w:spacing w:beforeAutospacing="0" w:afterAutospacing="0" w:line="600" w:lineRule="atLeast"/>
        <w:ind w:firstLine="624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</w:rPr>
        <w:t>（三）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我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单位2021年年初部门预算没有政府性基金预算拨款、国有资本经营预算收入和纳入专户管理的非税收入拨款收入，也没有使用政府性基金预算拨款、国有资本经营预算收入和纳入专户管理的非税收入拨款安排的支出，所以公开的附件17、18、19、20、21表均为空。</w:t>
      </w:r>
    </w:p>
    <w:p>
      <w:pPr>
        <w:pStyle w:val="5"/>
        <w:widowControl/>
        <w:spacing w:beforeAutospacing="0" w:afterAutospacing="0" w:line="600" w:lineRule="atLeast"/>
        <w:ind w:firstLine="622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黑体" w:hAnsi="宋体" w:eastAsia="黑体" w:cs="黑体"/>
          <w:color w:val="333333"/>
          <w:sz w:val="32"/>
          <w:szCs w:val="32"/>
          <w:shd w:val="clear" w:color="auto" w:fill="FFFFFF"/>
        </w:rPr>
        <w:t>三、一般公共预算拨款支出</w:t>
      </w:r>
    </w:p>
    <w:p>
      <w:pPr>
        <w:pStyle w:val="5"/>
        <w:widowControl/>
        <w:spacing w:beforeAutospacing="0" w:afterAutospacing="0" w:line="600" w:lineRule="atLeast"/>
        <w:ind w:firstLine="660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年本单位一般公共预算拨款支出预算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3180.65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万元，其中，社会保障和就业支出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297.66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万元，占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9.36%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；交通运输支出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2677.25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万元，占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84.17%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；住房保障支出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205.74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万元，占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6.47%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。具体安排情况如下：</w:t>
      </w:r>
    </w:p>
    <w:p>
      <w:pPr>
        <w:pStyle w:val="5"/>
        <w:widowControl/>
        <w:spacing w:beforeAutospacing="0" w:afterAutospacing="0" w:line="600" w:lineRule="atLeast"/>
        <w:ind w:firstLine="660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（一）基本支出：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年本单位基本支出预算数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3018.2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pStyle w:val="5"/>
        <w:widowControl/>
        <w:spacing w:beforeAutospacing="0" w:afterAutospacing="0" w:line="600" w:lineRule="atLeast"/>
        <w:ind w:firstLine="637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（二）项目支出：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年本单位项目支出预算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162.45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万元，主要是单位为完成特定行政工作任务或事业发展目标而发生的支出，包括有关事业发展专项、专项业务费、基本建设支出等，其中交通运输支出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162.45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万元，主要用于航道维护和管理等方面工作。</w:t>
      </w:r>
    </w:p>
    <w:p>
      <w:pPr>
        <w:pStyle w:val="5"/>
        <w:widowControl/>
        <w:spacing w:beforeAutospacing="0" w:afterAutospacing="0" w:line="600" w:lineRule="atLeast"/>
        <w:ind w:firstLine="660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黑体" w:hAnsi="宋体" w:eastAsia="黑体" w:cs="黑体"/>
          <w:color w:val="333333"/>
          <w:sz w:val="32"/>
          <w:szCs w:val="32"/>
          <w:shd w:val="clear" w:color="auto" w:fill="FFFFFF"/>
        </w:rPr>
        <w:t>四、政府性基金预算支出</w:t>
      </w:r>
    </w:p>
    <w:p>
      <w:pPr>
        <w:pStyle w:val="5"/>
        <w:widowControl/>
        <w:spacing w:beforeAutospacing="0" w:afterAutospacing="0" w:line="600" w:lineRule="atLeast"/>
        <w:ind w:firstLine="660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本单位无政府性基金安排的支出</w:t>
      </w:r>
    </w:p>
    <w:p>
      <w:pPr>
        <w:pStyle w:val="5"/>
        <w:widowControl/>
        <w:spacing w:beforeAutospacing="0" w:afterAutospacing="0" w:line="600" w:lineRule="atLeast"/>
        <w:ind w:firstLine="660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黑体" w:hAnsi="宋体" w:eastAsia="黑体" w:cs="黑体"/>
          <w:color w:val="333333"/>
          <w:sz w:val="32"/>
          <w:szCs w:val="32"/>
          <w:shd w:val="clear" w:color="auto" w:fill="FFFFFF"/>
        </w:rPr>
        <w:t>五、其他重要事项的情况说明</w:t>
      </w:r>
    </w:p>
    <w:p>
      <w:pPr>
        <w:pStyle w:val="5"/>
        <w:widowControl/>
        <w:spacing w:beforeAutospacing="0" w:afterAutospacing="0" w:line="600" w:lineRule="atLeast"/>
        <w:ind w:firstLine="660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（一）机关运行经费：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年本单位机关运行经费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468.93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万元，比上年预算增加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7.28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万元，上升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1.5 %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，主要原因是将原在项目支出中列支的咨询费调整至一般公用经费中。</w:t>
      </w:r>
    </w:p>
    <w:p>
      <w:pPr>
        <w:pStyle w:val="5"/>
        <w:widowControl/>
        <w:spacing w:beforeAutospacing="0" w:afterAutospacing="0" w:line="600" w:lineRule="atLeast"/>
        <w:ind w:firstLine="66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（二）</w:t>
      </w:r>
      <w:r>
        <w:rPr>
          <w:rFonts w:ascii="Times New Roman" w:hAnsi="Times New Roman" w:eastAsia="微软雅黑"/>
          <w:b/>
          <w:bCs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微软雅黑"/>
          <w:b/>
          <w:bCs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经费预算：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经费预算数为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48.2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万元，其中，公务接待费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5.7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万元，公务用车购置及运行费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42.5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万元（其中，公务用车购置费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万元，公务用车运行费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22.5 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万元），因公出国（境）费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0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万元。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经费预算较上年增加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20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万元，主要原因是本年度经机关事务局批复可购置车辆一台。</w:t>
      </w:r>
    </w:p>
    <w:p>
      <w:pPr>
        <w:pStyle w:val="5"/>
        <w:widowControl/>
        <w:spacing w:beforeAutospacing="0" w:afterAutospacing="0" w:line="600" w:lineRule="atLeast"/>
        <w:ind w:firstLine="637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（三）一般性支出情况：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年本单位会议费预算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万元，拟召开年初工作会议、季度安全列会、年终工作总结会，人数约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160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人，内容为通报全局上年工作情况，谋划下年度工作计划、分析安全形势、传达上级安全文件精神，听取基层单位和业务科室安全工作汇报、总结汇报全年工作情况。培训费预算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9.7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万元，拟开展干部教育培训、财务培训、女职工素质培训等，人数约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181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人，内容为干部素质教育、财经法规、财务内控管理及问题整改，提升女职工综合素质，规范礼仪等。我单位无举办节庆、晚会、论坛、赛事活动的情况。</w:t>
      </w:r>
    </w:p>
    <w:p>
      <w:pPr>
        <w:pStyle w:val="5"/>
        <w:widowControl/>
        <w:spacing w:beforeAutospacing="0" w:afterAutospacing="0" w:line="600" w:lineRule="atLeast"/>
        <w:ind w:firstLine="66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（四）政府采购情况：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年本单位政府采购预算总额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83.19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万元，其中，货物类采购预算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万元；工程类采购预算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83.19 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万元；服务类采购预算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 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万元。</w:t>
      </w:r>
    </w:p>
    <w:p>
      <w:pPr>
        <w:pStyle w:val="5"/>
        <w:widowControl/>
        <w:spacing w:beforeAutospacing="0" w:afterAutospacing="0" w:line="600" w:lineRule="atLeast"/>
        <w:ind w:firstLine="660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（五）国有资产占用使用及新增资产配置情况：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截至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月底，本单位共有公务用车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4 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辆，其中，机要通信用车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辆，应急保障用车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辆，执法执勤用车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辆，特种专业技术用车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辆，其他按照规定配备的公务用车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辆；单位价值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50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万元以上通用设备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台，单位价值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万元以上专用设备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台。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年拟新增配置公务用车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辆，其中，机要通信用车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辆，应急保障用车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辆，执法执勤用车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辆，特种专业技术用车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辆，其他按照规定配备的公务用车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辆；新增配备单位价值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50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万元以上通用设备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台，单位价值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万元以上专用设备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0 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台。</w:t>
      </w:r>
    </w:p>
    <w:p>
      <w:pPr>
        <w:pStyle w:val="5"/>
        <w:widowControl/>
        <w:spacing w:beforeAutospacing="0" w:afterAutospacing="0" w:line="600" w:lineRule="atLeast"/>
        <w:ind w:firstLine="660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（六）预算绩效目标说明：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本单位所有支出实行绩效目标管理。纳入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年单位整体支出绩效目标的金额为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4289.65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万元，其中，基本支出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3018.2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万元，项目支出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1271.45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万元，具体绩效目标详见报表。</w:t>
      </w:r>
    </w:p>
    <w:p>
      <w:pPr>
        <w:pStyle w:val="5"/>
        <w:widowControl/>
        <w:spacing w:beforeAutospacing="0" w:afterAutospacing="0" w:line="600" w:lineRule="atLeast"/>
        <w:ind w:firstLine="624"/>
        <w:rPr>
          <w:rFonts w:ascii="Times New Roman" w:hAnsi="Times New Roman"/>
          <w:color w:val="333333"/>
          <w:sz w:val="28"/>
          <w:szCs w:val="28"/>
        </w:rPr>
      </w:pPr>
      <w:r>
        <w:rPr>
          <w:rFonts w:hint="eastAsia" w:ascii="黑体" w:hAnsi="宋体" w:eastAsia="黑体" w:cs="黑体"/>
          <w:b/>
          <w:bCs/>
          <w:color w:val="333333"/>
          <w:sz w:val="32"/>
          <w:szCs w:val="32"/>
          <w:shd w:val="clear" w:color="auto" w:fill="FFFFFF"/>
        </w:rPr>
        <w:t>六、名词解释</w:t>
      </w:r>
    </w:p>
    <w:p>
      <w:pPr>
        <w:pStyle w:val="5"/>
        <w:widowControl/>
        <w:spacing w:beforeAutospacing="0" w:afterAutospacing="0" w:line="600" w:lineRule="atLeast"/>
        <w:ind w:firstLine="66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5"/>
        <w:widowControl/>
        <w:spacing w:beforeAutospacing="0" w:afterAutospacing="0" w:line="600" w:lineRule="atLeast"/>
        <w:ind w:firstLine="66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经费：纳入省财政预算管理的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5"/>
        <w:widowControl/>
        <w:spacing w:beforeAutospacing="0" w:afterAutospacing="0" w:line="6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eastAsia="微软雅黑"/>
          <w:color w:val="333333"/>
          <w:sz w:val="32"/>
          <w:szCs w:val="32"/>
          <w:shd w:val="clear" w:color="auto" w:fill="FFFFFF"/>
        </w:rPr>
        <w:t> </w:t>
      </w:r>
    </w:p>
    <w:p>
      <w:pPr>
        <w:pStyle w:val="5"/>
        <w:widowControl/>
        <w:spacing w:beforeAutospacing="0" w:afterAutospacing="0" w:line="600" w:lineRule="atLeast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  <w:t>第二部分</w:t>
      </w:r>
      <w:r>
        <w:rPr>
          <w:rFonts w:ascii="Times New Roman" w:hAnsi="Times New Roman" w:eastAsia="微软雅黑"/>
          <w:color w:val="333333"/>
          <w:sz w:val="36"/>
          <w:szCs w:val="36"/>
          <w:shd w:val="clear" w:color="auto" w:fill="FFFFFF"/>
        </w:rPr>
        <w:t> 2021</w:t>
      </w:r>
      <w:r>
        <w:rPr>
          <w:rFonts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  <w:t>年单位预算表 </w:t>
      </w:r>
      <w:r>
        <w:rPr>
          <w:rFonts w:ascii="方正小标宋_GBK" w:hAnsi="方正小标宋_GBK" w:eastAsia="方正小标宋_GBK" w:cs="方正小标宋_GBK"/>
          <w:color w:val="333333"/>
          <w:sz w:val="32"/>
          <w:szCs w:val="32"/>
          <w:shd w:val="clear" w:color="auto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VlNTRiZDc3ZjMzM2IzYzQ3M2Y4OGVmMjNiNjk1MmEifQ=="/>
  </w:docVars>
  <w:rsids>
    <w:rsidRoot w:val="6F853A80"/>
    <w:rsid w:val="000627FC"/>
    <w:rsid w:val="002E5602"/>
    <w:rsid w:val="00405E1E"/>
    <w:rsid w:val="005253B5"/>
    <w:rsid w:val="00672CAF"/>
    <w:rsid w:val="00921AD0"/>
    <w:rsid w:val="009872BD"/>
    <w:rsid w:val="00A34E8C"/>
    <w:rsid w:val="00B92F5D"/>
    <w:rsid w:val="00FE75CC"/>
    <w:rsid w:val="085C4E9D"/>
    <w:rsid w:val="6F85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054C74-D3D5-4132-B444-38E94AF350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2778</Words>
  <Characters>3033</Characters>
  <Lines>22</Lines>
  <Paragraphs>6</Paragraphs>
  <TotalTime>27</TotalTime>
  <ScaleCrop>false</ScaleCrop>
  <LinksUpToDate>false</LinksUpToDate>
  <CharactersWithSpaces>3060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2022-09-05T12:53:00Z</dcterms:created>
  <dc:creator>86139</dc:creator>
  <cp:lastModifiedBy>86139</cp:lastModifiedBy>
  <dcterms:modified xsi:type="dcterms:W3CDTF">2022-09-07T09:55:23Z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05FD38DA871B4BE6A0008D2C9F253A8A</vt:lpwstr>
  </property>
</Properties>
</file>