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val="en-US" w:eastAsia="zh-CN"/>
        </w:rPr>
        <w:t>2021年湖南省交通医院预算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 </w:t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目 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第一部分 2021年单位预算说明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　第二部分 2021年单位预算表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　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1、收支总表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2、收入总表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3、支出总表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4、支出预算分类汇总表（按政府预算经济分类）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5、支出预算分类汇总表（按部门预算经济分类）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6、财政拨款收支总表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7、一般公共预算支出表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8、一般公共预算基本支出表-人员经费（工资福利支出）（按政府预算经济分类）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9、一般公共预算基本支出表-人员经费（工资福利支出）（按部门预算经济分类）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10、一般公共预算基本支出表-人员经费（对个人和家庭的补助）（按政府预算经济分类）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11、一般公共预算基本支出表-人员经费（对个人和家庭的补助）（按部门预算经济分类）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12、一般公共预算基本支出表-公用经费（商品和服务支出）（按政府预算经济分类）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13、一般公共预算基本支出表-公用经费（商品和服务支出）（按部门预算经济分类）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14、一般公共预算“三公”经费支出表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15、政府性基金预算支出表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16、政府性基金预算支出分类汇总表（按政府预算经济分类）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17、政府性基金预算支出分类汇总表（按部门预算经济分类）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18、国有资本经营预算支出表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19、财政专户管理资金预算支出表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20、省级专项资金预算汇总表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21、省级专项资金绩效目标表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22、其他项目支出绩效目标表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23、部门整体支出绩效目标表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注：以上部门预算报表中，空表表示本单位无相关收支情况。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</w:pPr>
    </w:p>
    <w:p>
      <w:pPr>
        <w:widowControl/>
        <w:spacing w:line="600" w:lineRule="exact"/>
        <w:jc w:val="center"/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val="en-US" w:eastAsia="zh-CN"/>
        </w:rPr>
        <w:t>第一部分 2021年单位预算说明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一、单位基本概况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（一）职能职责。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为人民身体健康提供医疗与护理保健服务。医院开展以医疗为主的服务活动，主要为全省交通系统职工的医　　疗、保健服务，同时服务于全社会。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（二）机构设置。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我院现有内设党政管理机构13个，分别是：党政办公室、人事科、纪检监察室、医务科（血防办）、护理部、财务科、医保科、总务科、经济管理科、医院感染管理科、医疗设备管理科、事业发展部、工会。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     </w:t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 xml:space="preserve">  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（三）部门预算单位构成。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我院无二级预算单位，因此，纳入2021年部门预算编制范围的为湖南省交通医院本级。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二、单位收支总体情况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单位2021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、20、21表均为空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（一）收入预算：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包括一般公共预算、政府性基金、国有资本经营预算等财政拨款收入，以及经营收入、事业收入等单位资金。2021年本单位收入预算9,752.7万元，其中，一般公共预算拨款收入2,752.7万元，事业单位经营服务收入7,000万元。上年结转结余194.2万元。收入较去年减少453.81万元，主要是经营收入减少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（二）支出预算：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2021年本单位支出预算9,946.9万元，其中，社会保障和就业支出474.06万元,卫生健康支出9,472.84万元。支出较去年减少259.61万元，主要是项目减少和经营支出减少。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三、一般公共预算拨款支出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2021年本单位一般公共预算拨款支出预算2,946.9万元，其中，社会保障和就业支出291.71万元,占9.9%；卫生健康支出2,655.19万元，占90.1%。具体安排情况如下：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（一）基本支出：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基本支出预算数1,972.7万元，主要是为保障单位机构正常运转、完成日常工作任务而发生的各项支出，包括用于基本工资、津贴补贴等人员经费以及办公费、印刷费、水电费、办公设备购置等公用经费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（二）项目支出：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项目支出预算974.2万元，主要是部门为完成特定工作任务或事业发展目标而发生的支出，包括有关事业发展专项、专项业务费、基本建设支出等，其中：卫生健康支出974.2万元，主要用于医院发展等方面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四、政府性基金预算支出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本单位无政府性基金安排的支出。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五、其他重要事项的情况说明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（一）机关运行经费：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2021年本单位一般公共预算拨款机关运行经费0万元，比上年预算持平。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（二）“三公”经费预算：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2021年本单位一般公共预算拨款“三公”经费预算数为0万元。2021年“三公”经费预算较上年持平。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（三）一般性支出情况：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2021年本单位一般公共预算拨款会议费预算0万元；培训费预算0万元；无举办节庆、晚会、论坛、赛事活动等计划，无经费预算。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以上经费均由事业单位经营服务收入支出。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（四）政府采购情况：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2021年本单位政府采购预算总额0 万元。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（五）国有资产占用使用及新增资产配置情况：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至2020年12月底，本单位共有公务用车6辆，其中，应急保障用车1辆，特种专业技术用车4辆，其他按照规定配备的公务用车1辆；单位价值50万元以上通用设备0台，单位价值100万元以上专用设备3台。2021年拟新增配置公务用车0辆；新增配备单位价值50万元以上通用设备0台，单位价值100万元以上专用设备3台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　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val="en-US" w:eastAsia="zh-CN"/>
        </w:rPr>
        <w:t>（六）预算绩效目标说明：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本单位所有支出实行绩效目标管理。纳入2021年单位整体支出绩效目标的金额为9,946.9万元，其中，基本支出4,701.91万元，项目支出5,244.99万元，具体绩效目标详见报表。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8"/>
          <w:szCs w:val="18"/>
          <w:lang w:val="en-US" w:eastAsia="zh-CN" w:bidi="ar"/>
        </w:rPr>
        <w:t>　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　六、名词解释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　　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  <w:rPr>
          <w:rStyle w:val="4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jc w:val="center"/>
      </w:pPr>
      <w:r>
        <w:rPr>
          <w:rFonts w:ascii="Times New Roman" w:hAnsi="Times New Roman" w:eastAsia="方正小标宋_GBK" w:cs="Times New Roman"/>
          <w:bCs/>
          <w:kern w:val="0"/>
          <w:sz w:val="36"/>
          <w:szCs w:val="36"/>
        </w:rPr>
        <w:t>第二部分 2021年单位预算表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D417C"/>
    <w:rsid w:val="166F1FE3"/>
    <w:rsid w:val="23F34644"/>
    <w:rsid w:val="316E2211"/>
    <w:rsid w:val="45996816"/>
    <w:rsid w:val="783D3EC7"/>
    <w:rsid w:val="78DC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2022-09-07T09:37:00Z</dcterms:created>
  <dc:creator>huang</dc:creator>
  <cp:lastModifiedBy>Roger</cp:lastModifiedBy>
  <dcterms:modified xsi:type="dcterms:W3CDTF">2022-09-07T10:42:38Z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0D74BDBA3B7A4B498FF698EF70FF6F05</vt:lpwstr>
  </property>
</Properties>
</file>