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0"/>
        <w:jc w:val="center"/>
        <w:textAlignment w:val="baseline"/>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pP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2021年湖南省交通运输厅规划与项目办公室单位预算</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0"/>
        <w:jc w:val="center"/>
        <w:textAlignment w:val="baseline"/>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pP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0"/>
        <w:jc w:val="center"/>
        <w:textAlignment w:val="baseline"/>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pP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目录</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0"/>
        <w:jc w:val="both"/>
        <w:textAlignment w:val="baseline"/>
        <w:rPr>
          <w:rFonts w:ascii="微软雅黑" w:hAnsi="微软雅黑" w:eastAsia="微软雅黑" w:cs="微软雅黑"/>
          <w:b w:val="0"/>
          <w:i w:val="0"/>
          <w:iCs w:val="0"/>
          <w:caps w:val="0"/>
          <w:color w:val="333333"/>
          <w:spacing w:val="0"/>
          <w:w w:val="100"/>
          <w:sz w:val="24"/>
          <w:szCs w:val="24"/>
        </w:rPr>
      </w:pPr>
      <w:r>
        <w:rPr>
          <w:rFonts w:ascii="微软雅黑" w:hAnsi="微软雅黑" w:eastAsia="微软雅黑" w:cs="微软雅黑"/>
          <w:b w:val="0"/>
          <w:i w:val="0"/>
          <w:iCs w:val="0"/>
          <w:caps w:val="0"/>
          <w:color w:val="333333"/>
          <w:spacing w:val="0"/>
          <w:w w:val="100"/>
          <w:kern w:val="0"/>
          <w:sz w:val="24"/>
          <w:szCs w:val="24"/>
          <w:shd w:val="clear" w:fill="FFFFFF"/>
          <w:lang w:val="en-US" w:eastAsia="zh-CN" w:bidi="ar"/>
        </w:rPr>
        <w:t>第一部分</w:t>
      </w:r>
      <w:r>
        <w:rPr>
          <w:rFonts w:ascii="Arial" w:hAnsi="Arial" w:eastAsia="微软雅黑" w:cs="Arial"/>
          <w:b w:val="0"/>
          <w:i w:val="0"/>
          <w:iCs w:val="0"/>
          <w:caps w:val="0"/>
          <w:color w:val="333333"/>
          <w:spacing w:val="0"/>
          <w:w w:val="100"/>
          <w:kern w:val="0"/>
          <w:sz w:val="24"/>
          <w:szCs w:val="24"/>
          <w:shd w:val="clear" w:fill="FFFFFF"/>
          <w:lang w:val="en-US" w:eastAsia="zh-CN" w:bidi="ar"/>
        </w:rPr>
        <w:t> 2021</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年单位预算说明</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0"/>
        <w:jc w:val="both"/>
        <w:textAlignment w:val="baseline"/>
        <w:rPr>
          <w:rFonts w:hint="eastAsia" w:ascii="微软雅黑" w:hAnsi="微软雅黑" w:eastAsia="微软雅黑" w:cs="微软雅黑"/>
          <w:b w:val="0"/>
          <w:i w:val="0"/>
          <w:iCs w:val="0"/>
          <w:caps w:val="0"/>
          <w:color w:val="333333"/>
          <w:spacing w:val="0"/>
          <w:w w:val="100"/>
          <w:sz w:val="24"/>
          <w:szCs w:val="24"/>
        </w:rPr>
      </w:pP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第二部分</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 2021</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年单位预算表</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 </w:t>
      </w:r>
    </w:p>
    <w:p>
      <w:pPr>
        <w:pStyle w:val="3"/>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540" w:lineRule="atLeast"/>
        <w:ind w:left="0" w:right="0" w:firstLine="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、收支总表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2</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、收入总表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3</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、支出总表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4</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、支出预算分类汇总表（按政府预算经济分类）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5</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、支出预算分类汇总表（按部门预算经济分类）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6</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、财政拨款收支总表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7</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、一般公共预算支出表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8</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、一般公共预算基本支出表</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人员经费（工资福利支出）（按政府预算经济分类）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9</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、一般公共预算基本支出表</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人员经费（工资福利支出）（按部门预算经济分类）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10</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、一般公共预算基本支出表</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人员经费（对个人和家庭的补助）（按政府预算经济分类）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11</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、一般公共预算基本支出表</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人员经费（对个人和家庭的补助）（按部门预算经济分类）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12</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、一般公共预算基本支出表</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公用经费（商品和服务支出）（按政府预算经济分类）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13</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、一般公共预算基本支出表</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公用经费（商品和服务支出）（按部门预算经济分类）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14</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、一般公共预算</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三公</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经费支出表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15</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、政府性基金预算支出表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16</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、政府性基金预算支出分类汇总表（按政府预算经济分类）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17</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、政府性基金预算支出分类汇总表（按部门预算经济分类）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18</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、国有资本经营预算支出表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19</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、财政专户管理资金预算支出表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20</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、省级专项资金预算汇总表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21</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、省级专项资金绩效目标表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22</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、其他项目支出绩效目标表</w:t>
      </w:r>
    </w:p>
    <w:p>
      <w:pP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caps w:val="0"/>
          <w:color w:val="333333"/>
          <w:spacing w:val="0"/>
          <w:w w:val="100"/>
          <w:sz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23</w:t>
      </w:r>
      <w:r>
        <w:rPr>
          <w:rFonts w:hint="eastAsia" w:ascii="微软雅黑" w:hAnsi="微软雅黑" w:eastAsia="微软雅黑" w:cs="微软雅黑"/>
          <w:b w:val="0"/>
          <w:i w:val="0"/>
          <w:iCs w:val="0"/>
          <w:caps w:val="0"/>
          <w:color w:val="333333"/>
          <w:spacing w:val="0"/>
          <w:w w:val="100"/>
          <w:kern w:val="0"/>
          <w:sz w:val="24"/>
          <w:szCs w:val="24"/>
          <w:shd w:val="clear" w:fill="FFFFFF"/>
          <w:lang w:val="en-US" w:eastAsia="zh-CN" w:bidi="ar"/>
        </w:rPr>
        <w:t>、部门整体支出绩效目标表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eastAsia" w:ascii="微软雅黑" w:hAnsi="微软雅黑" w:eastAsia="微软雅黑" w:cs="微软雅黑"/>
          <w:b w:val="0"/>
          <w:i w:val="0"/>
          <w:iCs w:val="0"/>
          <w:caps w:val="0"/>
          <w:color w:val="333333"/>
          <w:spacing w:val="0"/>
          <w:w w:val="100"/>
          <w:sz w:val="24"/>
          <w:szCs w:val="24"/>
        </w:rPr>
        <w:t>注：以上部门预算报表中，空表表示本部门无相关收支情况。</w:t>
      </w:r>
    </w:p>
    <w:p>
      <w:pPr>
        <w:snapToGrid/>
        <w:spacing w:before="0" w:beforeAutospacing="0" w:after="0" w:afterAutospacing="0" w:line="240" w:lineRule="auto"/>
        <w:jc w:val="both"/>
        <w:textAlignment w:val="baseline"/>
        <w:rPr>
          <w:b w:val="0"/>
          <w:i w:val="0"/>
          <w:caps w:val="0"/>
          <w:spacing w:val="0"/>
          <w:w w:val="100"/>
          <w:sz w:val="20"/>
        </w:rPr>
      </w:pP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0"/>
        <w:jc w:val="both"/>
        <w:textAlignment w:val="baseline"/>
        <w:rPr>
          <w:rFonts w:ascii="Arial" w:hAnsi="Arial" w:eastAsia="微软雅黑" w:cs="Arial"/>
          <w:b w:val="0"/>
          <w:i w:val="0"/>
          <w:iCs w:val="0"/>
          <w:caps w:val="0"/>
          <w:color w:val="333333"/>
          <w:spacing w:val="0"/>
          <w:w w:val="100"/>
          <w:kern w:val="0"/>
          <w:sz w:val="24"/>
          <w:szCs w:val="24"/>
          <w:shd w:val="clear" w:fill="FFFFFF"/>
          <w:lang w:val="en-US" w:eastAsia="zh-CN" w:bidi="ar"/>
        </w:rPr>
        <w:sectPr>
          <w:pgSz w:w="11906" w:h="16838"/>
          <w:pgMar w:top="1440" w:right="1800" w:bottom="1440" w:left="1800" w:header="851" w:footer="992" w:gutter="0"/>
          <w:cols w:space="425" w:num="1"/>
          <w:docGrid w:type="lines" w:linePitch="312" w:charSpace="0"/>
        </w:sectPr>
      </w:pP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0"/>
        <w:jc w:val="center"/>
        <w:textAlignment w:val="baseline"/>
        <w:rPr>
          <w:rFonts w:ascii="微软雅黑" w:hAnsi="微软雅黑" w:eastAsia="微软雅黑" w:cs="微软雅黑"/>
          <w:b w:val="0"/>
          <w:i w:val="0"/>
          <w:iCs w:val="0"/>
          <w:caps w:val="0"/>
          <w:color w:val="333333"/>
          <w:spacing w:val="0"/>
          <w:w w:val="100"/>
          <w:sz w:val="24"/>
          <w:szCs w:val="24"/>
        </w:rPr>
      </w:pPr>
      <w:r>
        <w:rPr>
          <w:rFonts w:ascii="Arial" w:hAnsi="Arial" w:eastAsia="微软雅黑" w:cs="Arial"/>
          <w:b w:val="0"/>
          <w:i w:val="0"/>
          <w:iCs w:val="0"/>
          <w:caps w:val="0"/>
          <w:color w:val="333333"/>
          <w:spacing w:val="0"/>
          <w:w w:val="100"/>
          <w:kern w:val="0"/>
          <w:sz w:val="24"/>
          <w:szCs w:val="24"/>
          <w:shd w:val="clear" w:fill="FFFFFF"/>
          <w:lang w:val="en-US" w:eastAsia="zh-CN" w:bidi="ar"/>
        </w:rPr>
        <w:t>第一部分</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 2021年单位预算说明</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 </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22"/>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一、单位基本概况</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24"/>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bCs/>
          <w:i w:val="0"/>
          <w:iCs w:val="0"/>
          <w:caps w:val="0"/>
          <w:color w:val="333333"/>
          <w:spacing w:val="0"/>
          <w:w w:val="100"/>
          <w:kern w:val="0"/>
          <w:sz w:val="24"/>
          <w:szCs w:val="24"/>
          <w:shd w:val="clear" w:fill="FFFFFF"/>
          <w:lang w:val="en-US" w:eastAsia="zh-CN" w:bidi="ar"/>
        </w:rPr>
        <w:t>（一）职能职责。</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34"/>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1.协同厅综规处拟</w:t>
      </w:r>
      <w:bookmarkStart w:id="0" w:name="_GoBack"/>
      <w:bookmarkEnd w:id="0"/>
      <w:r>
        <w:rPr>
          <w:rFonts w:hint="default" w:ascii="Arial" w:hAnsi="Arial" w:eastAsia="微软雅黑" w:cs="Arial"/>
          <w:b w:val="0"/>
          <w:i w:val="0"/>
          <w:iCs w:val="0"/>
          <w:caps w:val="0"/>
          <w:color w:val="333333"/>
          <w:spacing w:val="0"/>
          <w:w w:val="100"/>
          <w:kern w:val="0"/>
          <w:sz w:val="24"/>
          <w:szCs w:val="24"/>
          <w:shd w:val="clear" w:fill="FFFFFF"/>
          <w:lang w:val="en-US" w:eastAsia="zh-CN" w:bidi="ar"/>
        </w:rPr>
        <w:t>定规划、专题研究及省全额投资项目工可（预可）、初步设计（一阶段施工图设计）年度工作计划，组织全省交通发展战略研究和交通运输中长期规划及五年规划（计划）的编制。</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34"/>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2.组织省全额投资项目工可（预可）文件的编制，协同厅综规处组织省全额投资项目工可（预可）文件的审查和省补资金项目工可（预可）文件的预审；</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34"/>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3.组织省全额投资项目初步设计（一阶段施工图设计）文件的编制。协同厅计划处组织省全额投资项目和省补资金项目初步设计（一阶段施工图设计）文件的审查；</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34"/>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4.全省交通基础设施项目招商相关工作的具体实施与监督管理；</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34"/>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5.全省经营性高速公路项目合同管理；</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34"/>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6.全省交通基础设施项目利用国际金融组织贷款与外国政府贷款相关工作的具体实施与监督管理。</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24"/>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bCs/>
          <w:i w:val="0"/>
          <w:iCs w:val="0"/>
          <w:caps w:val="0"/>
          <w:color w:val="333333"/>
          <w:spacing w:val="0"/>
          <w:w w:val="100"/>
          <w:kern w:val="0"/>
          <w:sz w:val="24"/>
          <w:szCs w:val="24"/>
          <w:shd w:val="clear" w:fill="FFFFFF"/>
          <w:lang w:val="en-US" w:eastAsia="zh-CN" w:bidi="ar"/>
        </w:rPr>
        <w:t>（二）机构设置。</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firstLine="720" w:firstLineChars="300"/>
        <w:jc w:val="left"/>
        <w:textAlignment w:val="baseline"/>
        <w:rPr>
          <w:rFonts w:hint="default" w:ascii="Arial" w:hAnsi="Arial" w:eastAsia="微软雅黑" w:cs="Arial"/>
          <w:b w:val="0"/>
          <w:i w:val="0"/>
          <w:iCs w:val="0"/>
          <w:caps w:val="0"/>
          <w:color w:val="333333"/>
          <w:spacing w:val="0"/>
          <w:w w:val="100"/>
          <w:kern w:val="0"/>
          <w:sz w:val="24"/>
          <w:szCs w:val="24"/>
          <w:shd w:val="clear" w:fill="FFFFFF"/>
          <w:lang w:val="en-US" w:eastAsia="zh-CN" w:bidi="ar"/>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我办现有内设机构5个，分别是：综合科、规划科、招商科、总工办、水运科</w:t>
      </w:r>
      <w:r>
        <w:rPr>
          <w:rFonts w:hint="eastAsia" w:ascii="Arial" w:hAnsi="Arial" w:eastAsia="微软雅黑" w:cs="Arial"/>
          <w:b w:val="0"/>
          <w:i w:val="0"/>
          <w:iCs w:val="0"/>
          <w:caps w:val="0"/>
          <w:color w:val="333333"/>
          <w:spacing w:val="0"/>
          <w:w w:val="100"/>
          <w:kern w:val="0"/>
          <w:sz w:val="24"/>
          <w:szCs w:val="24"/>
          <w:shd w:val="clear" w:fill="FFFFFF"/>
          <w:lang w:val="en-US" w:eastAsia="zh-CN" w:bidi="ar"/>
        </w:rPr>
        <w:t>。</w:t>
      </w:r>
    </w:p>
    <w:p>
      <w:pPr>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34"/>
        <w:jc w:val="left"/>
        <w:textAlignment w:val="baseline"/>
        <w:rPr>
          <w:rFonts w:hint="default" w:ascii="Arial" w:hAnsi="Arial" w:eastAsia="微软雅黑" w:cs="Arial"/>
          <w:b/>
          <w:bCs/>
          <w:i w:val="0"/>
          <w:iCs w:val="0"/>
          <w:caps w:val="0"/>
          <w:color w:val="333333"/>
          <w:spacing w:val="0"/>
          <w:w w:val="100"/>
          <w:kern w:val="0"/>
          <w:sz w:val="24"/>
          <w:szCs w:val="24"/>
          <w:shd w:val="clear" w:fill="FFFFFF"/>
          <w:lang w:val="en-US" w:eastAsia="zh-CN" w:bidi="ar"/>
        </w:rPr>
      </w:pPr>
      <w:r>
        <w:rPr>
          <w:rFonts w:hint="default" w:ascii="Arial" w:hAnsi="Arial" w:eastAsia="微软雅黑" w:cs="Arial"/>
          <w:b/>
          <w:bCs/>
          <w:i w:val="0"/>
          <w:iCs w:val="0"/>
          <w:caps w:val="0"/>
          <w:color w:val="333333"/>
          <w:spacing w:val="0"/>
          <w:w w:val="100"/>
          <w:kern w:val="0"/>
          <w:sz w:val="24"/>
          <w:szCs w:val="24"/>
          <w:shd w:val="clear" w:fill="FFFFFF"/>
          <w:lang w:val="en-US" w:eastAsia="zh-CN" w:bidi="ar"/>
        </w:rPr>
        <w:t>部门预算单位构成。</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240" w:lineRule="auto"/>
        <w:ind w:left="0" w:leftChars="0" w:right="0" w:firstLine="720" w:firstLineChars="300"/>
        <w:jc w:val="left"/>
        <w:textAlignment w:val="baseline"/>
        <w:rPr>
          <w:rFonts w:hint="eastAsia" w:ascii="Arial" w:hAnsi="Arial" w:eastAsia="微软雅黑" w:cs="Arial"/>
          <w:b w:val="0"/>
          <w:bCs w:val="0"/>
          <w:i w:val="0"/>
          <w:iCs w:val="0"/>
          <w:caps w:val="0"/>
          <w:color w:val="333333"/>
          <w:spacing w:val="0"/>
          <w:w w:val="100"/>
          <w:kern w:val="0"/>
          <w:sz w:val="24"/>
          <w:szCs w:val="24"/>
          <w:shd w:val="clear" w:fill="FFFFFF"/>
          <w:lang w:val="en-US" w:eastAsia="zh-CN" w:bidi="ar"/>
        </w:rPr>
      </w:pPr>
      <w:r>
        <w:rPr>
          <w:rFonts w:hint="eastAsia" w:ascii="Arial" w:hAnsi="Arial" w:eastAsia="微软雅黑" w:cs="Arial"/>
          <w:b w:val="0"/>
          <w:bCs w:val="0"/>
          <w:i w:val="0"/>
          <w:iCs w:val="0"/>
          <w:caps w:val="0"/>
          <w:color w:val="333333"/>
          <w:spacing w:val="0"/>
          <w:w w:val="100"/>
          <w:kern w:val="0"/>
          <w:sz w:val="24"/>
          <w:szCs w:val="24"/>
          <w:shd w:val="clear" w:fill="FFFFFF"/>
          <w:lang w:val="en-US" w:eastAsia="zh-CN" w:bidi="ar"/>
        </w:rPr>
        <w:t>我办无二级预算单位，因此，纳入2021年部门预算编制范围的为湖南省交通运输厅规划与项目办公室本级。</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22"/>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二、单位收支总体情况</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right="0" w:firstLine="480" w:firstLineChars="200"/>
        <w:jc w:val="left"/>
        <w:textAlignment w:val="baseline"/>
        <w:rPr>
          <w:rFonts w:hint="default" w:ascii="Arial" w:hAnsi="Arial" w:eastAsia="微软雅黑" w:cs="Arial"/>
          <w:b/>
          <w:bCs/>
          <w:i w:val="0"/>
          <w:iCs w:val="0"/>
          <w:caps w:val="0"/>
          <w:color w:val="333333"/>
          <w:spacing w:val="0"/>
          <w:w w:val="100"/>
          <w:kern w:val="0"/>
          <w:sz w:val="24"/>
          <w:szCs w:val="24"/>
          <w:shd w:val="clear" w:fill="FFFFFF"/>
          <w:lang w:val="en-US" w:eastAsia="zh-CN" w:bidi="ar"/>
        </w:rPr>
      </w:pPr>
      <w:r>
        <w:rPr>
          <w:rFonts w:hint="default" w:ascii="Arial" w:hAnsi="Arial" w:eastAsia="微软雅黑" w:cs="Arial"/>
          <w:b w:val="0"/>
          <w:bCs w:val="0"/>
          <w:i w:val="0"/>
          <w:iCs w:val="0"/>
          <w:caps w:val="0"/>
          <w:color w:val="333333"/>
          <w:spacing w:val="0"/>
          <w:w w:val="100"/>
          <w:kern w:val="0"/>
          <w:sz w:val="24"/>
          <w:szCs w:val="24"/>
          <w:shd w:val="clear" w:fill="FFFFFF"/>
          <w:lang w:val="en-US" w:eastAsia="zh-CN" w:bidi="ar"/>
        </w:rPr>
        <w:t>我单位2021年年初部门预算没有政府性基金预算拨款、国有资本经营预算收入和纳入专户管理的非税收入拨款收入，也没有使用政府性基金预算拨款、国有资本经营预算收入和纳入专户管理的非税收入拨款安排的支出</w:t>
      </w:r>
      <w:r>
        <w:rPr>
          <w:rFonts w:hint="eastAsia" w:ascii="Arial" w:hAnsi="Arial" w:eastAsia="微软雅黑" w:cs="Arial"/>
          <w:b w:val="0"/>
          <w:bCs w:val="0"/>
          <w:i w:val="0"/>
          <w:iCs w:val="0"/>
          <w:caps w:val="0"/>
          <w:color w:val="333333"/>
          <w:spacing w:val="0"/>
          <w:w w:val="100"/>
          <w:kern w:val="0"/>
          <w:sz w:val="24"/>
          <w:szCs w:val="24"/>
          <w:shd w:val="clear" w:fill="FFFFFF"/>
          <w:lang w:val="en-US" w:eastAsia="zh-CN" w:bidi="ar"/>
        </w:rPr>
        <w:t>，</w:t>
      </w:r>
      <w:r>
        <w:rPr>
          <w:rFonts w:hint="default" w:ascii="Arial" w:hAnsi="Arial" w:eastAsia="微软雅黑" w:cs="Arial"/>
          <w:b w:val="0"/>
          <w:bCs w:val="0"/>
          <w:i w:val="0"/>
          <w:iCs w:val="0"/>
          <w:caps w:val="0"/>
          <w:color w:val="333333"/>
          <w:spacing w:val="0"/>
          <w:w w:val="100"/>
          <w:kern w:val="0"/>
          <w:sz w:val="24"/>
          <w:szCs w:val="24"/>
          <w:shd w:val="clear" w:fill="FFFFFF"/>
          <w:lang w:val="en-US" w:eastAsia="zh-CN" w:bidi="ar"/>
        </w:rPr>
        <w:t>所以公开的附件</w:t>
      </w:r>
      <w:r>
        <w:rPr>
          <w:rFonts w:hint="default" w:ascii="Arial" w:hAnsi="Arial" w:eastAsia="微软雅黑" w:cs="Arial"/>
          <w:b w:val="0"/>
          <w:bCs w:val="0"/>
          <w:i w:val="0"/>
          <w:iCs w:val="0"/>
          <w:caps w:val="0"/>
          <w:color w:val="333333"/>
          <w:spacing w:val="0"/>
          <w:w w:val="100"/>
          <w:kern w:val="0"/>
          <w:sz w:val="24"/>
          <w:szCs w:val="24"/>
          <w:highlight w:val="none"/>
          <w:shd w:val="clear" w:fill="FFFFFF"/>
          <w:lang w:val="en-US" w:eastAsia="zh-CN" w:bidi="ar"/>
        </w:rPr>
        <w:t>1</w:t>
      </w:r>
      <w:r>
        <w:rPr>
          <w:rFonts w:hint="eastAsia" w:ascii="Arial" w:hAnsi="Arial" w:eastAsia="微软雅黑" w:cs="Arial"/>
          <w:b w:val="0"/>
          <w:bCs w:val="0"/>
          <w:i w:val="0"/>
          <w:iCs w:val="0"/>
          <w:caps w:val="0"/>
          <w:color w:val="333333"/>
          <w:spacing w:val="0"/>
          <w:w w:val="100"/>
          <w:kern w:val="0"/>
          <w:sz w:val="24"/>
          <w:szCs w:val="24"/>
          <w:highlight w:val="none"/>
          <w:shd w:val="clear" w:fill="FFFFFF"/>
          <w:lang w:val="en-US" w:eastAsia="zh-CN" w:bidi="ar"/>
        </w:rPr>
        <w:t>5</w:t>
      </w:r>
      <w:r>
        <w:rPr>
          <w:rFonts w:hint="default" w:ascii="Arial" w:hAnsi="Arial" w:eastAsia="微软雅黑" w:cs="Arial"/>
          <w:b w:val="0"/>
          <w:bCs w:val="0"/>
          <w:i w:val="0"/>
          <w:iCs w:val="0"/>
          <w:caps w:val="0"/>
          <w:color w:val="333333"/>
          <w:spacing w:val="0"/>
          <w:w w:val="100"/>
          <w:kern w:val="0"/>
          <w:sz w:val="24"/>
          <w:szCs w:val="24"/>
          <w:highlight w:val="none"/>
          <w:shd w:val="clear" w:fill="FFFFFF"/>
          <w:lang w:val="en-US" w:eastAsia="zh-CN" w:bidi="ar"/>
        </w:rPr>
        <w:t>、1</w:t>
      </w:r>
      <w:r>
        <w:rPr>
          <w:rFonts w:hint="eastAsia" w:ascii="Arial" w:hAnsi="Arial" w:eastAsia="微软雅黑" w:cs="Arial"/>
          <w:b w:val="0"/>
          <w:bCs w:val="0"/>
          <w:i w:val="0"/>
          <w:iCs w:val="0"/>
          <w:caps w:val="0"/>
          <w:color w:val="333333"/>
          <w:spacing w:val="0"/>
          <w:w w:val="100"/>
          <w:kern w:val="0"/>
          <w:sz w:val="24"/>
          <w:szCs w:val="24"/>
          <w:highlight w:val="none"/>
          <w:shd w:val="clear" w:fill="FFFFFF"/>
          <w:lang w:val="en-US" w:eastAsia="zh-CN" w:bidi="ar"/>
        </w:rPr>
        <w:t>6</w:t>
      </w:r>
      <w:r>
        <w:rPr>
          <w:rFonts w:hint="default" w:ascii="Arial" w:hAnsi="Arial" w:eastAsia="微软雅黑" w:cs="Arial"/>
          <w:b w:val="0"/>
          <w:bCs w:val="0"/>
          <w:i w:val="0"/>
          <w:iCs w:val="0"/>
          <w:caps w:val="0"/>
          <w:color w:val="333333"/>
          <w:spacing w:val="0"/>
          <w:w w:val="100"/>
          <w:kern w:val="0"/>
          <w:sz w:val="24"/>
          <w:szCs w:val="24"/>
          <w:highlight w:val="none"/>
          <w:shd w:val="clear" w:fill="FFFFFF"/>
          <w:lang w:val="en-US" w:eastAsia="zh-CN" w:bidi="ar"/>
        </w:rPr>
        <w:t>、</w:t>
      </w:r>
      <w:r>
        <w:rPr>
          <w:rFonts w:hint="eastAsia" w:ascii="Arial" w:hAnsi="Arial" w:eastAsia="微软雅黑" w:cs="Arial"/>
          <w:b w:val="0"/>
          <w:bCs w:val="0"/>
          <w:i w:val="0"/>
          <w:iCs w:val="0"/>
          <w:caps w:val="0"/>
          <w:color w:val="333333"/>
          <w:spacing w:val="0"/>
          <w:w w:val="100"/>
          <w:kern w:val="0"/>
          <w:sz w:val="24"/>
          <w:szCs w:val="24"/>
          <w:highlight w:val="none"/>
          <w:shd w:val="clear" w:fill="FFFFFF"/>
          <w:lang w:val="en-US" w:eastAsia="zh-CN" w:bidi="ar"/>
        </w:rPr>
        <w:t>17、</w:t>
      </w:r>
      <w:r>
        <w:rPr>
          <w:rFonts w:hint="default" w:ascii="Arial" w:hAnsi="Arial" w:eastAsia="微软雅黑" w:cs="Arial"/>
          <w:b w:val="0"/>
          <w:bCs w:val="0"/>
          <w:i w:val="0"/>
          <w:iCs w:val="0"/>
          <w:caps w:val="0"/>
          <w:color w:val="333333"/>
          <w:spacing w:val="0"/>
          <w:w w:val="100"/>
          <w:kern w:val="0"/>
          <w:sz w:val="24"/>
          <w:szCs w:val="24"/>
          <w:highlight w:val="none"/>
          <w:shd w:val="clear" w:fill="FFFFFF"/>
          <w:lang w:val="en-US" w:eastAsia="zh-CN" w:bidi="ar"/>
        </w:rPr>
        <w:t>1</w:t>
      </w:r>
      <w:r>
        <w:rPr>
          <w:rFonts w:hint="eastAsia" w:ascii="Arial" w:hAnsi="Arial" w:eastAsia="微软雅黑" w:cs="Arial"/>
          <w:b w:val="0"/>
          <w:bCs w:val="0"/>
          <w:i w:val="0"/>
          <w:iCs w:val="0"/>
          <w:caps w:val="0"/>
          <w:color w:val="333333"/>
          <w:spacing w:val="0"/>
          <w:w w:val="100"/>
          <w:kern w:val="0"/>
          <w:sz w:val="24"/>
          <w:szCs w:val="24"/>
          <w:highlight w:val="none"/>
          <w:shd w:val="clear" w:fill="FFFFFF"/>
          <w:lang w:val="en-US" w:eastAsia="zh-CN" w:bidi="ar"/>
        </w:rPr>
        <w:t>8</w:t>
      </w:r>
      <w:r>
        <w:rPr>
          <w:rFonts w:hint="default" w:ascii="Arial" w:hAnsi="Arial" w:eastAsia="微软雅黑" w:cs="Arial"/>
          <w:b w:val="0"/>
          <w:bCs w:val="0"/>
          <w:i w:val="0"/>
          <w:iCs w:val="0"/>
          <w:caps w:val="0"/>
          <w:color w:val="333333"/>
          <w:spacing w:val="0"/>
          <w:w w:val="100"/>
          <w:kern w:val="0"/>
          <w:sz w:val="24"/>
          <w:szCs w:val="24"/>
          <w:highlight w:val="none"/>
          <w:shd w:val="clear" w:fill="FFFFFF"/>
          <w:lang w:val="en-US" w:eastAsia="zh-CN" w:bidi="ar"/>
        </w:rPr>
        <w:t>、</w:t>
      </w:r>
      <w:r>
        <w:rPr>
          <w:rFonts w:hint="eastAsia" w:ascii="Arial" w:hAnsi="Arial" w:eastAsia="微软雅黑" w:cs="Arial"/>
          <w:b w:val="0"/>
          <w:bCs w:val="0"/>
          <w:i w:val="0"/>
          <w:iCs w:val="0"/>
          <w:caps w:val="0"/>
          <w:color w:val="333333"/>
          <w:spacing w:val="0"/>
          <w:w w:val="100"/>
          <w:kern w:val="0"/>
          <w:sz w:val="24"/>
          <w:szCs w:val="24"/>
          <w:highlight w:val="none"/>
          <w:shd w:val="clear" w:fill="FFFFFF"/>
          <w:lang w:val="en-US" w:eastAsia="zh-CN" w:bidi="ar"/>
        </w:rPr>
        <w:t>19</w:t>
      </w:r>
      <w:r>
        <w:rPr>
          <w:rFonts w:hint="default" w:ascii="Arial" w:hAnsi="Arial" w:eastAsia="微软雅黑" w:cs="Arial"/>
          <w:b w:val="0"/>
          <w:bCs w:val="0"/>
          <w:i w:val="0"/>
          <w:iCs w:val="0"/>
          <w:caps w:val="0"/>
          <w:color w:val="333333"/>
          <w:spacing w:val="0"/>
          <w:w w:val="100"/>
          <w:kern w:val="0"/>
          <w:sz w:val="24"/>
          <w:szCs w:val="24"/>
          <w:highlight w:val="none"/>
          <w:shd w:val="clear" w:fill="FFFFFF"/>
          <w:lang w:val="en-US" w:eastAsia="zh-CN" w:bidi="ar"/>
        </w:rPr>
        <w:t>、2</w:t>
      </w:r>
      <w:r>
        <w:rPr>
          <w:rFonts w:hint="eastAsia" w:ascii="Arial" w:hAnsi="Arial" w:eastAsia="微软雅黑" w:cs="Arial"/>
          <w:b w:val="0"/>
          <w:bCs w:val="0"/>
          <w:i w:val="0"/>
          <w:iCs w:val="0"/>
          <w:caps w:val="0"/>
          <w:color w:val="333333"/>
          <w:spacing w:val="0"/>
          <w:w w:val="100"/>
          <w:kern w:val="0"/>
          <w:sz w:val="24"/>
          <w:szCs w:val="24"/>
          <w:highlight w:val="none"/>
          <w:shd w:val="clear" w:fill="FFFFFF"/>
          <w:lang w:val="en-US" w:eastAsia="zh-CN" w:bidi="ar"/>
        </w:rPr>
        <w:t>0</w:t>
      </w:r>
      <w:r>
        <w:rPr>
          <w:rFonts w:hint="default" w:ascii="Arial" w:hAnsi="Arial" w:eastAsia="微软雅黑" w:cs="Arial"/>
          <w:b w:val="0"/>
          <w:bCs w:val="0"/>
          <w:i w:val="0"/>
          <w:iCs w:val="0"/>
          <w:caps w:val="0"/>
          <w:color w:val="333333"/>
          <w:spacing w:val="0"/>
          <w:w w:val="100"/>
          <w:kern w:val="0"/>
          <w:sz w:val="24"/>
          <w:szCs w:val="24"/>
          <w:highlight w:val="none"/>
          <w:shd w:val="clear" w:fill="FFFFFF"/>
          <w:lang w:val="en-US" w:eastAsia="zh-CN" w:bidi="ar"/>
        </w:rPr>
        <w:t>、2</w:t>
      </w:r>
      <w:r>
        <w:rPr>
          <w:rFonts w:hint="eastAsia" w:ascii="Arial" w:hAnsi="Arial" w:eastAsia="微软雅黑" w:cs="Arial"/>
          <w:b w:val="0"/>
          <w:bCs w:val="0"/>
          <w:i w:val="0"/>
          <w:iCs w:val="0"/>
          <w:caps w:val="0"/>
          <w:color w:val="333333"/>
          <w:spacing w:val="0"/>
          <w:w w:val="100"/>
          <w:kern w:val="0"/>
          <w:sz w:val="24"/>
          <w:szCs w:val="24"/>
          <w:highlight w:val="none"/>
          <w:shd w:val="clear" w:fill="FFFFFF"/>
          <w:lang w:val="en-US" w:eastAsia="zh-CN" w:bidi="ar"/>
        </w:rPr>
        <w:t>1</w:t>
      </w:r>
      <w:r>
        <w:rPr>
          <w:rFonts w:hint="default" w:ascii="Arial" w:hAnsi="Arial" w:eastAsia="微软雅黑" w:cs="Arial"/>
          <w:b w:val="0"/>
          <w:bCs w:val="0"/>
          <w:i w:val="0"/>
          <w:iCs w:val="0"/>
          <w:caps w:val="0"/>
          <w:color w:val="333333"/>
          <w:spacing w:val="0"/>
          <w:w w:val="100"/>
          <w:kern w:val="0"/>
          <w:sz w:val="24"/>
          <w:szCs w:val="24"/>
          <w:shd w:val="clear" w:fill="FFFFFF"/>
          <w:lang w:val="en-US" w:eastAsia="zh-CN" w:bidi="ar"/>
        </w:rPr>
        <w:t>表均为空。</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478"/>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bCs/>
          <w:i w:val="0"/>
          <w:iCs w:val="0"/>
          <w:caps w:val="0"/>
          <w:color w:val="333333"/>
          <w:spacing w:val="0"/>
          <w:w w:val="100"/>
          <w:kern w:val="0"/>
          <w:sz w:val="24"/>
          <w:szCs w:val="24"/>
          <w:shd w:val="clear" w:fill="FFFFFF"/>
          <w:lang w:val="en-US" w:eastAsia="zh-CN" w:bidi="ar"/>
        </w:rPr>
        <w:t>（一）收入预算：</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包括一般公共预算、政府性基金、国有资本经营预算等财政拨款收入，以及经营收入、事业收入等单位资金。2021年本单位收入预算1933.78万元，为一般公共预算拨款。上年结转结余97.90万元。收入预算较去年减少1117.73万元，主要原因是为了提高资金使用效率，将跨年度项目按照一次报批、分年安排的方式编制预算，压减了当年项目经费，避免资金沉淀。</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22"/>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bCs/>
          <w:i w:val="0"/>
          <w:iCs w:val="0"/>
          <w:caps w:val="0"/>
          <w:color w:val="333333"/>
          <w:spacing w:val="0"/>
          <w:w w:val="100"/>
          <w:kern w:val="0"/>
          <w:sz w:val="24"/>
          <w:szCs w:val="24"/>
          <w:shd w:val="clear" w:fill="FFFFFF"/>
          <w:lang w:val="en-US" w:eastAsia="zh-CN" w:bidi="ar"/>
        </w:rPr>
        <w:t>（二）支出预算：</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2021年本单位支出预算2031.68万元，其中，社会保障和就业支出32.23万元，交通运输支出1946.61万元，住房保障支出52.84万元。支出较去年减少1019.83万元，主要原因是项目经费跨年列支，当年项目支出减少。</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三、一般公共预算拨款支出</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2021年本单位一般公共预算拨款支出预算2031.68万元，其中，社会保障和就业支出32.23万元，占1.59%；交通运输支出1946.61万元，占95.81%；住房保障支出52.84万元，占2.60%。具体安排情况如下：</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bCs/>
          <w:i w:val="0"/>
          <w:iCs w:val="0"/>
          <w:caps w:val="0"/>
          <w:color w:val="333333"/>
          <w:spacing w:val="0"/>
          <w:w w:val="100"/>
          <w:kern w:val="0"/>
          <w:sz w:val="24"/>
          <w:szCs w:val="24"/>
          <w:shd w:val="clear" w:fill="FFFFFF"/>
          <w:lang w:val="en-US" w:eastAsia="zh-CN" w:bidi="ar"/>
        </w:rPr>
        <w:t>（一）基本支出：</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2021年本单位基本支出预算数620.66万元，主要是为保障单位机构正常运转、完成日常工作任务而发生的各项支出，包括用于基本工资、津贴补贴等人员经费以及办公费、印刷费、水电费、办公设备购置等公用经费。</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bCs/>
          <w:i w:val="0"/>
          <w:iCs w:val="0"/>
          <w:caps w:val="0"/>
          <w:color w:val="333333"/>
          <w:spacing w:val="0"/>
          <w:w w:val="100"/>
          <w:kern w:val="0"/>
          <w:sz w:val="24"/>
          <w:szCs w:val="24"/>
          <w:shd w:val="clear" w:fill="FFFFFF"/>
          <w:lang w:val="en-US" w:eastAsia="zh-CN" w:bidi="ar"/>
        </w:rPr>
        <w:t>（二）项目支出：</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2021年本单位项目支出预算1411.02万元，主要是部门为完成特定行政工作任务或事业发展目标而发生的支出，包括有关事业发展专项、专项业务费、基本建设支出等，其中交通运输支出1411.02万元，主要用于项目咨询审查、招商项目等方面。</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四、政府性基金预算支出</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2021年本单位无政府性基金支出安排的支出。</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五、其他重要事项的情况说明</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bCs/>
          <w:i w:val="0"/>
          <w:iCs w:val="0"/>
          <w:caps w:val="0"/>
          <w:color w:val="333333"/>
          <w:spacing w:val="0"/>
          <w:w w:val="100"/>
          <w:kern w:val="0"/>
          <w:sz w:val="24"/>
          <w:szCs w:val="24"/>
          <w:shd w:val="clear" w:fill="FFFFFF"/>
          <w:lang w:val="en-US" w:eastAsia="zh-CN" w:bidi="ar"/>
        </w:rPr>
        <w:t>（一）机关运行经费：</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2021年本单位机关运行经费152.42万元，比上年预算减少7.76万元，下降4%，主要是压减了差旅费和公务接待费。</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bCs/>
          <w:i w:val="0"/>
          <w:iCs w:val="0"/>
          <w:caps w:val="0"/>
          <w:color w:val="333333"/>
          <w:spacing w:val="0"/>
          <w:w w:val="100"/>
          <w:kern w:val="0"/>
          <w:sz w:val="24"/>
          <w:szCs w:val="24"/>
          <w:shd w:val="clear" w:fill="FFFFFF"/>
          <w:lang w:val="en-US" w:eastAsia="zh-CN" w:bidi="ar"/>
        </w:rPr>
        <w:t>（二）“三公”经费预算：</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2021年本单位“三公”经费预算数为10.50万元，其中，公务接待费1.50万元，公务用车购置及运行费9万元（其中，公务用车购置费0万元，公务用车运行费9万元），因公出国（境）费0万元。2021年“三公”经费预算较上年减少9.46万元，主要是减少了公务接待费和因公出国境费。</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bCs/>
          <w:i w:val="0"/>
          <w:iCs w:val="0"/>
          <w:caps w:val="0"/>
          <w:color w:val="333333"/>
          <w:spacing w:val="0"/>
          <w:w w:val="100"/>
          <w:kern w:val="0"/>
          <w:sz w:val="24"/>
          <w:szCs w:val="24"/>
          <w:shd w:val="clear" w:fill="FFFFFF"/>
          <w:lang w:val="en-US" w:eastAsia="zh-CN" w:bidi="ar"/>
        </w:rPr>
        <w:t>（三）一般性支出情况：</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2021年本单位会议费预算3万元，拟召开4个项目的工可审查会议，人数160人，内容为工可审查；培训费预算2万元，拟派员参加相关业务培训，无自行主办培训项目。无节庆、晚会、论坛、赛事活动，无经费预算。</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bCs/>
          <w:i w:val="0"/>
          <w:iCs w:val="0"/>
          <w:caps w:val="0"/>
          <w:color w:val="333333"/>
          <w:spacing w:val="0"/>
          <w:w w:val="100"/>
          <w:kern w:val="0"/>
          <w:sz w:val="24"/>
          <w:szCs w:val="24"/>
          <w:shd w:val="clear" w:fill="FFFFFF"/>
          <w:lang w:val="en-US" w:eastAsia="zh-CN" w:bidi="ar"/>
        </w:rPr>
        <w:t>（四）政府采购情况：</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2021年本单位政府采购预算总额为0万元。</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bCs/>
          <w:i w:val="0"/>
          <w:iCs w:val="0"/>
          <w:caps w:val="0"/>
          <w:color w:val="333333"/>
          <w:spacing w:val="0"/>
          <w:w w:val="100"/>
          <w:kern w:val="0"/>
          <w:sz w:val="24"/>
          <w:szCs w:val="24"/>
          <w:shd w:val="clear" w:fill="FFFFFF"/>
          <w:lang w:val="en-US" w:eastAsia="zh-CN" w:bidi="ar"/>
        </w:rPr>
        <w:t>（五）国有资产占用使用及新增资产配置情况：</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截至2020年12月底，本单位共有公务用车2辆，均为其他按照规定配备的公务用车，2020年当年按照车改方案和评估情况，报废了3辆已达报废标准的公务用车；单位无价值50万元以上通用设备，无单位价值100万元以上专用设备。2021年无拟新增配置公务用车；无新增配备单位价值50万元及以上通用设备；无新增单位价值100万元以上专用设备。</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bCs/>
          <w:i w:val="0"/>
          <w:iCs w:val="0"/>
          <w:caps w:val="0"/>
          <w:color w:val="333333"/>
          <w:spacing w:val="0"/>
          <w:w w:val="100"/>
          <w:kern w:val="0"/>
          <w:sz w:val="24"/>
          <w:szCs w:val="24"/>
          <w:shd w:val="clear" w:fill="FFFFFF"/>
          <w:lang w:val="en-US" w:eastAsia="zh-CN" w:bidi="ar"/>
        </w:rPr>
        <w:t>（六）预算绩效目标说明：</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本单位所有支出实行绩效目标管理。纳入2021年单位整体支出绩效目标的金额为2031.68万元，其中，基本支出620.66万元，项目支出1411.02万元，具体绩效目标详见报表。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六、名词解释</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default" w:ascii="Arial" w:hAnsi="Arial" w:eastAsia="微软雅黑" w:cs="Arial"/>
          <w:b w:val="0"/>
          <w:i w:val="0"/>
          <w:iCs w:val="0"/>
          <w:caps w:val="0"/>
          <w:color w:val="333333"/>
          <w:spacing w:val="0"/>
          <w:w w:val="100"/>
          <w:kern w:val="0"/>
          <w:sz w:val="24"/>
          <w:szCs w:val="24"/>
          <w:shd w:val="clear" w:fill="FFFFFF"/>
          <w:lang w:val="en-US" w:eastAsia="zh-CN" w:bidi="ar"/>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0"/>
        <w:jc w:val="center"/>
        <w:textAlignment w:val="baseline"/>
        <w:rPr>
          <w:rFonts w:ascii="微软雅黑" w:hAnsi="微软雅黑" w:eastAsia="微软雅黑" w:cs="微软雅黑"/>
          <w:b w:val="0"/>
          <w:i w:val="0"/>
          <w:iCs w:val="0"/>
          <w:caps w:val="0"/>
          <w:color w:val="333333"/>
          <w:spacing w:val="0"/>
          <w:w w:val="100"/>
          <w:sz w:val="24"/>
          <w:szCs w:val="24"/>
        </w:rPr>
      </w:pPr>
      <w:r>
        <w:rPr>
          <w:rFonts w:ascii="Arial" w:hAnsi="Arial" w:eastAsia="微软雅黑" w:cs="Arial"/>
          <w:b w:val="0"/>
          <w:i w:val="0"/>
          <w:iCs w:val="0"/>
          <w:caps w:val="0"/>
          <w:color w:val="333333"/>
          <w:spacing w:val="0"/>
          <w:w w:val="100"/>
          <w:kern w:val="0"/>
          <w:sz w:val="24"/>
          <w:szCs w:val="24"/>
          <w:shd w:val="clear" w:fill="FFFFFF"/>
          <w:lang w:val="en-US" w:eastAsia="zh-CN" w:bidi="ar"/>
        </w:rPr>
        <w:t>第二部分</w:t>
      </w:r>
      <w:r>
        <w:rPr>
          <w:rFonts w:hint="default" w:ascii="Arial" w:hAnsi="Arial" w:eastAsia="微软雅黑" w:cs="Arial"/>
          <w:b w:val="0"/>
          <w:i w:val="0"/>
          <w:iCs w:val="0"/>
          <w:caps w:val="0"/>
          <w:color w:val="333333"/>
          <w:spacing w:val="0"/>
          <w:w w:val="100"/>
          <w:kern w:val="0"/>
          <w:sz w:val="24"/>
          <w:szCs w:val="24"/>
          <w:shd w:val="clear" w:fill="FFFFFF"/>
          <w:lang w:val="en-US" w:eastAsia="zh-CN" w:bidi="ar"/>
        </w:rPr>
        <w:t> 2021年单位预算表 </w:t>
      </w:r>
    </w:p>
    <w:p>
      <w:pPr>
        <w:pStyle w:val="3"/>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540" w:lineRule="atLeast"/>
        <w:ind w:left="0" w:right="0" w:firstLine="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eastAsia" w:ascii="微软雅黑" w:hAnsi="微软雅黑" w:eastAsia="微软雅黑" w:cs="微软雅黑"/>
          <w:b w:val="0"/>
          <w:i w:val="0"/>
          <w:iCs w:val="0"/>
          <w:caps w:val="0"/>
          <w:color w:val="333333"/>
          <w:spacing w:val="0"/>
          <w:w w:val="100"/>
          <w:sz w:val="24"/>
          <w:szCs w:val="24"/>
          <w:shd w:val="clear" w:fill="FFFFFF"/>
        </w:rPr>
        <w:t> </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1、收支总表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2、收入总表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3、支出总表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4、支出预算分类汇总表（按政府预算经济分类）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5、支出预算分类汇总表（按部门预算经济分类）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6、财政拨款收支总表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7、一般公共预算支出表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8、一般公共预算基本支出表-人员经费（工资福利支出）（按政府预算经济分类）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9、一般公共预算基本支出表-人员经费（工资福利支出）（按部门预算经济分类）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10、一般公共预算基本支出表-人员经费（对个人和家庭的补助）（按政府预算经济分类）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11、一般公共预算基本支出表-人员经费（对个人和家庭的补助）（按部门预算经济分类）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12、一般公共预算基本支出表-公用经费（商品和服务支出）（按政府预算经济分类）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13、一般公共预算基本支出表-公用经费（商品和服务支出）（按部门预算经济分类）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14、一般公共预算“三公”经费支出表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15、政府性基金预算支出表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16、政府性基金预算支出分类汇总表（按政府预算经济分类）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17、政府性基金预算支出分类汇总表（按部门预算经济分类）</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18、国有资本经营预算支出表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19、财政专户管理资金预算支出表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20、省级专项资金预算汇总表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21、省级专项资金绩效目标表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22、其他项目支出绩效目标表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23、部门整体支出绩效目标表</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40"/>
        <w:jc w:val="left"/>
        <w:textAlignment w:val="baseline"/>
        <w:rPr>
          <w:rFonts w:hint="eastAsia" w:ascii="微软雅黑" w:hAnsi="微软雅黑" w:eastAsia="微软雅黑" w:cs="微软雅黑"/>
          <w:b w:val="0"/>
          <w:i w:val="0"/>
          <w:iCs w:val="0"/>
          <w:caps w:val="0"/>
          <w:color w:val="333333"/>
          <w:spacing w:val="0"/>
          <w:w w:val="100"/>
          <w:sz w:val="24"/>
          <w:szCs w:val="24"/>
        </w:rPr>
      </w:pPr>
      <w:r>
        <w:rPr>
          <w:rFonts w:hint="default" w:ascii="Arial" w:hAnsi="Arial" w:eastAsia="微软雅黑" w:cs="Arial"/>
          <w:b w:val="0"/>
          <w:i w:val="0"/>
          <w:iCs w:val="0"/>
          <w:caps w:val="0"/>
          <w:color w:val="333333"/>
          <w:spacing w:val="0"/>
          <w:w w:val="100"/>
          <w:kern w:val="0"/>
          <w:sz w:val="24"/>
          <w:szCs w:val="24"/>
          <w:shd w:val="clear" w:fill="FFFFFF"/>
          <w:lang w:val="en-US" w:eastAsia="zh-CN" w:bidi="ar"/>
        </w:rPr>
        <w:t>注：以上部门预算报表中，空表表示本单位无相关收支情况。</w:t>
      </w:r>
    </w:p>
    <w:p>
      <w:pPr>
        <w:keepLines w:val="0"/>
        <w:widowControl/>
        <w:suppressLineNumbers w:val="0"/>
        <w:pBdr>
          <w:top w:val="none" w:color="auto" w:sz="0" w:space="0"/>
          <w:left w:val="none" w:color="auto" w:sz="0" w:space="0"/>
          <w:bottom w:val="none" w:color="auto" w:sz="0" w:space="0"/>
          <w:right w:val="none" w:color="auto" w:sz="0" w:space="0"/>
        </w:pBdr>
        <w:shd w:val="clear" w:fill="FFFFFF"/>
        <w:snapToGrid/>
        <w:spacing w:before="0" w:beforeAutospacing="0" w:after="0" w:afterAutospacing="0" w:line="600" w:lineRule="atLeast"/>
        <w:ind w:left="0" w:right="0" w:firstLine="660"/>
        <w:jc w:val="left"/>
        <w:textAlignment w:val="baseline"/>
        <w:rPr>
          <w:rFonts w:hint="eastAsia" w:ascii="Arial" w:hAnsi="Arial" w:eastAsia="微软雅黑" w:cs="Arial"/>
          <w:b w:val="0"/>
          <w:i w:val="0"/>
          <w:iCs w:val="0"/>
          <w:caps w:val="0"/>
          <w:color w:val="333333"/>
          <w:spacing w:val="0"/>
          <w:w w:val="100"/>
          <w:kern w:val="0"/>
          <w:sz w:val="24"/>
          <w:szCs w:val="24"/>
          <w:shd w:val="clear" w:fill="FFFFFF"/>
          <w:lang w:val="en-US" w:eastAsia="zh-CN" w:bidi="ar"/>
        </w:rPr>
      </w:pPr>
    </w:p>
    <w:p>
      <w:pPr>
        <w:snapToGrid/>
        <w:spacing w:before="0" w:beforeAutospacing="0" w:after="0" w:afterAutospacing="0" w:line="240" w:lineRule="auto"/>
        <w:jc w:val="both"/>
        <w:textAlignment w:val="baseline"/>
        <w:rPr>
          <w:b w:val="0"/>
          <w:i w:val="0"/>
          <w:caps w:val="0"/>
          <w:spacing w:val="0"/>
          <w:w w:val="100"/>
          <w:sz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F99A49"/>
    <w:multiLevelType w:val="singleLevel"/>
    <w:tmpl w:val="06F99A4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lZTVhNWY4NDFjNWQzODk4ODc4MWMxZGFhNTAyOWUifQ=="/>
  </w:docVars>
  <w:rsids>
    <w:rsidRoot w:val="5C2C3451"/>
    <w:rsid w:val="0261588C"/>
    <w:rsid w:val="0A233744"/>
    <w:rsid w:val="19FC6067"/>
    <w:rsid w:val="3A270209"/>
    <w:rsid w:val="4B6829C8"/>
    <w:rsid w:val="5C2C3451"/>
    <w:rsid w:val="7F797E34"/>
    <w:rsid w:val="7FF24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3090</Words>
  <Characters>3331</Characters>
  <Lines>0</Lines>
  <Paragraphs>0</Paragraphs>
  <TotalTime>14</TotalTime>
  <ScaleCrop>false</ScaleCrop>
  <LinksUpToDate>false</LinksUpToDate>
  <CharactersWithSpaces>3339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2022-09-05T01:58:00Z</dcterms:created>
  <dc:creator>零°C的阳光</dc:creator>
  <cp:lastModifiedBy>0815jd</cp:lastModifiedBy>
  <dcterms:modified xsi:type="dcterms:W3CDTF">2022-09-07T10:34:12Z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129D58C08139475089D35FA1AF786062</vt:lpwstr>
  </property>
</Properties>
</file>