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line="600" w:lineRule="exact"/>
        <w:jc w:val="center"/>
        <w:rPr>
          <w:rFonts w:eastAsia="方正小标宋_GBK"/>
          <w:bCs/>
          <w:kern w:val="0"/>
          <w:sz w:val="44"/>
          <w:szCs w:val="44"/>
        </w:rPr>
      </w:pPr>
      <w:r>
        <w:rPr>
          <w:rFonts w:eastAsia="方正小标宋_GBK"/>
          <w:bCs/>
          <w:kern w:val="0"/>
          <w:sz w:val="44"/>
          <w:szCs w:val="44"/>
        </w:rPr>
        <w:t>2021年</w:t>
      </w:r>
      <w:r>
        <w:rPr>
          <w:rFonts w:hint="eastAsia" w:eastAsia="方正小标宋_GBK"/>
          <w:bCs/>
          <w:kern w:val="0"/>
          <w:sz w:val="44"/>
          <w:szCs w:val="44"/>
        </w:rPr>
        <w:t>湖南省经信委信息中心</w:t>
      </w:r>
      <w:r>
        <w:rPr>
          <w:rFonts w:eastAsia="方正小标宋_GBK"/>
          <w:bCs/>
          <w:kern w:val="0"/>
          <w:sz w:val="44"/>
          <w:szCs w:val="44"/>
        </w:rPr>
        <w:t>预算</w:t>
      </w:r>
    </w:p>
    <w:p>
      <w:pPr>
        <w:widowControl/>
        <w:spacing w:line="600" w:lineRule="exact"/>
        <w:rPr>
          <w:rFonts w:eastAsia="仿宋_GB2312"/>
          <w:bCs/>
          <w:kern w:val="0"/>
          <w:sz w:val="32"/>
          <w:szCs w:val="32"/>
        </w:rPr>
      </w:pPr>
    </w:p>
    <w:p>
      <w:pPr>
        <w:widowControl/>
        <w:spacing w:line="600" w:lineRule="exact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第一部分 2021年单位预算说明</w:t>
      </w:r>
    </w:p>
    <w:p>
      <w:pPr>
        <w:widowControl/>
        <w:spacing w:line="600" w:lineRule="exact"/>
        <w:jc w:val="left"/>
        <w:rPr>
          <w:rFonts w:eastAsia="仿宋_GB2312"/>
          <w:b/>
          <w:bCs/>
          <w:kern w:val="0"/>
          <w:sz w:val="32"/>
          <w:szCs w:val="32"/>
        </w:rPr>
      </w:pPr>
    </w:p>
    <w:p>
      <w:pPr>
        <w:widowControl/>
        <w:spacing w:line="600" w:lineRule="exact"/>
        <w:ind w:firstLine="627" w:firstLineChars="196"/>
        <w:jc w:val="left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一、单位基本概况</w:t>
      </w:r>
    </w:p>
    <w:p>
      <w:pPr>
        <w:widowControl/>
        <w:spacing w:line="600" w:lineRule="exact"/>
        <w:ind w:firstLine="630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（一）职能职责。</w:t>
      </w:r>
    </w:p>
    <w:p>
      <w:pPr>
        <w:widowControl/>
        <w:spacing w:line="600" w:lineRule="exact"/>
        <w:ind w:firstLine="627" w:firstLineChars="196"/>
        <w:jc w:val="left"/>
        <w:rPr>
          <w:rFonts w:eastAsia="楷体_GB2312"/>
          <w:b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负责厅机关政务信息化建设和信息系统的运维管理。承担厅机关门户网站、微信公众号的建设与运维管理工作；承担厅机关网络基础设施、办公终端及辅助设备等的运维管理工作；承担厅机关网络安全、计算机保密技术支持与管理工作；承担厅机关软件正版化管理工作；承担“工信部视频会议专线”、省委、省政府“党政专线”等的技术保障工作；承担厅机关“互联网+政务服务”、“互联网+监管”等的技术支持工作；承担厅机关重大活动、重要会议的图片信息采编工作；完成领导交办的其他工作。</w:t>
      </w:r>
    </w:p>
    <w:p>
      <w:pPr>
        <w:numPr>
          <w:ilvl w:val="0"/>
          <w:numId w:val="1"/>
        </w:numPr>
        <w:ind w:firstLine="560"/>
        <w:rPr>
          <w:rFonts w:eastAsia="楷体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机构设置。</w:t>
      </w:r>
    </w:p>
    <w:p>
      <w:pPr>
        <w:numPr>
          <w:ilvl w:val="0"/>
          <w:numId w:val="0"/>
        </w:numPr>
        <w:ind w:firstLine="560"/>
        <w:rPr>
          <w:rFonts w:hint="default" w:eastAsia="仿宋_GB2312" w:asciiTheme="minorEastAsia" w:hAnsiTheme="minorEastAsia" w:cstheme="minorEastAsia"/>
          <w:color w:val="auto"/>
          <w:sz w:val="28"/>
          <w:szCs w:val="28"/>
          <w:lang w:val="en-US" w:eastAsia="zh-CN"/>
        </w:rPr>
      </w:pPr>
      <w:r>
        <w:rPr>
          <w:rFonts w:hint="eastAsia" w:eastAsia="仿宋_GB2312" w:cs="Times New Roman"/>
          <w:color w:val="auto"/>
          <w:kern w:val="0"/>
          <w:sz w:val="32"/>
          <w:szCs w:val="32"/>
          <w:lang w:val="en-US" w:eastAsia="zh-CN"/>
        </w:rPr>
        <w:t>2011年4月，根据原省经信委部分委属事业单位岗位设置情况建议，省经信委信息中心设综合科和技术科两个内设机构。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2015年4月30日，《湖南省机构编制委员会办公室&lt;关于省经信委所属事业单位分类和有关机构编制调整事项&gt;的通知》（湘编办函〔2015〕56号），</w:t>
      </w:r>
      <w:r>
        <w:rPr>
          <w:rFonts w:hint="eastAsia" w:ascii="Calibri" w:hAnsi="Calibri" w:eastAsia="仿宋_GB2312" w:cs="Times New Roman"/>
          <w:color w:val="auto"/>
          <w:kern w:val="0"/>
          <w:sz w:val="32"/>
          <w:szCs w:val="32"/>
          <w:lang w:val="en-US" w:eastAsia="zh-CN"/>
        </w:rPr>
        <w:t>湖南省经信委信息中心的全额拨款事业编制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Calibri" w:hAnsi="Calibri" w:eastAsia="仿宋_GB2312" w:cs="Times New Roman"/>
          <w:color w:val="auto"/>
          <w:kern w:val="0"/>
          <w:sz w:val="32"/>
          <w:szCs w:val="32"/>
          <w:lang w:val="en-US" w:eastAsia="zh-CN"/>
        </w:rPr>
        <w:t>名。截至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2019</w:t>
      </w:r>
      <w:r>
        <w:rPr>
          <w:rFonts w:hint="eastAsia" w:ascii="Calibri" w:hAnsi="Calibri" w:eastAsia="仿宋_GB2312" w:cs="Times New Roman"/>
          <w:color w:val="auto"/>
          <w:kern w:val="0"/>
          <w:sz w:val="32"/>
          <w:szCs w:val="32"/>
          <w:lang w:val="en-US" w:eastAsia="zh-CN"/>
        </w:rPr>
        <w:t>年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12</w:t>
      </w:r>
      <w:r>
        <w:rPr>
          <w:rFonts w:hint="eastAsia" w:ascii="Calibri" w:hAnsi="Calibri" w:eastAsia="仿宋_GB2312" w:cs="Times New Roman"/>
          <w:color w:val="auto"/>
          <w:kern w:val="0"/>
          <w:sz w:val="32"/>
          <w:szCs w:val="32"/>
          <w:lang w:val="en-US" w:eastAsia="zh-CN"/>
        </w:rPr>
        <w:t>月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31</w:t>
      </w:r>
      <w:r>
        <w:rPr>
          <w:rFonts w:hint="eastAsia" w:ascii="Calibri" w:hAnsi="Calibri" w:eastAsia="仿宋_GB2312" w:cs="Times New Roman"/>
          <w:color w:val="auto"/>
          <w:kern w:val="0"/>
          <w:sz w:val="32"/>
          <w:szCs w:val="32"/>
          <w:lang w:val="en-US" w:eastAsia="zh-CN"/>
        </w:rPr>
        <w:t>日，湖南省经信委信息中心（以下简称“信息中心”）事业编制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Calibri" w:hAnsi="Calibri" w:eastAsia="仿宋_GB2312" w:cs="Times New Roman"/>
          <w:color w:val="auto"/>
          <w:kern w:val="0"/>
          <w:sz w:val="32"/>
          <w:szCs w:val="32"/>
          <w:lang w:val="en-US" w:eastAsia="zh-CN"/>
        </w:rPr>
        <w:t>人，实有在职人员</w:t>
      </w:r>
      <w:r>
        <w:rPr>
          <w:rFonts w:hint="eastAsia" w:ascii="Times New Roman" w:hAnsi="Times New Roman" w:eastAsia="仿宋_GB2312" w:cs="Times New Roman"/>
          <w:color w:val="auto"/>
          <w:kern w:val="0"/>
          <w:sz w:val="32"/>
          <w:szCs w:val="32"/>
          <w:lang w:val="en-US" w:eastAsia="zh-CN"/>
        </w:rPr>
        <w:t>8</w:t>
      </w:r>
      <w:r>
        <w:rPr>
          <w:rFonts w:hint="eastAsia" w:ascii="Calibri" w:hAnsi="Calibri" w:eastAsia="仿宋_GB2312" w:cs="Times New Roman"/>
          <w:color w:val="auto"/>
          <w:kern w:val="0"/>
          <w:sz w:val="32"/>
          <w:szCs w:val="32"/>
          <w:lang w:val="en-US" w:eastAsia="zh-CN"/>
        </w:rPr>
        <w:t>人。本中心预算单位为省经信委信息中心1家。</w:t>
      </w:r>
      <w:bookmarkStart w:id="0" w:name="_GoBack"/>
      <w:bookmarkEnd w:id="0"/>
    </w:p>
    <w:p>
      <w:pPr>
        <w:numPr>
          <w:ilvl w:val="0"/>
          <w:numId w:val="0"/>
        </w:numPr>
        <w:ind w:firstLine="640" w:firstLineChars="200"/>
        <w:rPr>
          <w:rFonts w:eastAsia="黑体"/>
          <w:bCs/>
          <w:kern w:val="0"/>
          <w:sz w:val="32"/>
          <w:szCs w:val="32"/>
        </w:rPr>
      </w:pPr>
      <w:r>
        <w:rPr>
          <w:rFonts w:eastAsia="黑体"/>
          <w:bCs/>
          <w:kern w:val="0"/>
          <w:sz w:val="32"/>
          <w:szCs w:val="32"/>
        </w:rPr>
        <w:t>二、单位收支总体情况</w:t>
      </w:r>
    </w:p>
    <w:p>
      <w:pPr>
        <w:widowControl/>
        <w:spacing w:line="600" w:lineRule="exact"/>
        <w:ind w:firstLine="630" w:firstLineChars="196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（一）收入预算：</w:t>
      </w:r>
      <w:r>
        <w:rPr>
          <w:rFonts w:eastAsia="仿宋_GB2312"/>
          <w:sz w:val="32"/>
          <w:szCs w:val="32"/>
        </w:rPr>
        <w:t>2021年本单位收入预算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219.83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全部为</w:t>
      </w:r>
      <w:r>
        <w:rPr>
          <w:rFonts w:eastAsia="仿宋_GB2312"/>
          <w:sz w:val="32"/>
          <w:szCs w:val="32"/>
        </w:rPr>
        <w:t>一般公共预算拨款。</w:t>
      </w:r>
      <w:r>
        <w:rPr>
          <w:rFonts w:hint="eastAsia" w:eastAsia="仿宋_GB2312"/>
          <w:sz w:val="32"/>
          <w:szCs w:val="32"/>
          <w:lang w:eastAsia="zh-CN"/>
        </w:rPr>
        <w:t>收入</w:t>
      </w:r>
      <w:r>
        <w:rPr>
          <w:rFonts w:eastAsia="仿宋_GB2312"/>
          <w:b w:val="0"/>
          <w:bCs/>
          <w:sz w:val="32"/>
          <w:szCs w:val="32"/>
        </w:rPr>
        <w:t>较去年</w:t>
      </w:r>
      <w:r>
        <w:rPr>
          <w:rFonts w:hint="eastAsia" w:eastAsia="仿宋_GB2312"/>
          <w:b w:val="0"/>
          <w:bCs/>
          <w:sz w:val="32"/>
          <w:szCs w:val="32"/>
          <w:lang w:eastAsia="zh-CN"/>
        </w:rPr>
        <w:t>减少</w:t>
      </w:r>
      <w:r>
        <w:rPr>
          <w:rFonts w:hint="eastAsia" w:eastAsia="仿宋_GB2312"/>
          <w:b w:val="0"/>
          <w:bCs/>
          <w:sz w:val="32"/>
          <w:szCs w:val="32"/>
          <w:lang w:val="en-US" w:eastAsia="zh-CN"/>
        </w:rPr>
        <w:t>4万元，是财政压减的一般公用经费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30" w:firstLineChars="196"/>
        <w:jc w:val="left"/>
        <w:rPr>
          <w:rFonts w:eastAsia="仿宋_GB2312"/>
          <w:b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（二）支出预算：</w:t>
      </w:r>
      <w:r>
        <w:rPr>
          <w:rFonts w:eastAsia="仿宋_GB2312"/>
          <w:sz w:val="32"/>
          <w:szCs w:val="32"/>
        </w:rPr>
        <w:t>2021年本单位支出预算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219.83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资源勘探工业信息等支出</w:t>
      </w:r>
      <w:r>
        <w:rPr>
          <w:rFonts w:hint="eastAsia" w:eastAsia="仿宋_GB2312"/>
          <w:sz w:val="32"/>
          <w:szCs w:val="32"/>
          <w:lang w:val="en-US" w:eastAsia="zh-CN"/>
        </w:rPr>
        <w:t>172.83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eastAsia="仿宋_GB2312"/>
          <w:sz w:val="32"/>
          <w:szCs w:val="32"/>
        </w:rPr>
        <w:t>万元。</w:t>
      </w:r>
      <w:r>
        <w:rPr>
          <w:rFonts w:hint="eastAsia" w:eastAsia="仿宋_GB2312"/>
          <w:sz w:val="32"/>
          <w:szCs w:val="32"/>
          <w:lang w:eastAsia="zh-CN"/>
        </w:rPr>
        <w:t>支出</w:t>
      </w:r>
      <w:r>
        <w:rPr>
          <w:rFonts w:eastAsia="仿宋_GB2312"/>
          <w:b w:val="0"/>
          <w:bCs/>
          <w:sz w:val="32"/>
          <w:szCs w:val="32"/>
        </w:rPr>
        <w:t>较去年</w:t>
      </w:r>
      <w:r>
        <w:rPr>
          <w:rFonts w:hint="eastAsia" w:eastAsia="仿宋_GB2312"/>
          <w:b w:val="0"/>
          <w:bCs/>
          <w:sz w:val="32"/>
          <w:szCs w:val="32"/>
          <w:lang w:eastAsia="zh-CN"/>
        </w:rPr>
        <w:t>持平减少</w:t>
      </w:r>
      <w:r>
        <w:rPr>
          <w:rFonts w:hint="eastAsia" w:eastAsia="仿宋_GB2312"/>
          <w:b w:val="0"/>
          <w:bCs/>
          <w:sz w:val="32"/>
          <w:szCs w:val="32"/>
          <w:lang w:val="en-US" w:eastAsia="zh-CN"/>
        </w:rPr>
        <w:t>4万元，主要是压减的一般公用经费支出</w:t>
      </w:r>
      <w:r>
        <w:rPr>
          <w:rFonts w:eastAsia="仿宋_GB2312"/>
          <w:b/>
          <w:sz w:val="32"/>
          <w:szCs w:val="32"/>
        </w:rPr>
        <w:t>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三、一般公共预算拨款支出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仿宋_GB2312"/>
          <w:sz w:val="32"/>
          <w:szCs w:val="32"/>
        </w:rPr>
        <w:t>2021年本单位一般公共预算拨款支出预算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219.83</w:t>
      </w:r>
      <w:r>
        <w:rPr>
          <w:rFonts w:eastAsia="仿宋_GB2312"/>
          <w:sz w:val="32"/>
          <w:szCs w:val="32"/>
        </w:rPr>
        <w:t>万元，其中，</w:t>
      </w:r>
      <w:r>
        <w:rPr>
          <w:rFonts w:hint="eastAsia" w:eastAsia="仿宋_GB2312"/>
          <w:sz w:val="32"/>
          <w:szCs w:val="32"/>
        </w:rPr>
        <w:t>社会保障和就业支出</w:t>
      </w:r>
      <w:r>
        <w:rPr>
          <w:rFonts w:hint="eastAsia" w:eastAsia="仿宋_GB2312"/>
          <w:sz w:val="32"/>
          <w:szCs w:val="32"/>
          <w:lang w:val="en-US" w:eastAsia="zh-CN"/>
        </w:rPr>
        <w:t>14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6.37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卫生健康支出</w:t>
      </w:r>
      <w:r>
        <w:rPr>
          <w:rFonts w:hint="eastAsia" w:eastAsia="仿宋_GB2312"/>
          <w:sz w:val="32"/>
          <w:szCs w:val="32"/>
          <w:lang w:val="en-US" w:eastAsia="zh-CN"/>
        </w:rPr>
        <w:t>18</w:t>
      </w:r>
      <w:r>
        <w:rPr>
          <w:rFonts w:eastAsia="仿宋_GB2312"/>
          <w:sz w:val="32"/>
          <w:szCs w:val="32"/>
        </w:rPr>
        <w:t>万元，占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8.19</w:t>
      </w:r>
      <w:r>
        <w:rPr>
          <w:rFonts w:eastAsia="仿宋_GB2312"/>
          <w:sz w:val="32"/>
          <w:szCs w:val="32"/>
          <w:u w:val="none"/>
        </w:rPr>
        <w:t xml:space="preserve"> </w:t>
      </w:r>
      <w:r>
        <w:rPr>
          <w:rFonts w:eastAsia="仿宋_GB2312"/>
          <w:sz w:val="32"/>
          <w:szCs w:val="32"/>
        </w:rPr>
        <w:t>%；</w:t>
      </w:r>
      <w:r>
        <w:rPr>
          <w:rFonts w:hint="eastAsia" w:eastAsia="仿宋_GB2312"/>
          <w:sz w:val="32"/>
          <w:szCs w:val="32"/>
        </w:rPr>
        <w:t>资源勘探工业信息等支出</w:t>
      </w:r>
      <w:r>
        <w:rPr>
          <w:rFonts w:hint="eastAsia" w:eastAsia="仿宋_GB2312"/>
          <w:sz w:val="32"/>
          <w:szCs w:val="32"/>
          <w:lang w:val="en-US" w:eastAsia="zh-CN"/>
        </w:rPr>
        <w:t>172.83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lang w:val="en-US" w:eastAsia="zh-CN"/>
        </w:rPr>
        <w:t>78.62</w:t>
      </w:r>
      <w:r>
        <w:rPr>
          <w:rFonts w:eastAsia="仿宋_GB2312"/>
          <w:sz w:val="32"/>
          <w:szCs w:val="32"/>
        </w:rPr>
        <w:t xml:space="preserve"> %；</w:t>
      </w:r>
      <w:r>
        <w:rPr>
          <w:rFonts w:hint="eastAsia" w:eastAsia="仿宋_GB2312"/>
          <w:sz w:val="32"/>
          <w:szCs w:val="32"/>
        </w:rPr>
        <w:t>住房保障支出</w:t>
      </w:r>
      <w:r>
        <w:rPr>
          <w:rFonts w:hint="eastAsia" w:eastAsia="仿宋_GB2312"/>
          <w:sz w:val="32"/>
          <w:szCs w:val="32"/>
          <w:lang w:val="en-US" w:eastAsia="zh-CN"/>
        </w:rPr>
        <w:t>15</w:t>
      </w:r>
      <w:r>
        <w:rPr>
          <w:rFonts w:eastAsia="仿宋_GB2312"/>
          <w:sz w:val="32"/>
          <w:szCs w:val="32"/>
        </w:rPr>
        <w:t>万元</w:t>
      </w:r>
      <w:r>
        <w:rPr>
          <w:rFonts w:hint="eastAsia" w:eastAsia="仿宋_GB2312"/>
          <w:sz w:val="32"/>
          <w:szCs w:val="32"/>
          <w:lang w:eastAsia="zh-CN"/>
        </w:rPr>
        <w:t>，</w:t>
      </w:r>
      <w:r>
        <w:rPr>
          <w:rFonts w:eastAsia="仿宋_GB2312"/>
          <w:sz w:val="32"/>
          <w:szCs w:val="32"/>
        </w:rPr>
        <w:t>占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6.82</w:t>
      </w:r>
      <w:r>
        <w:rPr>
          <w:rFonts w:eastAsia="仿宋_GB2312"/>
          <w:sz w:val="32"/>
          <w:szCs w:val="32"/>
        </w:rPr>
        <w:t xml:space="preserve"> %。具体安排情况如下：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（一）基本支出：</w:t>
      </w:r>
      <w:r>
        <w:rPr>
          <w:rFonts w:eastAsia="仿宋_GB2312"/>
          <w:sz w:val="32"/>
          <w:szCs w:val="32"/>
        </w:rPr>
        <w:t>2021年本单位基本支出预算数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219.83</w:t>
      </w:r>
      <w:r>
        <w:rPr>
          <w:rFonts w:eastAsia="仿宋_GB2312"/>
          <w:sz w:val="32"/>
          <w:szCs w:val="32"/>
        </w:rPr>
        <w:t>万元，主要是为保障单位机构正常运转、完成日常工作任务而发生的各项支出，包括用于基本工资、津贴补贴等人员经费以及办公费、印刷费、办公设备购置等公用经费。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（二）项目支出：</w:t>
      </w:r>
      <w:r>
        <w:rPr>
          <w:rFonts w:eastAsia="仿宋_GB2312"/>
          <w:sz w:val="32"/>
          <w:szCs w:val="32"/>
        </w:rPr>
        <w:t>2021年本单位</w:t>
      </w:r>
      <w:r>
        <w:rPr>
          <w:rFonts w:hint="eastAsia" w:eastAsia="仿宋_GB2312"/>
          <w:sz w:val="32"/>
          <w:szCs w:val="32"/>
          <w:lang w:eastAsia="zh-CN"/>
        </w:rPr>
        <w:t>无</w:t>
      </w:r>
      <w:r>
        <w:rPr>
          <w:rFonts w:eastAsia="仿宋_GB2312"/>
          <w:sz w:val="32"/>
          <w:szCs w:val="32"/>
        </w:rPr>
        <w:t>项目支出预算。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四、政府性基金预算支出</w:t>
      </w:r>
    </w:p>
    <w:p>
      <w:pPr>
        <w:widowControl/>
        <w:spacing w:line="600" w:lineRule="exact"/>
        <w:ind w:firstLine="660"/>
        <w:jc w:val="left"/>
        <w:rPr>
          <w:rFonts w:eastAsia="仿宋_GB2312"/>
          <w:b/>
          <w:sz w:val="32"/>
          <w:szCs w:val="32"/>
        </w:rPr>
      </w:pPr>
      <w:r>
        <w:rPr>
          <w:rFonts w:eastAsia="仿宋_GB2312"/>
          <w:b w:val="0"/>
          <w:bCs/>
          <w:sz w:val="32"/>
          <w:szCs w:val="32"/>
        </w:rPr>
        <w:t>本</w:t>
      </w:r>
      <w:r>
        <w:rPr>
          <w:rFonts w:hint="eastAsia" w:eastAsia="仿宋_GB2312"/>
          <w:b w:val="0"/>
          <w:bCs/>
          <w:sz w:val="32"/>
          <w:szCs w:val="32"/>
          <w:lang w:eastAsia="zh-CN"/>
        </w:rPr>
        <w:t>单位</w:t>
      </w:r>
      <w:r>
        <w:rPr>
          <w:rFonts w:eastAsia="仿宋_GB2312"/>
          <w:b w:val="0"/>
          <w:bCs/>
          <w:sz w:val="32"/>
          <w:szCs w:val="32"/>
        </w:rPr>
        <w:t>无政府性基金安排的支出</w:t>
      </w:r>
    </w:p>
    <w:p>
      <w:pPr>
        <w:widowControl/>
        <w:spacing w:line="600" w:lineRule="exact"/>
        <w:ind w:firstLine="660"/>
        <w:jc w:val="left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五、其他重要事项的情况说明</w:t>
      </w:r>
    </w:p>
    <w:p>
      <w:pPr>
        <w:widowControl/>
        <w:spacing w:line="600" w:lineRule="exact"/>
        <w:ind w:firstLine="660"/>
        <w:jc w:val="left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（一）机关运行经费：</w:t>
      </w:r>
      <w:r>
        <w:rPr>
          <w:rFonts w:eastAsia="仿宋_GB2312"/>
          <w:sz w:val="32"/>
          <w:szCs w:val="32"/>
        </w:rPr>
        <w:t>2021年本单位机关运行经费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60.1</w:t>
      </w:r>
      <w:r>
        <w:rPr>
          <w:rFonts w:eastAsia="仿宋_GB2312"/>
          <w:sz w:val="32"/>
          <w:szCs w:val="32"/>
        </w:rPr>
        <w:t>万元，比上年预算减少</w:t>
      </w:r>
      <w:r>
        <w:rPr>
          <w:rFonts w:hint="eastAsia" w:eastAsia="仿宋_GB2312"/>
          <w:sz w:val="32"/>
          <w:szCs w:val="32"/>
          <w:lang w:val="en-US" w:eastAsia="zh-CN"/>
        </w:rPr>
        <w:t>4.43</w:t>
      </w:r>
      <w:r>
        <w:rPr>
          <w:rFonts w:eastAsia="仿宋_GB2312"/>
          <w:sz w:val="32"/>
          <w:szCs w:val="32"/>
        </w:rPr>
        <w:t>万元，下降</w:t>
      </w:r>
      <w:r>
        <w:rPr>
          <w:rFonts w:hint="eastAsia" w:eastAsia="仿宋_GB2312"/>
          <w:sz w:val="32"/>
          <w:szCs w:val="32"/>
          <w:lang w:val="en-US" w:eastAsia="zh-CN"/>
        </w:rPr>
        <w:t>6.87</w:t>
      </w:r>
      <w:r>
        <w:rPr>
          <w:rFonts w:eastAsia="仿宋_GB2312"/>
          <w:sz w:val="32"/>
          <w:szCs w:val="32"/>
        </w:rPr>
        <w:t>%，主要是</w:t>
      </w:r>
      <w:r>
        <w:rPr>
          <w:rFonts w:hint="eastAsia" w:eastAsia="仿宋_GB2312"/>
          <w:sz w:val="32"/>
          <w:szCs w:val="32"/>
          <w:lang w:eastAsia="zh-CN"/>
        </w:rPr>
        <w:t>为压减公用经费开支，降低了租赁费及其他费用支出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（二）“三公”经费预算：</w:t>
      </w:r>
      <w:r>
        <w:rPr>
          <w:rFonts w:eastAsia="仿宋_GB2312"/>
          <w:sz w:val="32"/>
          <w:szCs w:val="32"/>
        </w:rPr>
        <w:t>2021年本单位“三公”经费预算数为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0.1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为</w:t>
      </w:r>
      <w:r>
        <w:rPr>
          <w:rFonts w:eastAsia="仿宋_GB2312"/>
          <w:sz w:val="32"/>
          <w:szCs w:val="32"/>
        </w:rPr>
        <w:t>公务接待费。2021年“三公”经费预算较上年减少</w:t>
      </w:r>
      <w:r>
        <w:rPr>
          <w:rFonts w:hint="eastAsia" w:eastAsia="仿宋_GB2312"/>
          <w:sz w:val="32"/>
          <w:szCs w:val="32"/>
          <w:lang w:val="en-US" w:eastAsia="zh-CN"/>
        </w:rPr>
        <w:t>0.1</w:t>
      </w:r>
      <w:r>
        <w:rPr>
          <w:rFonts w:eastAsia="仿宋_GB2312"/>
          <w:sz w:val="32"/>
          <w:szCs w:val="32"/>
        </w:rPr>
        <w:t>万元，</w:t>
      </w:r>
      <w:r>
        <w:rPr>
          <w:rFonts w:hint="eastAsia" w:eastAsia="仿宋_GB2312"/>
          <w:sz w:val="32"/>
          <w:szCs w:val="32"/>
          <w:lang w:eastAsia="zh-CN"/>
        </w:rPr>
        <w:t>是单位压减经费开支</w:t>
      </w:r>
      <w:r>
        <w:rPr>
          <w:rFonts w:eastAsia="仿宋_GB2312"/>
          <w:sz w:val="32"/>
          <w:szCs w:val="32"/>
        </w:rPr>
        <w:t>。</w:t>
      </w:r>
    </w:p>
    <w:p>
      <w:pPr>
        <w:widowControl/>
        <w:spacing w:line="600" w:lineRule="exact"/>
        <w:ind w:firstLine="660"/>
        <w:rPr>
          <w:rFonts w:eastAsia="仿宋_GB2312"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（三）一般性支出情况：</w:t>
      </w:r>
      <w:r>
        <w:rPr>
          <w:rFonts w:eastAsia="仿宋_GB2312"/>
          <w:kern w:val="0"/>
          <w:sz w:val="32"/>
          <w:szCs w:val="32"/>
        </w:rPr>
        <w:t>2021年本单位</w:t>
      </w:r>
      <w:r>
        <w:rPr>
          <w:rFonts w:hint="eastAsia" w:eastAsia="仿宋_GB2312"/>
          <w:kern w:val="0"/>
          <w:sz w:val="32"/>
          <w:szCs w:val="32"/>
          <w:lang w:eastAsia="zh-CN"/>
        </w:rPr>
        <w:t>无</w:t>
      </w:r>
      <w:r>
        <w:rPr>
          <w:rFonts w:eastAsia="仿宋_GB2312"/>
          <w:kern w:val="0"/>
          <w:sz w:val="32"/>
          <w:szCs w:val="32"/>
        </w:rPr>
        <w:t>会议费预算</w:t>
      </w:r>
      <w:r>
        <w:rPr>
          <w:rFonts w:hint="eastAsia" w:eastAsia="仿宋_GB2312"/>
          <w:kern w:val="0"/>
          <w:sz w:val="32"/>
          <w:szCs w:val="32"/>
          <w:lang w:eastAsia="zh-CN"/>
        </w:rPr>
        <w:t>，无</w:t>
      </w:r>
      <w:r>
        <w:rPr>
          <w:rFonts w:eastAsia="仿宋_GB2312"/>
          <w:kern w:val="0"/>
          <w:sz w:val="32"/>
          <w:szCs w:val="32"/>
        </w:rPr>
        <w:t>培训费预算</w:t>
      </w:r>
      <w:r>
        <w:rPr>
          <w:rFonts w:hint="eastAsia" w:eastAsia="仿宋_GB2312"/>
          <w:kern w:val="0"/>
          <w:sz w:val="32"/>
          <w:szCs w:val="32"/>
          <w:lang w:eastAsia="zh-CN"/>
        </w:rPr>
        <w:t>，无</w:t>
      </w:r>
      <w:r>
        <w:rPr>
          <w:rFonts w:eastAsia="仿宋_GB2312"/>
          <w:kern w:val="0"/>
          <w:sz w:val="32"/>
          <w:szCs w:val="32"/>
        </w:rPr>
        <w:t>节庆、晚会、论坛、赛事</w:t>
      </w:r>
      <w:r>
        <w:rPr>
          <w:rFonts w:hint="eastAsia" w:eastAsia="仿宋_GB2312"/>
          <w:kern w:val="0"/>
          <w:sz w:val="32"/>
          <w:szCs w:val="32"/>
          <w:lang w:eastAsia="zh-CN"/>
        </w:rPr>
        <w:t>等</w:t>
      </w:r>
      <w:r>
        <w:rPr>
          <w:rFonts w:eastAsia="仿宋_GB2312"/>
          <w:kern w:val="0"/>
          <w:sz w:val="32"/>
          <w:szCs w:val="32"/>
        </w:rPr>
        <w:t>活动经费预算。</w:t>
      </w:r>
    </w:p>
    <w:p>
      <w:pPr>
        <w:widowControl/>
        <w:spacing w:line="600" w:lineRule="exact"/>
        <w:ind w:firstLine="660"/>
        <w:rPr>
          <w:rFonts w:hint="eastAsia" w:eastAsia="仿宋_GB2312"/>
          <w:sz w:val="32"/>
          <w:szCs w:val="32"/>
          <w:lang w:eastAsia="zh-CN"/>
        </w:rPr>
      </w:pPr>
      <w:r>
        <w:rPr>
          <w:rFonts w:eastAsia="楷体_GB2312"/>
          <w:b/>
          <w:sz w:val="32"/>
          <w:szCs w:val="32"/>
        </w:rPr>
        <w:t>（四）政府采购情况：</w:t>
      </w:r>
      <w:r>
        <w:rPr>
          <w:rFonts w:eastAsia="仿宋_GB2312"/>
          <w:sz w:val="32"/>
          <w:szCs w:val="32"/>
        </w:rPr>
        <w:t>2021年本部门政府采购预算总额</w:t>
      </w:r>
      <w:r>
        <w:rPr>
          <w:rFonts w:hint="eastAsia" w:eastAsia="仿宋_GB2312"/>
          <w:sz w:val="32"/>
          <w:szCs w:val="32"/>
          <w:u w:val="none"/>
          <w:lang w:val="en-US" w:eastAsia="zh-CN"/>
        </w:rPr>
        <w:t>0</w:t>
      </w:r>
      <w:r>
        <w:rPr>
          <w:rFonts w:eastAsia="仿宋_GB2312"/>
          <w:sz w:val="32"/>
          <w:szCs w:val="32"/>
        </w:rPr>
        <w:t>万元。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sz w:val="32"/>
          <w:szCs w:val="32"/>
        </w:rPr>
        <w:t>（五）国有资产占用使用及新增资产配置情况：</w:t>
      </w:r>
      <w:r>
        <w:rPr>
          <w:rFonts w:eastAsia="仿宋_GB2312"/>
          <w:sz w:val="32"/>
          <w:szCs w:val="32"/>
        </w:rPr>
        <w:t>截至2020年12月底，本单位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无</w:t>
      </w:r>
      <w:r>
        <w:rPr>
          <w:rFonts w:eastAsia="仿宋_GB2312"/>
          <w:bCs/>
          <w:kern w:val="0"/>
          <w:sz w:val="32"/>
          <w:szCs w:val="32"/>
        </w:rPr>
        <w:t>公务用车；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无</w:t>
      </w:r>
      <w:r>
        <w:rPr>
          <w:rFonts w:eastAsia="仿宋_GB2312"/>
          <w:bCs/>
          <w:kern w:val="0"/>
          <w:sz w:val="32"/>
          <w:szCs w:val="32"/>
        </w:rPr>
        <w:t>单位价值50万元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或</w:t>
      </w:r>
      <w:r>
        <w:rPr>
          <w:rFonts w:eastAsia="仿宋_GB2312"/>
          <w:bCs/>
          <w:kern w:val="0"/>
          <w:sz w:val="32"/>
          <w:szCs w:val="32"/>
        </w:rPr>
        <w:t>100万元以上通用设备。2021年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无</w:t>
      </w:r>
      <w:r>
        <w:rPr>
          <w:rFonts w:eastAsia="仿宋_GB2312"/>
          <w:bCs/>
          <w:kern w:val="0"/>
          <w:sz w:val="32"/>
          <w:szCs w:val="32"/>
        </w:rPr>
        <w:t>新增配置公务用车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计划</w:t>
      </w:r>
      <w:r>
        <w:rPr>
          <w:rFonts w:eastAsia="仿宋_GB2312"/>
          <w:bCs/>
          <w:kern w:val="0"/>
          <w:sz w:val="32"/>
          <w:szCs w:val="32"/>
        </w:rPr>
        <w:t>；</w:t>
      </w:r>
      <w:r>
        <w:rPr>
          <w:rFonts w:hint="eastAsia" w:eastAsia="仿宋_GB2312"/>
          <w:bCs/>
          <w:kern w:val="0"/>
          <w:sz w:val="32"/>
          <w:szCs w:val="32"/>
          <w:lang w:eastAsia="zh-CN"/>
        </w:rPr>
        <w:t>无</w:t>
      </w:r>
      <w:r>
        <w:rPr>
          <w:rFonts w:eastAsia="仿宋_GB2312"/>
          <w:bCs/>
          <w:kern w:val="0"/>
          <w:sz w:val="32"/>
          <w:szCs w:val="32"/>
        </w:rPr>
        <w:t>新增配备单位价值50万元以上通用设备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和</w:t>
      </w:r>
      <w:r>
        <w:rPr>
          <w:rFonts w:eastAsia="仿宋_GB2312"/>
          <w:bCs/>
          <w:kern w:val="0"/>
          <w:sz w:val="32"/>
          <w:szCs w:val="32"/>
        </w:rPr>
        <w:t>单位价值100万元以上专用设备。</w:t>
      </w:r>
    </w:p>
    <w:p>
      <w:pPr>
        <w:widowControl/>
        <w:spacing w:line="600" w:lineRule="exact"/>
        <w:ind w:firstLine="660"/>
        <w:jc w:val="left"/>
        <w:rPr>
          <w:rFonts w:eastAsia="仿宋_GB2312"/>
          <w:bCs/>
          <w:kern w:val="0"/>
          <w:sz w:val="32"/>
          <w:szCs w:val="32"/>
        </w:rPr>
      </w:pPr>
      <w:r>
        <w:rPr>
          <w:rFonts w:eastAsia="楷体_GB2312"/>
          <w:b/>
          <w:bCs/>
          <w:kern w:val="0"/>
          <w:sz w:val="32"/>
          <w:szCs w:val="32"/>
        </w:rPr>
        <w:t>（六）预算绩效目标说明：</w:t>
      </w:r>
      <w:r>
        <w:rPr>
          <w:rFonts w:eastAsia="仿宋_GB2312"/>
          <w:bCs/>
          <w:kern w:val="0"/>
          <w:sz w:val="32"/>
          <w:szCs w:val="32"/>
        </w:rPr>
        <w:t>本单位所有支出实行绩效目标管理。纳入2021年单位整体支出绩效目标的金额为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219.83</w:t>
      </w:r>
      <w:r>
        <w:rPr>
          <w:rFonts w:eastAsia="仿宋_GB2312"/>
          <w:bCs/>
          <w:kern w:val="0"/>
          <w:sz w:val="32"/>
          <w:szCs w:val="32"/>
        </w:rPr>
        <w:t>万元，其中，基本支出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219.83</w:t>
      </w:r>
      <w:r>
        <w:rPr>
          <w:rFonts w:eastAsia="仿宋_GB2312"/>
          <w:bCs/>
          <w:kern w:val="0"/>
          <w:sz w:val="32"/>
          <w:szCs w:val="32"/>
        </w:rPr>
        <w:t>万元，项目支出</w:t>
      </w:r>
      <w:r>
        <w:rPr>
          <w:rFonts w:hint="eastAsia" w:eastAsia="仿宋_GB2312"/>
          <w:bCs/>
          <w:kern w:val="0"/>
          <w:sz w:val="32"/>
          <w:szCs w:val="32"/>
          <w:lang w:val="en-US" w:eastAsia="zh-CN"/>
        </w:rPr>
        <w:t>0</w:t>
      </w:r>
      <w:r>
        <w:rPr>
          <w:rFonts w:eastAsia="仿宋_GB2312"/>
          <w:bCs/>
          <w:kern w:val="0"/>
          <w:sz w:val="32"/>
          <w:szCs w:val="32"/>
        </w:rPr>
        <w:t>万元，具体绩效目标详见报表。</w:t>
      </w:r>
    </w:p>
    <w:p>
      <w:pPr>
        <w:widowControl/>
        <w:spacing w:line="600" w:lineRule="exact"/>
        <w:ind w:firstLine="660"/>
        <w:rPr>
          <w:rFonts w:eastAsia="黑体"/>
          <w:sz w:val="32"/>
          <w:szCs w:val="32"/>
        </w:rPr>
      </w:pPr>
      <w:r>
        <w:rPr>
          <w:rFonts w:eastAsia="黑体"/>
          <w:sz w:val="32"/>
          <w:szCs w:val="32"/>
        </w:rPr>
        <w:t>六、名词解释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机关运行经费：是指各部门的公用经费，包括办公及印刷费、邮电费、差旅费、会议费、福利费、日常维修费、专用资料及一般设备购置费、办公用房水电费、办公用房取暖费、办公用房物业管理费、公务用车运行维护费以及其他费用。</w:t>
      </w:r>
    </w:p>
    <w:p>
      <w:pPr>
        <w:widowControl/>
        <w:spacing w:line="600" w:lineRule="exact"/>
        <w:ind w:firstLine="66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“三公”经费：纳入省（市/县）财政预算管理的“三公“经费，是指用一般公共预算拨款安排的公务接待费、公务用车购置及运行维护费和因公出国（境）费。其中，公务接待费反映单位按规定开支的各类公务接待支出；公务用车购置及运行费反映单位公务用车车辆购置支出（含车辆购置税），以及燃料费、维修费、保险费等支出；因公出国（境）费反映单位公务出国（境）的国际旅费、国外城市间交通费、住宿费、伙食费、培训费、公杂费等等支出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spacing w:line="600" w:lineRule="exac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720" w:firstLineChars="200"/>
        <w:jc w:val="center"/>
        <w:rPr>
          <w:rFonts w:eastAsia="方正小标宋_GBK"/>
          <w:bCs/>
          <w:kern w:val="0"/>
          <w:sz w:val="36"/>
          <w:szCs w:val="36"/>
        </w:rPr>
      </w:pPr>
      <w:r>
        <w:rPr>
          <w:rFonts w:eastAsia="方正小标宋_GBK"/>
          <w:bCs/>
          <w:kern w:val="0"/>
          <w:sz w:val="36"/>
          <w:szCs w:val="36"/>
        </w:rPr>
        <w:t>第二部分 2021年单位预算表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1、收支总表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2、收入总表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3、支出总表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4、支出预算分类汇总表（按政府预算经济分类）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5、支出预算分类汇总表（按部门预算经济分类）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6、财政拨款收支总表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7、一般公共预算支出表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8、一般公共预算基本支出表-人员经费（工资福利支出）（按政府预算经济分类）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9、一般公共预算基本支出表-人员经费（工资福利支出）（按部门预算经济分类）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10、一般公共预算基本支出表-人员经费（对个人和家庭的补助）（按政府预算经济分类）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11、一般公共预算基本支出表-人员经费（对个人和家庭的补助）（按部门预算经济分类）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12、一般公共预算基本支出表-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13、一般公共预算基本支出表-</w:t>
      </w:r>
      <w:r>
        <w:rPr>
          <w:rFonts w:hint="eastAsia" w:eastAsia="仿宋_GB2312"/>
          <w:sz w:val="32"/>
          <w:szCs w:val="32"/>
        </w:rPr>
        <w:t>公用</w:t>
      </w:r>
      <w:r>
        <w:rPr>
          <w:rFonts w:eastAsia="仿宋_GB2312"/>
          <w:sz w:val="32"/>
          <w:szCs w:val="32"/>
        </w:rPr>
        <w:t>经费（商品和服务支出）（按部门预算经济分类）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14、一般公共预算“三公”经费支出表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15、政府性基金预算支出表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16、政府性基金预算支出分类汇总表（按政府预算经济分类）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17、政府性基金预算支出分类汇总表（按部门预算经济分类）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18、国有资本经营预算支出表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19、财政专户管理资金预算支出表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20、省级专项资金预算汇总表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21、省级专项资金绩效目标表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22、其他项目支出绩效目标表</w:t>
      </w:r>
    </w:p>
    <w:p>
      <w:pPr>
        <w:widowControl/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23、部门整体支出绩效目标表</w:t>
      </w:r>
    </w:p>
    <w:p>
      <w:pPr>
        <w:widowControl/>
        <w:spacing w:line="600" w:lineRule="exact"/>
        <w:ind w:firstLine="640" w:firstLineChars="200"/>
        <w:rPr>
          <w:rFonts w:eastAsia="仿宋_GB2312"/>
          <w:bCs/>
          <w:kern w:val="0"/>
          <w:sz w:val="32"/>
          <w:szCs w:val="32"/>
        </w:rPr>
      </w:pPr>
      <w:r>
        <w:rPr>
          <w:rFonts w:eastAsia="仿宋_GB2312"/>
          <w:bCs/>
          <w:kern w:val="0"/>
          <w:sz w:val="32"/>
          <w:szCs w:val="32"/>
        </w:rPr>
        <w:t>注：以上部门预算报表中，空表表示本单位无相关收支情况。</w:t>
      </w: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>
      <w:pPr>
        <w:widowControl/>
        <w:spacing w:line="600" w:lineRule="exact"/>
        <w:jc w:val="left"/>
        <w:rPr>
          <w:rFonts w:eastAsia="黑体"/>
          <w:sz w:val="32"/>
          <w:szCs w:val="32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_GBK">
    <w:altName w:val="微软雅黑"/>
    <w:panose1 w:val="03000509000000000000"/>
    <w:charset w:val="86"/>
    <w:family w:val="script"/>
    <w:pitch w:val="default"/>
    <w:sig w:usb0="00000000" w:usb1="00000000" w:usb2="0000001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F05D0975"/>
    <w:multiLevelType w:val="singleLevel"/>
    <w:tmpl w:val="F05D0975"/>
    <w:lvl w:ilvl="0" w:tentative="0">
      <w:start w:val="2"/>
      <w:numFmt w:val="chineseCounting"/>
      <w:suff w:val="nothing"/>
      <w:lvlText w:val="（%1）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2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zg1Mzc4YmU1ZGYxNGRiODM0YWUyZWNjZmI0NDhmNmMifQ=="/>
  </w:docVars>
  <w:rsids>
    <w:rsidRoot w:val="00000000"/>
    <w:rsid w:val="038E7C38"/>
    <w:rsid w:val="06B1604C"/>
    <w:rsid w:val="06C322EC"/>
    <w:rsid w:val="075E3EF2"/>
    <w:rsid w:val="117F3072"/>
    <w:rsid w:val="13750A72"/>
    <w:rsid w:val="13B123A8"/>
    <w:rsid w:val="13F120CD"/>
    <w:rsid w:val="14D864B2"/>
    <w:rsid w:val="17E8021E"/>
    <w:rsid w:val="19011BAD"/>
    <w:rsid w:val="20644CCB"/>
    <w:rsid w:val="20C51547"/>
    <w:rsid w:val="22F45F92"/>
    <w:rsid w:val="232543C5"/>
    <w:rsid w:val="248E33D3"/>
    <w:rsid w:val="24E2361B"/>
    <w:rsid w:val="254055FC"/>
    <w:rsid w:val="273A5409"/>
    <w:rsid w:val="2AC20529"/>
    <w:rsid w:val="31EE2E37"/>
    <w:rsid w:val="34194F5A"/>
    <w:rsid w:val="37CD411D"/>
    <w:rsid w:val="396E5FCE"/>
    <w:rsid w:val="3D1973A4"/>
    <w:rsid w:val="40801AC6"/>
    <w:rsid w:val="43393C0E"/>
    <w:rsid w:val="449F4C2B"/>
    <w:rsid w:val="44EF4885"/>
    <w:rsid w:val="45DE5475"/>
    <w:rsid w:val="48876140"/>
    <w:rsid w:val="4D74181B"/>
    <w:rsid w:val="4DCC5A88"/>
    <w:rsid w:val="4E6518B6"/>
    <w:rsid w:val="4E7B5046"/>
    <w:rsid w:val="4F7907E1"/>
    <w:rsid w:val="538B6421"/>
    <w:rsid w:val="54972972"/>
    <w:rsid w:val="56C50C3F"/>
    <w:rsid w:val="5DA544B6"/>
    <w:rsid w:val="5E9C5E41"/>
    <w:rsid w:val="5FB90688"/>
    <w:rsid w:val="61D055E0"/>
    <w:rsid w:val="629B0519"/>
    <w:rsid w:val="66975D29"/>
    <w:rsid w:val="67496022"/>
    <w:rsid w:val="714A2535"/>
    <w:rsid w:val="71E37E4A"/>
    <w:rsid w:val="73637AF8"/>
    <w:rsid w:val="7541041D"/>
    <w:rsid w:val="77537407"/>
    <w:rsid w:val="78E82D82"/>
    <w:rsid w:val="7F3E51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Calibri" w:hAnsi="Calibri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2111</Words>
  <Characters>2269</Characters>
  <Lines>0</Lines>
  <Paragraphs>0</Paragraphs>
  <TotalTime>2</TotalTime>
  <ScaleCrop>false</ScaleCrop>
  <LinksUpToDate>false</LinksUpToDate>
  <CharactersWithSpaces>2275</CharactersWithSpaces>
  <Application>WPS Office_11.1.0.11365_F1E327BC-269C-435d-A152-05C5408002CA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2021-02-24T08:37:00Z</dcterms:created>
  <dc:creator>Administrator</dc:creator>
  <cp:lastModifiedBy>李凌</cp:lastModifiedBy>
  <dcterms:modified xsi:type="dcterms:W3CDTF">2022-09-07T00:56:16Z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2052-11.1.0.11365</vt:lpwstr>
  </property>
  <property fmtid="{D5CDD505-2E9C-101B-9397-08002B2CF9AE}" pid="3" name="ICV">
    <vt:lpwstr>FBEDB5A48E264FB19B8B6C5E58BA7D5F</vt:lpwstr>
  </property>
</Properties>
</file>