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</w:rPr>
      </w:pPr>
      <w:r>
        <w:rPr>
          <w:rFonts w:hint="eastAsia" w:eastAsia="方正小标宋_GBK"/>
          <w:bCs/>
          <w:kern w:val="0"/>
          <w:sz w:val="36"/>
          <w:szCs w:val="36"/>
        </w:rPr>
        <w:t>2021年湖南省汽车技师学院单位预算</w:t>
      </w:r>
    </w:p>
    <w:p>
      <w:pPr>
        <w:pStyle w:val="2"/>
        <w:ind w:left="560"/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pStyle w:val="2"/>
        <w:ind w:left="851" w:leftChars="0" w:hanging="851" w:hangingChars="266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pStyle w:val="2"/>
        <w:ind w:left="851" w:leftChars="0" w:hanging="851" w:hangingChars="266"/>
        <w:rPr>
          <w:rFonts w:eastAsia="仿宋_GB2312"/>
          <w:bCs/>
          <w:kern w:val="0"/>
          <w:sz w:val="32"/>
          <w:szCs w:val="32"/>
        </w:rPr>
      </w:pPr>
    </w:p>
    <w:p>
      <w:pPr>
        <w:pStyle w:val="2"/>
        <w:ind w:left="851" w:leftChars="0" w:hanging="851" w:hangingChars="266"/>
        <w:rPr>
          <w:rFonts w:eastAsia="仿宋_GB2312"/>
          <w:bCs/>
          <w:kern w:val="0"/>
          <w:sz w:val="32"/>
          <w:szCs w:val="32"/>
        </w:rPr>
      </w:pPr>
    </w:p>
    <w:p>
      <w:pPr>
        <w:pStyle w:val="2"/>
        <w:ind w:left="851" w:leftChars="0" w:hanging="851" w:hangingChars="266"/>
        <w:rPr>
          <w:rFonts w:eastAsia="仿宋_GB2312"/>
          <w:bCs/>
          <w:kern w:val="0"/>
          <w:sz w:val="32"/>
          <w:szCs w:val="32"/>
        </w:rPr>
      </w:pPr>
    </w:p>
    <w:p>
      <w:pPr>
        <w:pStyle w:val="2"/>
        <w:ind w:left="851" w:leftChars="0" w:hanging="851" w:hangingChars="266"/>
        <w:rPr>
          <w:rFonts w:eastAsia="仿宋_GB2312"/>
          <w:bCs/>
          <w:kern w:val="0"/>
          <w:sz w:val="32"/>
          <w:szCs w:val="32"/>
        </w:rPr>
      </w:pPr>
    </w:p>
    <w:p>
      <w:pPr>
        <w:pStyle w:val="2"/>
        <w:ind w:left="851" w:leftChars="0" w:hanging="851" w:hangingChars="266"/>
        <w:rPr>
          <w:rFonts w:eastAsia="仿宋_GB2312"/>
          <w:bCs/>
          <w:kern w:val="0"/>
          <w:sz w:val="32"/>
          <w:szCs w:val="32"/>
        </w:rPr>
      </w:pPr>
    </w:p>
    <w:p>
      <w:pPr>
        <w:pStyle w:val="2"/>
        <w:ind w:left="851" w:leftChars="0" w:hanging="851" w:hangingChars="266"/>
        <w:rPr>
          <w:rFonts w:eastAsia="仿宋_GB2312"/>
          <w:bCs/>
          <w:kern w:val="0"/>
          <w:sz w:val="32"/>
          <w:szCs w:val="32"/>
        </w:rPr>
      </w:pPr>
    </w:p>
    <w:p>
      <w:pPr>
        <w:pStyle w:val="2"/>
        <w:ind w:left="558" w:leftChars="0" w:hanging="558" w:hangingChars="266"/>
      </w:pPr>
    </w:p>
    <w:p>
      <w:pPr>
        <w:pStyle w:val="2"/>
        <w:ind w:left="558" w:leftChars="0" w:hanging="558" w:hangingChars="266"/>
      </w:pPr>
    </w:p>
    <w:p>
      <w:pPr>
        <w:pStyle w:val="2"/>
        <w:ind w:left="558" w:leftChars="0" w:hanging="558" w:hangingChars="266"/>
      </w:pPr>
    </w:p>
    <w:p>
      <w:pPr>
        <w:pStyle w:val="2"/>
        <w:ind w:left="558" w:leftChars="0" w:hanging="558" w:hangingChars="266"/>
      </w:pPr>
    </w:p>
    <w:p>
      <w:pPr>
        <w:pStyle w:val="2"/>
        <w:ind w:left="0" w:leftChars="0" w:firstLine="0" w:firstLineChars="0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asciiTheme="minorEastAsia" w:hAnsiTheme="minorEastAsia" w:eastAsiaTheme="minorEastAsia"/>
          <w:b/>
          <w:sz w:val="30"/>
          <w:szCs w:val="30"/>
        </w:rPr>
        <w:t>第一部分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2021年单位预算说明</w:t>
      </w:r>
    </w:p>
    <w:p>
      <w:pPr>
        <w:widowControl/>
        <w:spacing w:before="156" w:beforeLines="50"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</w:t>
      </w:r>
      <w:r>
        <w:rPr>
          <w:rFonts w:eastAsia="楷体_GB2312"/>
          <w:b/>
          <w:sz w:val="32"/>
          <w:szCs w:val="32"/>
        </w:rPr>
        <w:t>职能职责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学院从事机械技术工人培训，主要培养中、高级技术人才，招生层次包括初中毕业生、高中毕业生。中等技工教育属于中等教育，培养中等技术工人，层次上相当于高中；高级技工属于高等职业教育，培养高技技术工人，与大学专科同等层次。</w:t>
      </w:r>
    </w:p>
    <w:p>
      <w:pPr>
        <w:widowControl/>
        <w:spacing w:line="600" w:lineRule="exact"/>
        <w:ind w:firstLine="643" w:firstLineChars="200"/>
        <w:jc w:val="left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(二)</w:t>
      </w:r>
      <w:r>
        <w:rPr>
          <w:rFonts w:eastAsia="楷体_GB2312"/>
          <w:b/>
          <w:sz w:val="32"/>
          <w:szCs w:val="32"/>
        </w:rPr>
        <w:t>机构设置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学院坐落在邵阳市宝庆东路158号，现占地151.35亩，建筑面积11.25万平方米，总资产1亿余元，实训教学设备原值4000多万元。设有长沙校区和智能制造、电气、经管、汽车4个系，学制教育在校学生6500名。建立了以汽车检测与维修、汽车装配与调试、汽车电气与信息化技术、模具制造与设计、数控加工与维修为龙头，车、钳、电、焊、商贸和管理事务类专业为基础的专业设置新格局，开设了基本覆盖汽车产业链所需的16个专业工种，建有汽车检测与维修、汽车电气与信息化技术、模具技术、钳工、焊接技术、数控加工、车工技术、自动化技术、模具拆装测绘、电子技术等30个实训中心（室）。</w:t>
      </w:r>
    </w:p>
    <w:p>
      <w:pPr>
        <w:pStyle w:val="2"/>
        <w:ind w:left="0" w:leftChars="0" w:firstLine="640" w:firstLineChars="200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湖南省汽车技师学院2021年单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位预算公开单位构成包括：湖南省汽车技师学院本级1家。</w:t>
      </w:r>
    </w:p>
    <w:p>
      <w:pPr>
        <w:widowControl/>
        <w:spacing w:line="600" w:lineRule="exact"/>
        <w:ind w:firstLine="627" w:firstLineChars="196"/>
        <w:jc w:val="left"/>
        <w:rPr>
          <w:rFonts w:ascii="黑体" w:hAnsi="黑体" w:eastAsia="黑体" w:cs="仿宋_GB2312"/>
          <w:bCs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bCs/>
          <w:kern w:val="0"/>
          <w:sz w:val="32"/>
          <w:szCs w:val="32"/>
        </w:rPr>
        <w:t>二、单位收支总体情况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包括一般公共预算、政府性基金、国有资本经营预算等财政拨款收入，以及经营收入、事业收入等单位资金。2021年本单位收入预算</w:t>
      </w:r>
      <w:r>
        <w:rPr>
          <w:rFonts w:hint="eastAsia" w:eastAsia="仿宋_GB2312"/>
          <w:sz w:val="32"/>
          <w:szCs w:val="32"/>
        </w:rPr>
        <w:t>4414.67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2372.47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hint="eastAsia" w:eastAsia="仿宋_GB2312"/>
          <w:sz w:val="32"/>
          <w:szCs w:val="32"/>
        </w:rPr>
        <w:t>1000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，上年结转结余1042.2万元，</w:t>
      </w:r>
      <w:r>
        <w:rPr>
          <w:rFonts w:eastAsia="仿宋_GB2312"/>
          <w:sz w:val="32"/>
          <w:szCs w:val="32"/>
        </w:rPr>
        <w:t>收入较去年减少</w:t>
      </w:r>
      <w:r>
        <w:rPr>
          <w:rFonts w:hint="eastAsia" w:eastAsia="仿宋_GB2312"/>
          <w:sz w:val="32"/>
          <w:szCs w:val="32"/>
        </w:rPr>
        <w:t>1521.02</w:t>
      </w:r>
      <w:r>
        <w:rPr>
          <w:rFonts w:eastAsia="仿宋_GB2312"/>
          <w:sz w:val="32"/>
          <w:szCs w:val="32"/>
        </w:rPr>
        <w:t>万元，主要</w:t>
      </w:r>
      <w:r>
        <w:rPr>
          <w:rFonts w:hint="eastAsia" w:eastAsia="仿宋_GB2312"/>
          <w:sz w:val="32"/>
          <w:szCs w:val="32"/>
        </w:rPr>
        <w:t>原因如下：</w:t>
      </w:r>
    </w:p>
    <w:p>
      <w:pPr>
        <w:widowControl/>
        <w:spacing w:line="60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1、去年省级中职免学费补助资金768.45万元和中央中职免学费补助资金375.63万元提前编入单位预算，而2021年度中职免学费补助资金未提前编入单位预算；</w:t>
      </w:r>
    </w:p>
    <w:p>
      <w:pPr>
        <w:widowControl/>
        <w:spacing w:line="60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2、因房屋租赁合同到期，国有资源（资产）有偿使用收入减少103.4万元。</w:t>
      </w:r>
    </w:p>
    <w:p>
      <w:pPr>
        <w:widowControl/>
        <w:spacing w:line="60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3、2021年度预计招生人数比去年减少200人，</w:t>
      </w:r>
      <w:r>
        <w:rPr>
          <w:rFonts w:eastAsia="仿宋_GB2312"/>
          <w:sz w:val="32"/>
          <w:szCs w:val="32"/>
        </w:rPr>
        <w:t>纳入专户管理的非税收入</w:t>
      </w:r>
      <w:r>
        <w:rPr>
          <w:rFonts w:hint="eastAsia" w:eastAsia="仿宋_GB2312"/>
          <w:sz w:val="32"/>
          <w:szCs w:val="32"/>
        </w:rPr>
        <w:t>减少120万元。</w:t>
      </w:r>
    </w:p>
    <w:p>
      <w:pPr>
        <w:widowControl/>
        <w:spacing w:line="60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</w:t>
      </w:r>
      <w:r>
        <w:rPr>
          <w:rFonts w:eastAsia="楷体_GB2312"/>
          <w:b/>
          <w:sz w:val="32"/>
          <w:szCs w:val="32"/>
        </w:rPr>
        <w:t>支出预算：</w:t>
      </w:r>
      <w:r>
        <w:rPr>
          <w:rFonts w:hint="eastAsia" w:eastAsia="仿宋_GB2312"/>
          <w:sz w:val="32"/>
          <w:szCs w:val="32"/>
        </w:rPr>
        <w:t>2021年本单位支出预算4414.67万元，</w:t>
      </w:r>
    </w:p>
    <w:p>
      <w:pPr>
        <w:widowControl/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其中，教育3454.67万元，社会保障和就业支出370万元，卫生健康支出220万元，住房保障支出370万元。支出较去年减少1521.02万元，主要原因如下：</w:t>
      </w:r>
    </w:p>
    <w:p>
      <w:pPr>
        <w:widowControl/>
        <w:spacing w:line="60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2021年度中央和省级中职免学费补助资金未提前编入单位预算，比去年减少1144.08万元。</w:t>
      </w:r>
    </w:p>
    <w:p>
      <w:pPr>
        <w:widowControl/>
        <w:numPr>
          <w:ilvl w:val="0"/>
          <w:numId w:val="1"/>
        </w:numPr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一般公共预算拨款支出</w:t>
      </w:r>
    </w:p>
    <w:p>
      <w:pPr>
        <w:widowControl/>
        <w:spacing w:line="6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</w:t>
      </w:r>
      <w:r>
        <w:rPr>
          <w:rFonts w:hint="eastAsia" w:eastAsia="仿宋_GB2312"/>
          <w:sz w:val="32"/>
          <w:szCs w:val="32"/>
        </w:rPr>
        <w:t>支出预算3414.67万元，其中，教育2764.67万元，占81.05%；社会保障和就业支出250万元，占7.32%；卫生健康支出150万元，占4.39%；住房保障支出250万元，占7.32%。具体</w:t>
      </w:r>
      <w:r>
        <w:rPr>
          <w:rFonts w:eastAsia="仿宋_GB2312"/>
          <w:sz w:val="32"/>
          <w:szCs w:val="32"/>
        </w:rPr>
        <w:t>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</w:t>
      </w:r>
      <w:r>
        <w:rPr>
          <w:rFonts w:hint="eastAsia" w:eastAsia="仿宋_GB2312"/>
          <w:sz w:val="32"/>
          <w:szCs w:val="32"/>
        </w:rPr>
        <w:t>预算数2372.47万元，主要是为保障单位机构正常运转、完成日常工作任务</w:t>
      </w:r>
      <w:r>
        <w:rPr>
          <w:rFonts w:eastAsia="仿宋_GB2312"/>
          <w:sz w:val="32"/>
          <w:szCs w:val="32"/>
        </w:rPr>
        <w:t>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2021年本单位项目支出</w:t>
      </w:r>
      <w:r>
        <w:rPr>
          <w:rFonts w:hint="eastAsia" w:eastAsia="仿宋_GB2312"/>
          <w:sz w:val="32"/>
          <w:szCs w:val="32"/>
        </w:rPr>
        <w:t>预算1042.2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</w:t>
      </w:r>
      <w:r>
        <w:rPr>
          <w:rFonts w:hint="eastAsia" w:eastAsia="仿宋_GB2312"/>
          <w:sz w:val="32"/>
          <w:szCs w:val="32"/>
        </w:rPr>
        <w:t>中：按项目管理的商品和服务支出1042.2万</w:t>
      </w:r>
      <w:r>
        <w:rPr>
          <w:rFonts w:eastAsia="仿宋_GB2312"/>
          <w:sz w:val="32"/>
          <w:szCs w:val="32"/>
        </w:rPr>
        <w:t>元，主要用于</w:t>
      </w:r>
      <w:r>
        <w:rPr>
          <w:rFonts w:hint="eastAsia" w:eastAsia="仿宋_GB2312"/>
          <w:sz w:val="32"/>
          <w:szCs w:val="32"/>
        </w:rPr>
        <w:t>人员经费和日常运行支出</w:t>
      </w:r>
      <w:r>
        <w:rPr>
          <w:rFonts w:eastAsia="仿宋_GB2312"/>
          <w:sz w:val="32"/>
          <w:szCs w:val="32"/>
        </w:rPr>
        <w:t>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无政府性基金安排的支出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2021年本单位机关运行经费</w:t>
      </w:r>
      <w:r>
        <w:rPr>
          <w:rFonts w:hint="eastAsia" w:eastAsia="仿宋_GB2312"/>
          <w:sz w:val="32"/>
          <w:szCs w:val="32"/>
          <w:u w:val="single"/>
        </w:rPr>
        <w:t>186</w:t>
      </w:r>
      <w:r>
        <w:rPr>
          <w:rFonts w:eastAsia="仿宋_GB2312"/>
          <w:sz w:val="32"/>
          <w:szCs w:val="32"/>
        </w:rPr>
        <w:t>万元，比上年预算减少</w:t>
      </w:r>
      <w:r>
        <w:rPr>
          <w:rFonts w:hint="eastAsia" w:eastAsia="仿宋_GB2312"/>
          <w:sz w:val="32"/>
          <w:szCs w:val="32"/>
        </w:rPr>
        <w:t>54</w:t>
      </w:r>
      <w:r>
        <w:rPr>
          <w:rFonts w:eastAsia="仿宋_GB2312"/>
          <w:sz w:val="32"/>
          <w:szCs w:val="32"/>
        </w:rPr>
        <w:t>万元，下降</w:t>
      </w:r>
      <w:r>
        <w:rPr>
          <w:rFonts w:hint="eastAsia" w:eastAsia="仿宋_GB2312"/>
          <w:sz w:val="32"/>
          <w:szCs w:val="32"/>
        </w:rPr>
        <w:t>22.5</w:t>
      </w:r>
      <w:r>
        <w:rPr>
          <w:rFonts w:eastAsia="仿宋_GB2312"/>
          <w:sz w:val="32"/>
          <w:szCs w:val="32"/>
        </w:rPr>
        <w:t>%，主要是</w:t>
      </w:r>
      <w:r>
        <w:rPr>
          <w:rFonts w:hint="eastAsia" w:eastAsia="仿宋_GB2312"/>
          <w:sz w:val="32"/>
          <w:szCs w:val="32"/>
        </w:rPr>
        <w:t>因为2021年度中央和省级中职免学费补助资金未提前编入单位预算，所以预算经费不足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万元，其中，公务用车购置及运行费</w:t>
      </w:r>
      <w:r>
        <w:rPr>
          <w:rFonts w:hint="eastAsia"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万元（其中，公务用车运行费</w:t>
      </w:r>
      <w:r>
        <w:rPr>
          <w:rFonts w:hint="eastAsia"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万元）。2021年“三公”经费预算较上年减少</w:t>
      </w:r>
      <w:r>
        <w:rPr>
          <w:rFonts w:hint="eastAsia" w:eastAsia="仿宋_GB2312"/>
          <w:sz w:val="32"/>
          <w:szCs w:val="32"/>
        </w:rPr>
        <w:t>24</w:t>
      </w:r>
      <w:r>
        <w:rPr>
          <w:rFonts w:eastAsia="仿宋_GB2312"/>
          <w:sz w:val="32"/>
          <w:szCs w:val="32"/>
        </w:rPr>
        <w:t>万元，主要</w:t>
      </w:r>
      <w:r>
        <w:rPr>
          <w:rFonts w:hint="eastAsia" w:eastAsia="仿宋_GB2312"/>
          <w:sz w:val="32"/>
          <w:szCs w:val="32"/>
        </w:rPr>
        <w:t>原因如下：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1、公</w:t>
      </w:r>
      <w:r>
        <w:rPr>
          <w:rFonts w:eastAsia="仿宋_GB2312"/>
          <w:sz w:val="32"/>
          <w:szCs w:val="32"/>
        </w:rPr>
        <w:t>务接待费</w:t>
      </w:r>
      <w:r>
        <w:rPr>
          <w:rFonts w:hint="eastAsia" w:eastAsia="仿宋_GB2312"/>
          <w:sz w:val="32"/>
          <w:szCs w:val="32"/>
        </w:rPr>
        <w:t>编入非税支出；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2、严格控制公务用车，</w:t>
      </w:r>
      <w:r>
        <w:rPr>
          <w:rFonts w:eastAsia="仿宋_GB2312"/>
          <w:sz w:val="32"/>
          <w:szCs w:val="32"/>
        </w:rPr>
        <w:t>公务用车购置及运行费</w:t>
      </w:r>
      <w:r>
        <w:rPr>
          <w:rFonts w:hint="eastAsia" w:eastAsia="仿宋_GB2312"/>
          <w:sz w:val="32"/>
          <w:szCs w:val="32"/>
        </w:rPr>
        <w:t>减少4万元。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2021年本单位会议费预算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人，内容为……；培训费预算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10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  <w:u w:val="single"/>
        </w:rPr>
        <w:t>5次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hint="eastAsia" w:eastAsia="仿宋_GB2312"/>
          <w:sz w:val="32"/>
          <w:szCs w:val="32"/>
          <w:u w:val="single"/>
        </w:rPr>
        <w:t>430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kern w:val="0"/>
          <w:sz w:val="32"/>
          <w:szCs w:val="32"/>
        </w:rPr>
        <w:t>师资培训4万元、党务工作人员培训1万元、中层以上干部培训2万元、科研培训1万元、班主任培训2万</w:t>
      </w:r>
      <w:r>
        <w:rPr>
          <w:rFonts w:eastAsia="仿宋_GB2312"/>
          <w:kern w:val="0"/>
          <w:sz w:val="32"/>
          <w:szCs w:val="32"/>
        </w:rPr>
        <w:t>；拟举办</w:t>
      </w:r>
      <w:r>
        <w:rPr>
          <w:rFonts w:hint="eastAsia" w:eastAsia="仿宋_GB2312"/>
          <w:sz w:val="32"/>
          <w:szCs w:val="32"/>
          <w:u w:val="single"/>
        </w:rPr>
        <w:t>0次</w:t>
      </w:r>
      <w:r>
        <w:rPr>
          <w:rFonts w:eastAsia="仿宋_GB2312"/>
          <w:kern w:val="0"/>
          <w:sz w:val="32"/>
          <w:szCs w:val="32"/>
        </w:rPr>
        <w:t>等节庆、晚会、论坛、赛事活动，经费预算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hint="eastAsia" w:eastAsia="仿宋_GB2312"/>
          <w:sz w:val="32"/>
          <w:szCs w:val="32"/>
          <w:u w:val="single"/>
        </w:rPr>
        <w:tab/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3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1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</w:t>
      </w:r>
      <w:r>
        <w:rPr>
          <w:rFonts w:hint="eastAsia" w:eastAsia="仿宋_GB2312"/>
          <w:bCs/>
          <w:kern w:val="0"/>
          <w:sz w:val="32"/>
          <w:szCs w:val="32"/>
        </w:rPr>
        <w:t>，待处置车辆2辆</w:t>
      </w:r>
      <w:r>
        <w:rPr>
          <w:rFonts w:eastAsia="仿宋_GB2312"/>
          <w:bCs/>
          <w:kern w:val="0"/>
          <w:sz w:val="32"/>
          <w:szCs w:val="32"/>
        </w:rPr>
        <w:t>；单位价值50万元以上通用设备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台。2021年拟新增配置公务用车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sz w:val="32"/>
          <w:szCs w:val="32"/>
          <w:u w:val="single"/>
        </w:rPr>
        <w:t>4414.67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single"/>
        </w:rPr>
        <w:t>3372.47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single"/>
        </w:rPr>
        <w:t>1042.2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9E1991"/>
    <w:multiLevelType w:val="singleLevel"/>
    <w:tmpl w:val="869E199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RjNzI0YmE5NDcyOWJiYWMyYjEwM2I1ODE4YzE1MTYifQ=="/>
  </w:docVars>
  <w:rsids>
    <w:rsidRoot w:val="00BC59E9"/>
    <w:rsid w:val="00B24B86"/>
    <w:rsid w:val="00BC59E9"/>
    <w:rsid w:val="02D73205"/>
    <w:rsid w:val="0363688D"/>
    <w:rsid w:val="03776567"/>
    <w:rsid w:val="1DB26B38"/>
    <w:rsid w:val="31E45A1D"/>
    <w:rsid w:val="3746301B"/>
    <w:rsid w:val="3E073759"/>
    <w:rsid w:val="449B2DB5"/>
    <w:rsid w:val="5A0E2A98"/>
    <w:rsid w:val="6297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ind w:left="420" w:leftChars="200"/>
    </w:pPr>
    <w:rPr>
      <w:rFonts w:hint="eastAsia"/>
      <w:sz w:val="21"/>
    </w:rPr>
  </w:style>
  <w:style w:type="character" w:styleId="6">
    <w:name w:val="Hyperlink"/>
    <w:basedOn w:val="5"/>
    <w:unhideWhenUsed/>
    <w:qFormat/>
    <w:uiPriority w:val="0"/>
    <w:rPr>
      <w:rFonts w:hint="default"/>
      <w:color w:val="0000FF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长沙盛韵电子科技有限公司</Company>
  <Pages>7</Pages>
  <Words>2793</Words>
  <Characters>3053</Characters>
  <Lines>22</Lines>
  <Paragraphs>6</Paragraphs>
  <TotalTime>28</TotalTime>
  <ScaleCrop>false</ScaleCrop>
  <LinksUpToDate>false</LinksUpToDate>
  <CharactersWithSpaces>3115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2021-03-17T06:21:00Z</dcterms:created>
  <dc:creator>Administrator</dc:creator>
  <cp:lastModifiedBy>刘毅超</cp:lastModifiedBy>
  <dcterms:modified xsi:type="dcterms:W3CDTF">2022-09-07T02:05:30Z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2A4C098DD29F4DB0AFFAC4D4EDFB2E2E</vt:lpwstr>
  </property>
</Properties>
</file>