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ascii="Times New Roman" w:hAnsi="Times New Roman" w:cs="Times New Roman"/>
          <w:sz w:val="56"/>
          <w:szCs w:val="56"/>
        </w:rPr>
      </w:pPr>
    </w:p>
    <w:p>
      <w:pPr>
        <w:pStyle w:val="14"/>
        <w:jc w:val="center"/>
        <w:rPr>
          <w:rFonts w:ascii="Times New Roman" w:hAnsi="Times New Roman" w:cs="Times New Roman"/>
          <w:sz w:val="56"/>
          <w:szCs w:val="56"/>
        </w:rPr>
      </w:pPr>
    </w:p>
    <w:p>
      <w:pPr>
        <w:pStyle w:val="14"/>
        <w:jc w:val="center"/>
        <w:rPr>
          <w:rFonts w:ascii="Times New Roman" w:hAnsi="Times New Roman" w:cs="Times New Roman"/>
          <w:sz w:val="84"/>
          <w:szCs w:val="84"/>
        </w:rPr>
      </w:pPr>
    </w:p>
    <w:p>
      <w:pPr>
        <w:pStyle w:val="14"/>
        <w:jc w:val="center"/>
        <w:rPr>
          <w:rFonts w:ascii="Times New Roman" w:hAnsi="Times New Roman" w:eastAsia="方正小标宋_GBK" w:cs="Times New Roman"/>
          <w:sz w:val="66"/>
          <w:szCs w:val="66"/>
        </w:rPr>
      </w:pPr>
      <w:r>
        <w:rPr>
          <w:rFonts w:ascii="Times New Roman" w:hAnsi="Times New Roman" w:eastAsia="方正小标宋_GBK" w:cs="Times New Roman"/>
          <w:sz w:val="66"/>
          <w:szCs w:val="66"/>
        </w:rPr>
        <w:t>2023年度</w:t>
      </w:r>
    </w:p>
    <w:p>
      <w:pPr>
        <w:pStyle w:val="14"/>
        <w:jc w:val="center"/>
        <w:rPr>
          <w:rFonts w:ascii="Times New Roman" w:hAnsi="Times New Roman" w:eastAsia="方正小标宋_GBK" w:cs="Times New Roman"/>
          <w:sz w:val="66"/>
          <w:szCs w:val="66"/>
        </w:rPr>
      </w:pPr>
      <w:r>
        <w:rPr>
          <w:rFonts w:ascii="Times New Roman" w:hAnsi="Times New Roman" w:eastAsia="方正小标宋_GBK" w:cs="Times New Roman"/>
          <w:sz w:val="66"/>
          <w:szCs w:val="66"/>
        </w:rPr>
        <w:t>湖南省价格监测分析中心</w:t>
      </w:r>
    </w:p>
    <w:p>
      <w:pPr>
        <w:pStyle w:val="14"/>
        <w:jc w:val="center"/>
        <w:rPr>
          <w:rFonts w:ascii="Times New Roman" w:hAnsi="Times New Roman" w:eastAsia="方正小标宋_GBK" w:cs="Times New Roman"/>
          <w:sz w:val="66"/>
          <w:szCs w:val="66"/>
        </w:rPr>
      </w:pPr>
      <w:r>
        <w:rPr>
          <w:rFonts w:ascii="Times New Roman" w:hAnsi="Times New Roman" w:eastAsia="方正小标宋_GBK" w:cs="Times New Roman"/>
          <w:sz w:val="66"/>
          <w:szCs w:val="66"/>
        </w:rPr>
        <w:t>单位决算</w:t>
      </w:r>
    </w:p>
    <w:p>
      <w:pPr>
        <w:pStyle w:val="14"/>
        <w:jc w:val="center"/>
        <w:rPr>
          <w:rFonts w:ascii="Times New Roman" w:hAnsi="Times New Roman" w:eastAsia="方正小标宋_GBK" w:cs="Times New Roman"/>
          <w:sz w:val="66"/>
          <w:szCs w:val="66"/>
        </w:rPr>
        <w:sectPr>
          <w:footerReference r:id="rId5" w:type="first"/>
          <w:footerReference r:id="rId3" w:type="default"/>
          <w:footerReference r:id="rId4" w:type="even"/>
          <w:pgSz w:w="11906" w:h="16838"/>
          <w:pgMar w:top="1871" w:right="1531" w:bottom="1531" w:left="1588" w:header="851" w:footer="1304" w:gutter="0"/>
          <w:cols w:space="425" w:num="1"/>
          <w:titlePg/>
          <w:docGrid w:type="lines" w:linePitch="312" w:charSpace="0"/>
        </w:sectPr>
      </w:pPr>
    </w:p>
    <w:p>
      <w:pPr>
        <w:pStyle w:val="14"/>
        <w:spacing w:line="596" w:lineRule="exact"/>
        <w:jc w:val="both"/>
        <w:rPr>
          <w:rFonts w:ascii="Times New Roman" w:hAnsi="Times New Roman" w:cs="Times New Roman"/>
          <w:b/>
          <w:sz w:val="32"/>
          <w:szCs w:val="32"/>
        </w:rPr>
      </w:pPr>
    </w:p>
    <w:p>
      <w:pPr>
        <w:pStyle w:val="14"/>
        <w:spacing w:line="596" w:lineRule="exact"/>
        <w:jc w:val="center"/>
        <w:rPr>
          <w:rFonts w:ascii="Times New Roman" w:hAnsi="Times New Roman" w:eastAsia="方正小标宋简体" w:cs="Times New Roman"/>
          <w:sz w:val="42"/>
          <w:szCs w:val="42"/>
        </w:rPr>
      </w:pPr>
      <w:r>
        <w:rPr>
          <w:rFonts w:ascii="Times New Roman" w:hAnsi="Times New Roman" w:eastAsia="方正小标宋简体" w:cs="Times New Roman"/>
          <w:sz w:val="42"/>
          <w:szCs w:val="42"/>
        </w:rPr>
        <w:t>目    录</w:t>
      </w:r>
    </w:p>
    <w:p>
      <w:pPr>
        <w:pStyle w:val="14"/>
        <w:spacing w:line="596" w:lineRule="exact"/>
        <w:rPr>
          <w:rFonts w:ascii="Times New Roman" w:hAnsi="Times New Roman" w:cs="Times New Roman"/>
          <w:bCs/>
          <w:sz w:val="32"/>
          <w:szCs w:val="32"/>
        </w:rPr>
      </w:pPr>
    </w:p>
    <w:p>
      <w:pPr>
        <w:pStyle w:val="14"/>
        <w:spacing w:line="596" w:lineRule="exact"/>
        <w:ind w:firstLine="640" w:firstLineChars="200"/>
        <w:rPr>
          <w:rFonts w:ascii="Times New Roman" w:hAnsi="Times New Roman" w:cs="Times New Roman"/>
          <w:bCs/>
          <w:sz w:val="32"/>
          <w:szCs w:val="32"/>
        </w:rPr>
      </w:pPr>
      <w:r>
        <w:rPr>
          <w:rFonts w:ascii="Times New Roman" w:hAnsi="Times New Roman" w:cs="Times New Roman"/>
          <w:bCs/>
          <w:sz w:val="32"/>
          <w:szCs w:val="32"/>
        </w:rPr>
        <w:t>第一部分 湖南省价格监测分析中心概况</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一、部门职责</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二、机构设置</w:t>
      </w:r>
    </w:p>
    <w:p>
      <w:pPr>
        <w:pStyle w:val="14"/>
        <w:spacing w:line="596" w:lineRule="exact"/>
        <w:ind w:firstLine="640" w:firstLineChars="200"/>
        <w:rPr>
          <w:rFonts w:ascii="Times New Roman" w:hAnsi="Times New Roman" w:cs="Times New Roman"/>
          <w:bCs/>
          <w:sz w:val="32"/>
          <w:szCs w:val="32"/>
        </w:rPr>
      </w:pPr>
      <w:r>
        <w:rPr>
          <w:rFonts w:ascii="Times New Roman" w:hAnsi="Times New Roman" w:cs="Times New Roman"/>
          <w:bCs/>
          <w:sz w:val="32"/>
          <w:szCs w:val="32"/>
        </w:rPr>
        <w:t>第二部分 部门决算表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一、收入支出决算总表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四、财政拨款收入支出决算总表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五、一般公共预算财政拨款支出决算表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六、一般公共预算财政拨款基本支出决算明细表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七、政府性基金预算财政拨款收入支出决算表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八、国有资本经营预算财政拨款支出决算表</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九、财政拨款“三公”经费支出决算表</w:t>
      </w:r>
    </w:p>
    <w:p>
      <w:pPr>
        <w:pStyle w:val="14"/>
        <w:spacing w:line="596" w:lineRule="exact"/>
        <w:ind w:firstLine="640" w:firstLineChars="200"/>
        <w:rPr>
          <w:rFonts w:ascii="Times New Roman" w:hAnsi="Times New Roman" w:cs="Times New Roman"/>
          <w:bCs/>
          <w:sz w:val="32"/>
          <w:szCs w:val="32"/>
        </w:rPr>
      </w:pPr>
      <w:r>
        <w:rPr>
          <w:rFonts w:ascii="Times New Roman" w:hAnsi="Times New Roman" w:cs="Times New Roman"/>
          <w:bCs/>
          <w:sz w:val="32"/>
          <w:szCs w:val="32"/>
        </w:rPr>
        <w:t>第三部分 部门决算情况说明</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一、收入支出决算总体情况说明</w:t>
      </w:r>
    </w:p>
    <w:p>
      <w:pPr>
        <w:spacing w:line="59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三、支出决算情况说明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四、财政拨款收入支出决算总体情况说明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五、一般公共预算财政拨款支出决算情况说明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六、一般公共预算财政拨款基本支出决算情况说明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七、财政拨款三公经费支出决算情况说明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八、政府性基金预算收入支出决算情况</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九、关于机关运行经费支出说明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十、一般性支出情况说明</w:t>
      </w:r>
    </w:p>
    <w:p>
      <w:pPr>
        <w:autoSpaceDE w:val="0"/>
        <w:autoSpaceDN w:val="0"/>
        <w:adjustRightInd w:val="0"/>
        <w:spacing w:line="596" w:lineRule="exact"/>
        <w:ind w:firstLine="640" w:firstLineChars="200"/>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十一、关于政府采购支出说明</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十二、关于国有资产占用情况说明</w:t>
      </w:r>
    </w:p>
    <w:p>
      <w:pPr>
        <w:pStyle w:val="14"/>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十三、关于2023年度预算绩效情况的说明</w:t>
      </w:r>
    </w:p>
    <w:p>
      <w:pPr>
        <w:pStyle w:val="14"/>
        <w:spacing w:line="596" w:lineRule="exact"/>
        <w:ind w:firstLine="640" w:firstLineChars="200"/>
        <w:rPr>
          <w:rFonts w:ascii="Times New Roman" w:hAnsi="Times New Roman" w:cs="Times New Roman"/>
          <w:bCs/>
          <w:sz w:val="32"/>
          <w:szCs w:val="32"/>
        </w:rPr>
      </w:pPr>
      <w:r>
        <w:rPr>
          <w:rFonts w:ascii="Times New Roman" w:hAnsi="Times New Roman" w:cs="Times New Roman"/>
          <w:bCs/>
          <w:sz w:val="32"/>
          <w:szCs w:val="32"/>
        </w:rPr>
        <w:t>第四部分 名词解释</w:t>
      </w:r>
    </w:p>
    <w:p>
      <w:pPr>
        <w:pStyle w:val="14"/>
        <w:spacing w:line="596" w:lineRule="exact"/>
        <w:ind w:firstLine="640" w:firstLineChars="200"/>
        <w:rPr>
          <w:rFonts w:ascii="Times New Roman" w:hAnsi="Times New Roman" w:cs="Times New Roman"/>
          <w:bCs/>
          <w:sz w:val="32"/>
          <w:szCs w:val="32"/>
        </w:rPr>
      </w:pPr>
      <w:r>
        <w:rPr>
          <w:rFonts w:ascii="Times New Roman" w:hAnsi="Times New Roman" w:cs="Times New Roman"/>
          <w:bCs/>
          <w:sz w:val="32"/>
          <w:szCs w:val="32"/>
        </w:rPr>
        <w:t>第五部分 附件</w:t>
      </w:r>
    </w:p>
    <w:p>
      <w:pPr>
        <w:pStyle w:val="14"/>
        <w:spacing w:line="500" w:lineRule="exact"/>
        <w:rPr>
          <w:rFonts w:ascii="Times New Roman" w:hAnsi="Times New Roman" w:cs="Times New Roman"/>
          <w:bCs/>
          <w:sz w:val="28"/>
          <w:szCs w:val="28"/>
        </w:rPr>
        <w:sectPr>
          <w:pgSz w:w="11906" w:h="16838"/>
          <w:pgMar w:top="1871" w:right="1531" w:bottom="1531" w:left="1588" w:header="851" w:footer="1304" w:gutter="0"/>
          <w:pgNumType w:start="1"/>
          <w:cols w:space="425" w:num="1"/>
          <w:docGrid w:type="lines" w:linePitch="312" w:charSpace="0"/>
        </w:sectPr>
      </w:pPr>
    </w:p>
    <w:p>
      <w:pPr>
        <w:spacing w:line="600" w:lineRule="exact"/>
        <w:rPr>
          <w:rFonts w:ascii="Times New Roman" w:hAnsi="Times New Roman" w:eastAsia="方正小标宋_GBK" w:cs="Times New Roman"/>
          <w:sz w:val="54"/>
          <w:szCs w:val="72"/>
        </w:rPr>
      </w:pPr>
    </w:p>
    <w:p>
      <w:pPr>
        <w:pStyle w:val="2"/>
        <w:spacing w:after="0" w:line="600" w:lineRule="exact"/>
        <w:rPr>
          <w:rFonts w:hint="default" w:ascii="Times New Roman" w:hAnsi="Times New Roman"/>
        </w:rPr>
      </w:pPr>
    </w:p>
    <w:p>
      <w:pPr>
        <w:pStyle w:val="2"/>
        <w:spacing w:after="0" w:line="600" w:lineRule="exact"/>
        <w:rPr>
          <w:rFonts w:hint="default" w:ascii="Times New Roman" w:hAnsi="Times New Roman"/>
        </w:rPr>
      </w:pPr>
    </w:p>
    <w:p>
      <w:pPr>
        <w:pStyle w:val="2"/>
        <w:spacing w:after="0" w:line="600" w:lineRule="exact"/>
        <w:rPr>
          <w:rFonts w:hint="default" w:ascii="Times New Roman" w:hAnsi="Times New Roman"/>
        </w:rPr>
      </w:pPr>
    </w:p>
    <w:p>
      <w:pPr>
        <w:pStyle w:val="14"/>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 xml:space="preserve">第一部分 </w:t>
      </w:r>
    </w:p>
    <w:p>
      <w:pPr>
        <w:pStyle w:val="14"/>
        <w:jc w:val="center"/>
        <w:rPr>
          <w:rFonts w:ascii="Times New Roman" w:hAnsi="Times New Roman" w:eastAsia="方正小标宋_GBK" w:cs="Times New Roman"/>
          <w:sz w:val="52"/>
          <w:szCs w:val="52"/>
        </w:rPr>
      </w:pPr>
    </w:p>
    <w:p>
      <w:pPr>
        <w:pStyle w:val="14"/>
        <w:jc w:val="both"/>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lang w:val="en-US" w:eastAsia="zh-CN"/>
        </w:rPr>
        <w:t xml:space="preserve">    </w:t>
      </w:r>
      <w:bookmarkStart w:id="3" w:name="_GoBack"/>
      <w:bookmarkEnd w:id="3"/>
      <w:r>
        <w:rPr>
          <w:rFonts w:ascii="Times New Roman" w:hAnsi="Times New Roman" w:eastAsia="方正小标宋_GBK" w:cs="Times New Roman"/>
          <w:sz w:val="52"/>
          <w:szCs w:val="52"/>
        </w:rPr>
        <w:t>湖南省价格监测分析中心概况</w:t>
      </w:r>
    </w:p>
    <w:p>
      <w:pPr>
        <w:pStyle w:val="14"/>
        <w:jc w:val="center"/>
        <w:rPr>
          <w:rFonts w:ascii="Times New Roman" w:hAnsi="Times New Roman" w:eastAsia="方正小标宋_GBK" w:cs="Times New Roman"/>
          <w:sz w:val="52"/>
          <w:szCs w:val="52"/>
        </w:rPr>
        <w:sectPr>
          <w:pgSz w:w="11906" w:h="16838"/>
          <w:pgMar w:top="1871" w:right="1531" w:bottom="1531" w:left="1588" w:header="851" w:footer="1304" w:gutter="0"/>
          <w:pgNumType w:start="1"/>
          <w:cols w:space="425" w:num="1"/>
          <w:titlePg/>
          <w:docGrid w:type="lines" w:linePitch="312" w:charSpace="0"/>
        </w:sectPr>
      </w:pPr>
    </w:p>
    <w:p>
      <w:pPr>
        <w:overflowPunct w:val="0"/>
        <w:spacing w:line="596"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一、部门职责</w:t>
      </w:r>
    </w:p>
    <w:p>
      <w:pPr>
        <w:overflowPunct w:val="0"/>
        <w:spacing w:line="596" w:lineRule="exact"/>
        <w:ind w:firstLine="627" w:firstLineChars="196"/>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国家发改委明确规定价格监测工作的基本任务是：调查和分析重要商品、服务价格，以及相关成本与市场供求的变动情况；跟踪反馈国家重要经济政策在价格领域的反映；实施价格预测、预警，并及时提出政策建议。</w:t>
      </w:r>
    </w:p>
    <w:p>
      <w:pPr>
        <w:overflowPunct w:val="0"/>
        <w:spacing w:line="596" w:lineRule="exact"/>
        <w:ind w:firstLine="627" w:firstLineChars="196"/>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2014年，我省机构改革中，价格监测纳入其它行政权力，实施主体为湖南省发展和改革委员会，作为具体承担该项工作的省价格监测分析中心，其工作职能是：负责监测关系国计民生的重要商品和服务价格变动，调查反馈国家重要经济政策在价格领域的反映。执行国家价格监测报告制度和价格监测任务，组织开展国家和省价格监测工作，实施价格预测、预警和应急价格监测，及时提出政策建议；负责全省价格监测网络体系建设和价格监测业务指导。</w:t>
      </w:r>
    </w:p>
    <w:p>
      <w:pPr>
        <w:overflowPunct w:val="0"/>
        <w:spacing w:line="596" w:lineRule="exact"/>
        <w:ind w:firstLine="640" w:firstLineChars="200"/>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二、机构设置及决算单位构成</w:t>
      </w:r>
    </w:p>
    <w:p>
      <w:pPr>
        <w:overflowPunct w:val="0"/>
        <w:spacing w:line="596" w:lineRule="exact"/>
        <w:ind w:firstLine="627" w:firstLineChars="196"/>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（一）内设机构设置。湖南省价格监测分析中心根据中心主要职责，设有科室7个，分别为办公室、综合科、监测一科、监测二科、监测三科、市场调查科、网络信息科。</w:t>
      </w:r>
    </w:p>
    <w:p>
      <w:pPr>
        <w:overflowPunct w:val="0"/>
        <w:spacing w:line="596" w:lineRule="exact"/>
        <w:ind w:firstLine="627" w:firstLineChars="196"/>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（二）决算单位构成。本单位无二级单位，决算公开仅包含本级决算。</w:t>
      </w:r>
    </w:p>
    <w:p>
      <w:pPr>
        <w:widowControl/>
        <w:spacing w:line="600" w:lineRule="exact"/>
        <w:ind w:firstLine="627" w:firstLineChars="196"/>
        <w:jc w:val="left"/>
        <w:rPr>
          <w:rFonts w:ascii="Times New Roman" w:hAnsi="Times New Roman" w:eastAsia="仿宋_GB2312" w:cs="Times New Roman"/>
          <w:bCs/>
          <w:kern w:val="0"/>
          <w:sz w:val="32"/>
          <w:szCs w:val="32"/>
        </w:rPr>
        <w:sectPr>
          <w:pgSz w:w="11906" w:h="16838"/>
          <w:pgMar w:top="1871" w:right="1531" w:bottom="1531" w:left="1588" w:header="851" w:footer="1304" w:gutter="0"/>
          <w:pgNumType w:start="1"/>
          <w:cols w:space="425" w:num="1"/>
          <w:docGrid w:type="lines" w:linePitch="312" w:charSpace="0"/>
        </w:sectPr>
      </w:pPr>
    </w:p>
    <w:p>
      <w:pPr>
        <w:pStyle w:val="2"/>
        <w:spacing w:after="0" w:line="600" w:lineRule="exact"/>
        <w:rPr>
          <w:rFonts w:hint="default" w:ascii="Times New Roman" w:hAnsi="Times New Roman"/>
        </w:rPr>
      </w:pPr>
    </w:p>
    <w:p>
      <w:pPr>
        <w:pStyle w:val="2"/>
        <w:spacing w:after="0" w:line="600" w:lineRule="exact"/>
        <w:rPr>
          <w:rFonts w:hint="default" w:ascii="Times New Roman" w:hAnsi="Times New Roman"/>
        </w:rPr>
      </w:pPr>
    </w:p>
    <w:p>
      <w:pPr>
        <w:pStyle w:val="2"/>
        <w:spacing w:after="0" w:line="600" w:lineRule="exact"/>
        <w:rPr>
          <w:rFonts w:hint="default" w:ascii="Times New Roman" w:hAnsi="Times New Roman"/>
        </w:rPr>
      </w:pPr>
    </w:p>
    <w:p>
      <w:pPr>
        <w:rPr>
          <w:rFonts w:ascii="Times New Roman" w:hAnsi="Times New Roman" w:eastAsia="黑体" w:cs="Times New Roman"/>
          <w:sz w:val="28"/>
          <w:szCs w:val="28"/>
        </w:rPr>
      </w:pPr>
    </w:p>
    <w:p>
      <w:pPr>
        <w:pStyle w:val="14"/>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第二部分</w:t>
      </w:r>
    </w:p>
    <w:p>
      <w:pPr>
        <w:pStyle w:val="14"/>
        <w:jc w:val="center"/>
        <w:rPr>
          <w:rFonts w:ascii="Times New Roman" w:hAnsi="Times New Roman" w:eastAsia="方正小标宋_GBK" w:cs="Times New Roman"/>
          <w:sz w:val="52"/>
          <w:szCs w:val="52"/>
        </w:rPr>
      </w:pPr>
    </w:p>
    <w:p>
      <w:pPr>
        <w:pStyle w:val="14"/>
        <w:jc w:val="center"/>
        <w:rPr>
          <w:rFonts w:ascii="Times New Roman" w:hAnsi="Times New Roman" w:cs="Times New Roman"/>
          <w:sz w:val="52"/>
          <w:szCs w:val="52"/>
        </w:rPr>
      </w:pPr>
      <w:r>
        <w:rPr>
          <w:rFonts w:ascii="Times New Roman" w:hAnsi="Times New Roman" w:eastAsia="方正小标宋_GBK" w:cs="Times New Roman"/>
          <w:sz w:val="52"/>
          <w:szCs w:val="52"/>
        </w:rPr>
        <w:t>部门决算表</w:t>
      </w: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left"/>
        <w:rPr>
          <w:rFonts w:ascii="Times New Roman" w:hAnsi="Times New Roman" w:cs="Times New Roman"/>
          <w:sz w:val="32"/>
          <w:szCs w:val="32"/>
        </w:rPr>
      </w:pPr>
    </w:p>
    <w:p>
      <w:pPr>
        <w:jc w:val="left"/>
        <w:rPr>
          <w:rFonts w:ascii="Times New Roman" w:hAnsi="Times New Roman" w:cs="Times New Roman"/>
          <w:sz w:val="32"/>
          <w:szCs w:val="32"/>
        </w:rPr>
        <w:sectPr>
          <w:pgSz w:w="11906" w:h="16838"/>
          <w:pgMar w:top="1871" w:right="1531" w:bottom="1531" w:left="1588" w:header="851" w:footer="1304" w:gutter="0"/>
          <w:pgNumType w:start="1"/>
          <w:cols w:space="425" w:num="1"/>
          <w:titlePg/>
          <w:docGrid w:type="lines" w:linePitch="312" w:charSpace="0"/>
        </w:sectPr>
      </w:pPr>
    </w:p>
    <w:p>
      <w:pPr>
        <w:jc w:val="right"/>
        <w:rPr>
          <w:rFonts w:ascii="Times New Roman" w:hAnsi="Times New Roman" w:cs="Times New Roman"/>
        </w:rPr>
      </w:pPr>
    </w:p>
    <w:p>
      <w:pPr>
        <w:jc w:val="center"/>
        <w:rPr>
          <w:rFonts w:ascii="Times New Roman" w:hAnsi="Times New Roman" w:eastAsia="宋体" w:cs="Times New Roman"/>
          <w:color w:val="000000"/>
          <w:kern w:val="0"/>
          <w:sz w:val="20"/>
          <w:szCs w:val="20"/>
        </w:rPr>
      </w:pPr>
      <w:r>
        <w:rPr>
          <w:rFonts w:ascii="Times New Roman" w:hAnsi="Times New Roman" w:eastAsia="方正小标宋简体" w:cs="Times New Roman"/>
          <w:color w:val="000000"/>
          <w:kern w:val="0"/>
          <w:sz w:val="36"/>
          <w:szCs w:val="36"/>
        </w:rPr>
        <w:t>收入支出决算总表</w:t>
      </w:r>
    </w:p>
    <w:p>
      <w:pPr>
        <w:widowControl/>
        <w:jc w:val="right"/>
        <w:textAlignment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0"/>
          <w:szCs w:val="20"/>
        </w:rPr>
        <w:t>公开01表</w:t>
      </w:r>
    </w:p>
    <w:p>
      <w:pPr>
        <w:widowControl/>
        <w:jc w:val="right"/>
        <w:textAlignment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0"/>
          <w:szCs w:val="20"/>
        </w:rPr>
        <w:t>单位：万元</w:t>
      </w:r>
    </w:p>
    <w:tbl>
      <w:tblPr>
        <w:tblStyle w:val="11"/>
        <w:tblW w:w="14882" w:type="dxa"/>
        <w:tblInd w:w="0" w:type="dxa"/>
        <w:tblLayout w:type="fixed"/>
        <w:tblCellMar>
          <w:top w:w="0" w:type="dxa"/>
          <w:left w:w="108" w:type="dxa"/>
          <w:bottom w:w="0" w:type="dxa"/>
          <w:right w:w="108" w:type="dxa"/>
        </w:tblCellMar>
      </w:tblPr>
      <w:tblGrid>
        <w:gridCol w:w="4127"/>
        <w:gridCol w:w="1198"/>
        <w:gridCol w:w="1867"/>
        <w:gridCol w:w="4385"/>
        <w:gridCol w:w="1603"/>
        <w:gridCol w:w="1702"/>
      </w:tblGrid>
      <w:tr>
        <w:tblPrEx>
          <w:tblLayout w:type="fixed"/>
          <w:tblCellMar>
            <w:top w:w="0" w:type="dxa"/>
            <w:left w:w="108" w:type="dxa"/>
            <w:bottom w:w="0" w:type="dxa"/>
            <w:right w:w="108" w:type="dxa"/>
          </w:tblCellMar>
        </w:tblPrEx>
        <w:trPr>
          <w:tblHeader/>
        </w:trPr>
        <w:tc>
          <w:tcPr>
            <w:tcW w:w="71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收入</w:t>
            </w:r>
          </w:p>
        </w:tc>
        <w:tc>
          <w:tcPr>
            <w:tcW w:w="769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支出</w:t>
            </w:r>
          </w:p>
        </w:tc>
      </w:tr>
      <w:tr>
        <w:tblPrEx>
          <w:tblLayout w:type="fixed"/>
          <w:tblCellMar>
            <w:top w:w="0" w:type="dxa"/>
            <w:left w:w="108" w:type="dxa"/>
            <w:bottom w:w="0" w:type="dxa"/>
            <w:right w:w="108" w:type="dxa"/>
          </w:tblCellMar>
        </w:tblPrEx>
        <w:trPr>
          <w:tblHeader/>
        </w:trPr>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项    目</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行次</w:t>
            </w:r>
          </w:p>
        </w:tc>
        <w:tc>
          <w:tcPr>
            <w:tcW w:w="1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决算数</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项    目</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行次</w:t>
            </w:r>
          </w:p>
        </w:tc>
        <w:tc>
          <w:tcPr>
            <w:tcW w:w="17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决算数</w:t>
            </w:r>
          </w:p>
        </w:tc>
      </w:tr>
      <w:tr>
        <w:tblPrEx>
          <w:tblLayout w:type="fixed"/>
          <w:tblCellMar>
            <w:top w:w="0" w:type="dxa"/>
            <w:left w:w="108" w:type="dxa"/>
            <w:bottom w:w="0" w:type="dxa"/>
            <w:right w:w="108" w:type="dxa"/>
          </w:tblCellMar>
        </w:tblPrEx>
        <w:trPr>
          <w:tblHeader/>
        </w:trPr>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栏    次</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jc w:val="center"/>
              <w:rPr>
                <w:rFonts w:ascii="Times New Roman" w:hAnsi="Times New Roman" w:eastAsia="宋体" w:cs="Times New Roman"/>
                <w:color w:val="000000"/>
                <w:sz w:val="24"/>
                <w:szCs w:val="24"/>
              </w:rPr>
            </w:pPr>
          </w:p>
        </w:tc>
        <w:tc>
          <w:tcPr>
            <w:tcW w:w="1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1</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栏    次</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Times New Roman" w:hAnsi="Times New Roman" w:eastAsia="宋体" w:cs="Times New Roman"/>
                <w:color w:val="000000"/>
                <w:sz w:val="24"/>
                <w:szCs w:val="24"/>
              </w:rPr>
            </w:pPr>
          </w:p>
        </w:tc>
        <w:tc>
          <w:tcPr>
            <w:tcW w:w="17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2</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一、一般公共预算财政拨款收入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385.9</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一、一般公共服务支出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32</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r>
              <w:rPr>
                <w:rFonts w:ascii="Times New Roman" w:hAnsi="Times New Roman" w:eastAsia="宋体" w:cs="Times New Roman"/>
                <w:color w:val="000000"/>
                <w:sz w:val="22"/>
              </w:rPr>
              <w:t>313.69</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二、政府性基金预算财政拨款收入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二、外交支出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33</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三、国有资本经营预算财政拨款收入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三、国防支出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sz w:val="22"/>
              </w:rPr>
              <w:t>34</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四、上级补助收入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四、公共安全支出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35</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五、事业收入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五、教育支出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36</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六、经营收入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六、科学技术支出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37</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七、附属单位上缴收入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7</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4"/>
                <w:szCs w:val="24"/>
              </w:rPr>
            </w:pPr>
            <w:r>
              <w:rPr>
                <w:rFonts w:ascii="Times New Roman" w:hAnsi="Times New Roman" w:cs="Times New Roman"/>
                <w:color w:val="000000"/>
                <w:kern w:val="0"/>
                <w:sz w:val="22"/>
              </w:rPr>
              <w:t>七、文化旅游体育与传媒支出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38</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八、其他收入</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2"/>
              </w:rPr>
            </w:pPr>
            <w:r>
              <w:rPr>
                <w:rFonts w:ascii="Times New Roman" w:hAnsi="Times New Roman" w:eastAsia="宋体" w:cs="Times New Roman"/>
                <w:color w:val="000000"/>
                <w:sz w:val="22"/>
              </w:rPr>
              <w:t>八、社会保障和就业支出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39</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38.34</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9</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九、卫生健康支出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40</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十、节能环保支出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41</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cs="Times New Roman"/>
              </w:rPr>
            </w:pPr>
            <w:r>
              <w:rPr>
                <w:rFonts w:ascii="Times New Roman" w:hAnsi="Times New Roman" w:cs="Times New Roman"/>
              </w:rPr>
              <w:t>11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十一、城乡社区支出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42</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cs="Times New Roman"/>
              </w:rPr>
            </w:pPr>
            <w:r>
              <w:rPr>
                <w:rFonts w:ascii="Times New Roman" w:hAnsi="Times New Roman" w:cs="Times New Roman"/>
              </w:rPr>
              <w:t>12</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十二、农林水支出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43</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13</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十三、交通运输支出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44</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14</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十四、资源勘探工业信息等支出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45</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15</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十五、商业服务业等支出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46</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16</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十六、金融支出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47</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17</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十七、援助其他地区支出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48</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18</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十八、自然资源海洋气象等支出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49</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19</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十九、住房保障支出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50</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22.27</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二十、粮油物资储备支出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51</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二十一、国有资本经营预算支出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52</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22</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二十二、灾害防治及应急管理支出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53</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23</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二十三、其他支出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54</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24</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二十四、债务还本支出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55</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Times New Roman" w:hAnsi="Times New Roman" w:eastAsia="宋体" w:cs="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25</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二十五、债务付息支出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56</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color w:val="000000"/>
                <w:sz w:val="20"/>
                <w:szCs w:val="20"/>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26</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Times New Roman" w:hAnsi="Times New Roman" w:eastAsia="宋体" w:cs="Times New Roman"/>
                <w:color w:val="000000"/>
                <w:sz w:val="22"/>
              </w:rPr>
            </w:pP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sz w:val="20"/>
                <w:szCs w:val="20"/>
              </w:rPr>
            </w:pPr>
            <w:r>
              <w:rPr>
                <w:rFonts w:ascii="Times New Roman" w:hAnsi="Times New Roman" w:cs="Times New Roman"/>
                <w:color w:val="000000"/>
                <w:kern w:val="0"/>
                <w:sz w:val="22"/>
              </w:rPr>
              <w:t>二十六、抗疫特别国债安排的支出</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57</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b/>
                <w:color w:val="000000"/>
                <w:sz w:val="22"/>
              </w:rPr>
            </w:pPr>
            <w:r>
              <w:rPr>
                <w:rFonts w:ascii="Times New Roman" w:hAnsi="Times New Roman" w:eastAsia="宋体" w:cs="Times New Roman"/>
                <w:b/>
                <w:color w:val="000000"/>
                <w:kern w:val="0"/>
                <w:sz w:val="22"/>
              </w:rPr>
              <w:t>本年收入合计</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27</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385.90</w:t>
            </w: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color w:val="000000"/>
                <w:sz w:val="22"/>
              </w:rPr>
            </w:pPr>
            <w:r>
              <w:rPr>
                <w:rFonts w:ascii="Times New Roman" w:hAnsi="Times New Roman" w:eastAsia="宋体" w:cs="Times New Roman"/>
                <w:b/>
                <w:color w:val="000000"/>
                <w:kern w:val="0"/>
                <w:sz w:val="22"/>
              </w:rPr>
              <w:t>本年支出合计</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58</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374.30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使用非财政拨款结余（含专用结余）</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28</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0.00</w:t>
            </w: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 xml:space="preserve"> 结余分配</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59</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年初结转和结余</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29</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lang w:bidi="ar"/>
              </w:rPr>
              <w:t>18.20</w:t>
            </w: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cs="Times New Roman"/>
                <w:color w:val="000000"/>
                <w:kern w:val="0"/>
                <w:sz w:val="22"/>
              </w:rPr>
            </w:pPr>
            <w:r>
              <w:rPr>
                <w:rFonts w:ascii="Times New Roman" w:hAnsi="Times New Roman" w:cs="Times New Roman"/>
                <w:color w:val="000000"/>
                <w:kern w:val="0"/>
                <w:sz w:val="22"/>
              </w:rPr>
              <w:t xml:space="preserve"> 年末结转和结余</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60</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lang w:bidi="ar"/>
              </w:rPr>
              <w:t>29.80</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color w:val="000000"/>
                <w:kern w:val="0"/>
                <w:sz w:val="22"/>
              </w:rPr>
            </w:pP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0"/>
                <w:szCs w:val="20"/>
                <w:lang w:bidi="ar"/>
              </w:rPr>
              <w:t>　</w:t>
            </w:r>
          </w:p>
        </w:tc>
        <w:tc>
          <w:tcPr>
            <w:tcW w:w="43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Times New Roman"/>
                <w:color w:val="000000"/>
                <w:kern w:val="0"/>
                <w:sz w:val="22"/>
              </w:rPr>
            </w:pP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61</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0"/>
                <w:szCs w:val="20"/>
                <w:lang w:bidi="ar"/>
              </w:rPr>
              <w:t>　</w:t>
            </w:r>
          </w:p>
        </w:tc>
      </w:tr>
      <w:tr>
        <w:tblPrEx>
          <w:tblLayout w:type="fixed"/>
          <w:tblCellMar>
            <w:top w:w="0" w:type="dxa"/>
            <w:left w:w="108" w:type="dxa"/>
            <w:bottom w:w="0" w:type="dxa"/>
            <w:right w:w="108" w:type="dxa"/>
          </w:tblCellMar>
        </w:tblPrEx>
        <w:tc>
          <w:tcPr>
            <w:tcW w:w="412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Times New Roman" w:hAnsi="Times New Roman" w:eastAsia="宋体" w:cs="Times New Roman"/>
                <w:b/>
                <w:color w:val="000000"/>
                <w:sz w:val="22"/>
              </w:rPr>
            </w:pPr>
            <w:r>
              <w:rPr>
                <w:rFonts w:ascii="Times New Roman" w:hAnsi="Times New Roman" w:eastAsia="宋体" w:cs="Times New Roman"/>
                <w:b/>
                <w:color w:val="000000"/>
                <w:kern w:val="0"/>
                <w:sz w:val="22"/>
              </w:rPr>
              <w:t>总计</w:t>
            </w:r>
          </w:p>
        </w:tc>
        <w:tc>
          <w:tcPr>
            <w:tcW w:w="1198"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sz w:val="22"/>
              </w:rPr>
              <w:t>31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404.10</w:t>
            </w:r>
          </w:p>
        </w:tc>
        <w:tc>
          <w:tcPr>
            <w:tcW w:w="4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b/>
                <w:color w:val="000000"/>
                <w:sz w:val="22"/>
              </w:rPr>
            </w:pPr>
            <w:r>
              <w:rPr>
                <w:rFonts w:ascii="Times New Roman" w:hAnsi="Times New Roman" w:eastAsia="宋体" w:cs="Times New Roman"/>
                <w:b/>
                <w:color w:val="000000"/>
                <w:kern w:val="0"/>
                <w:sz w:val="22"/>
              </w:rPr>
              <w:t>总计</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b/>
                <w:color w:val="000000"/>
                <w:sz w:val="22"/>
              </w:rPr>
            </w:pPr>
            <w:r>
              <w:rPr>
                <w:rFonts w:ascii="Times New Roman" w:hAnsi="Times New Roman" w:eastAsia="宋体" w:cs="Times New Roman"/>
                <w:color w:val="000000"/>
                <w:kern w:val="0"/>
                <w:sz w:val="22"/>
                <w:lang w:bidi="ar"/>
              </w:rPr>
              <w:t>404.10</w:t>
            </w:r>
          </w:p>
        </w:tc>
      </w:tr>
    </w:tbl>
    <w:p>
      <w:pPr>
        <w:widowControl/>
        <w:jc w:val="left"/>
        <w:textAlignment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注：1.本表反映部门本年度的总收支和年末结转结余情况。</w:t>
      </w:r>
    </w:p>
    <w:p>
      <w:pPr>
        <w:widowControl/>
        <w:ind w:firstLine="480" w:firstLineChars="200"/>
        <w:jc w:val="left"/>
        <w:textAlignment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2.本套报表金额单位转换时可能存在尾数误差。</w:t>
      </w:r>
    </w:p>
    <w:p>
      <w:pPr>
        <w:pStyle w:val="2"/>
        <w:rPr>
          <w:rFonts w:hint="default" w:ascii="Times New Roman" w:hAnsi="Times New Roman"/>
        </w:rPr>
      </w:pPr>
      <w:r>
        <w:rPr>
          <w:rFonts w:hint="default" w:ascii="Times New Roman" w:hAnsi="Times New Roman"/>
        </w:rPr>
        <w:br w:type="page"/>
      </w:r>
    </w:p>
    <w:p>
      <w:pPr>
        <w:widowControl/>
        <w:ind w:firstLine="420" w:firstLineChars="200"/>
        <w:jc w:val="left"/>
        <w:textAlignment w:val="center"/>
        <w:rPr>
          <w:rFonts w:ascii="Times New Roman" w:hAnsi="Times New Roman" w:cs="Times New Roman"/>
        </w:rPr>
      </w:pPr>
    </w:p>
    <w:p>
      <w:pPr>
        <w:tabs>
          <w:tab w:val="left" w:pos="1906"/>
          <w:tab w:val="left" w:pos="4217"/>
          <w:tab w:val="left" w:pos="5616"/>
          <w:tab w:val="left" w:pos="7318"/>
          <w:tab w:val="left" w:pos="9082"/>
          <w:tab w:val="left" w:pos="10562"/>
          <w:tab w:val="left" w:pos="12163"/>
          <w:tab w:val="left" w:pos="14008"/>
        </w:tabs>
        <w:jc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sz w:val="36"/>
          <w:szCs w:val="36"/>
        </w:rPr>
        <w:t>收入决算表</w:t>
      </w:r>
    </w:p>
    <w:p>
      <w:pPr>
        <w:tabs>
          <w:tab w:val="left" w:pos="1906"/>
          <w:tab w:val="left" w:pos="4217"/>
          <w:tab w:val="left" w:pos="5616"/>
          <w:tab w:val="left" w:pos="7318"/>
          <w:tab w:val="left" w:pos="9082"/>
          <w:tab w:val="left" w:pos="10562"/>
          <w:tab w:val="left" w:pos="12163"/>
          <w:tab w:val="left" w:pos="14008"/>
        </w:tabs>
        <w:jc w:val="right"/>
        <w:rPr>
          <w:rFonts w:ascii="Times New Roman" w:hAnsi="Times New Roman" w:eastAsia="华文中宋" w:cs="Times New Roman"/>
          <w:color w:val="000000"/>
          <w:sz w:val="32"/>
          <w:szCs w:val="32"/>
        </w:rPr>
      </w:pPr>
      <w:r>
        <w:rPr>
          <w:rFonts w:ascii="Times New Roman" w:hAnsi="Times New Roman" w:cs="Times New Roman"/>
          <w:color w:val="000000"/>
          <w:sz w:val="20"/>
          <w:szCs w:val="20"/>
        </w:rPr>
        <w:t>公开02表</w:t>
      </w:r>
    </w:p>
    <w:p>
      <w:pPr>
        <w:tabs>
          <w:tab w:val="left" w:pos="1906"/>
          <w:tab w:val="left" w:pos="4217"/>
          <w:tab w:val="left" w:pos="5616"/>
          <w:tab w:val="left" w:pos="7318"/>
          <w:tab w:val="left" w:pos="9082"/>
          <w:tab w:val="left" w:pos="10562"/>
          <w:tab w:val="left" w:pos="13630"/>
          <w:tab w:val="left" w:pos="14008"/>
        </w:tabs>
        <w:ind w:firstLine="200" w:firstLineChars="100"/>
        <w:jc w:val="left"/>
        <w:rPr>
          <w:rFonts w:ascii="Times New Roman" w:hAnsi="Times New Roman" w:eastAsia="宋体" w:cs="Times New Roman"/>
          <w:color w:val="000000"/>
          <w:sz w:val="20"/>
          <w:szCs w:val="20"/>
        </w:rPr>
      </w:pPr>
      <w:r>
        <w:rPr>
          <w:rFonts w:ascii="Times New Roman" w:hAnsi="Times New Roman" w:cs="Times New Roman"/>
          <w:color w:val="000000"/>
          <w:sz w:val="20"/>
          <w:szCs w:val="20"/>
        </w:rPr>
        <w:t>部门：</w:t>
      </w:r>
      <w:r>
        <w:rPr>
          <w:rFonts w:ascii="Times New Roman" w:hAnsi="Times New Roman" w:eastAsia="宋体" w:cs="Times New Roman"/>
          <w:color w:val="000000"/>
          <w:sz w:val="20"/>
          <w:szCs w:val="20"/>
        </w:rPr>
        <w:tab/>
      </w:r>
      <w:r>
        <w:rPr>
          <w:rFonts w:ascii="Times New Roman" w:hAnsi="Times New Roman" w:cs="Times New Roman"/>
        </w:rPr>
        <w:t>　</w:t>
      </w:r>
      <w:r>
        <w:rPr>
          <w:rFonts w:ascii="Times New Roman" w:hAnsi="Times New Roman" w:eastAsia="宋体" w:cs="Times New Roman"/>
          <w:sz w:val="24"/>
          <w:szCs w:val="24"/>
        </w:rPr>
        <w:tab/>
      </w:r>
      <w:r>
        <w:rPr>
          <w:rFonts w:ascii="Times New Roman" w:hAnsi="Times New Roman" w:cs="Times New Roman"/>
        </w:rPr>
        <w:t>　</w:t>
      </w:r>
      <w:r>
        <w:rPr>
          <w:rFonts w:ascii="Times New Roman" w:hAnsi="Times New Roman" w:eastAsia="宋体" w:cs="Times New Roman"/>
          <w:sz w:val="24"/>
          <w:szCs w:val="24"/>
        </w:rPr>
        <w:tab/>
      </w:r>
      <w:r>
        <w:rPr>
          <w:rFonts w:ascii="Times New Roman" w:hAnsi="Times New Roman" w:cs="Times New Roman"/>
        </w:rPr>
        <w:t>　</w:t>
      </w:r>
      <w:r>
        <w:rPr>
          <w:rFonts w:ascii="Times New Roman" w:hAnsi="Times New Roman" w:eastAsia="宋体" w:cs="Times New Roman"/>
          <w:sz w:val="24"/>
          <w:szCs w:val="24"/>
        </w:rPr>
        <w:tab/>
      </w:r>
      <w:r>
        <w:rPr>
          <w:rFonts w:ascii="Times New Roman" w:hAnsi="Times New Roman" w:cs="Times New Roman"/>
          <w:color w:val="000000"/>
          <w:sz w:val="20"/>
          <w:szCs w:val="20"/>
        </w:rPr>
        <w:t>　</w:t>
      </w:r>
      <w:r>
        <w:rPr>
          <w:rFonts w:ascii="Times New Roman" w:hAnsi="Times New Roman" w:eastAsia="宋体" w:cs="Times New Roman"/>
          <w:color w:val="000000"/>
          <w:sz w:val="20"/>
          <w:szCs w:val="20"/>
        </w:rPr>
        <w:tab/>
      </w:r>
      <w:r>
        <w:rPr>
          <w:rFonts w:ascii="Times New Roman" w:hAnsi="Times New Roman" w:cs="Times New Roman"/>
        </w:rPr>
        <w:t>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cs="Times New Roman"/>
          <w:color w:val="000000"/>
          <w:sz w:val="20"/>
          <w:szCs w:val="20"/>
        </w:rPr>
        <w:t>单位：万元</w:t>
      </w:r>
    </w:p>
    <w:tbl>
      <w:tblPr>
        <w:tblStyle w:val="11"/>
        <w:tblW w:w="14951" w:type="dxa"/>
        <w:jc w:val="center"/>
        <w:tblInd w:w="0" w:type="dxa"/>
        <w:tblLayout w:type="fixed"/>
        <w:tblCellMar>
          <w:top w:w="0" w:type="dxa"/>
          <w:left w:w="0" w:type="dxa"/>
          <w:bottom w:w="0" w:type="dxa"/>
          <w:right w:w="0" w:type="dxa"/>
        </w:tblCellMar>
      </w:tblPr>
      <w:tblGrid>
        <w:gridCol w:w="1906"/>
        <w:gridCol w:w="2776"/>
        <w:gridCol w:w="1399"/>
        <w:gridCol w:w="1702"/>
        <w:gridCol w:w="1526"/>
        <w:gridCol w:w="1480"/>
        <w:gridCol w:w="1406"/>
        <w:gridCol w:w="1336"/>
        <w:gridCol w:w="1420"/>
      </w:tblGrid>
      <w:tr>
        <w:tblPrEx>
          <w:tblLayout w:type="fixed"/>
          <w:tblCellMar>
            <w:top w:w="0" w:type="dxa"/>
            <w:left w:w="0" w:type="dxa"/>
            <w:bottom w:w="0" w:type="dxa"/>
            <w:right w:w="0" w:type="dxa"/>
          </w:tblCellMar>
        </w:tblPrEx>
        <w:trPr>
          <w:jc w:val="center"/>
        </w:trPr>
        <w:tc>
          <w:tcPr>
            <w:tcW w:w="4682"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项    目</w:t>
            </w:r>
          </w:p>
        </w:tc>
        <w:tc>
          <w:tcPr>
            <w:tcW w:w="139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本年收入合计</w:t>
            </w:r>
          </w:p>
        </w:tc>
        <w:tc>
          <w:tcPr>
            <w:tcW w:w="170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财政拨款收入</w:t>
            </w:r>
          </w:p>
        </w:tc>
        <w:tc>
          <w:tcPr>
            <w:tcW w:w="152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上级补助收入</w:t>
            </w:r>
          </w:p>
        </w:tc>
        <w:tc>
          <w:tcPr>
            <w:tcW w:w="14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事业收入</w:t>
            </w:r>
          </w:p>
        </w:tc>
        <w:tc>
          <w:tcPr>
            <w:tcW w:w="140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经营收入</w:t>
            </w:r>
          </w:p>
        </w:tc>
        <w:tc>
          <w:tcPr>
            <w:tcW w:w="133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rPr>
            </w:pPr>
            <w:r>
              <w:rPr>
                <w:rFonts w:ascii="Times New Roman" w:hAnsi="Times New Roman" w:cs="Times New Roman" w:eastAsiaTheme="majorEastAsia"/>
              </w:rPr>
              <w:t>附属单位</w:t>
            </w:r>
          </w:p>
          <w:p>
            <w:pPr>
              <w:jc w:val="center"/>
              <w:rPr>
                <w:rFonts w:ascii="Times New Roman" w:hAnsi="Times New Roman" w:cs="Times New Roman" w:eastAsiaTheme="majorEastAsia"/>
                <w:sz w:val="24"/>
                <w:szCs w:val="24"/>
              </w:rPr>
            </w:pPr>
            <w:r>
              <w:rPr>
                <w:rFonts w:ascii="Times New Roman" w:hAnsi="Times New Roman" w:cs="Times New Roman" w:eastAsiaTheme="majorEastAsia"/>
              </w:rPr>
              <w:t>上缴收入</w:t>
            </w:r>
          </w:p>
        </w:tc>
        <w:tc>
          <w:tcPr>
            <w:tcW w:w="14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其他收入</w:t>
            </w:r>
          </w:p>
        </w:tc>
      </w:tr>
      <w:tr>
        <w:tblPrEx>
          <w:tblLayout w:type="fixed"/>
          <w:tblCellMar>
            <w:top w:w="0" w:type="dxa"/>
            <w:left w:w="0" w:type="dxa"/>
            <w:bottom w:w="0" w:type="dxa"/>
            <w:right w:w="0" w:type="dxa"/>
          </w:tblCellMar>
        </w:tblPrEx>
        <w:trPr>
          <w:trHeight w:val="312" w:hRule="atLeast"/>
          <w:jc w:val="center"/>
        </w:trPr>
        <w:tc>
          <w:tcPr>
            <w:tcW w:w="190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功能分类科目编码</w:t>
            </w:r>
          </w:p>
        </w:tc>
        <w:tc>
          <w:tcPr>
            <w:tcW w:w="2776"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eastAsiaTheme="majorEastAsia"/>
                <w:sz w:val="24"/>
                <w:szCs w:val="24"/>
              </w:rPr>
            </w:pPr>
            <w:r>
              <w:rPr>
                <w:rFonts w:ascii="Times New Roman" w:hAnsi="Times New Roman" w:cs="Times New Roman" w:eastAsiaTheme="majorEastAsia"/>
              </w:rPr>
              <w:t>科目名称</w:t>
            </w:r>
          </w:p>
        </w:tc>
        <w:tc>
          <w:tcPr>
            <w:tcW w:w="1399"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c>
          <w:tcPr>
            <w:tcW w:w="170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c>
          <w:tcPr>
            <w:tcW w:w="152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c>
          <w:tcPr>
            <w:tcW w:w="148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c>
          <w:tcPr>
            <w:tcW w:w="140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c>
          <w:tcPr>
            <w:tcW w:w="133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c>
          <w:tcPr>
            <w:tcW w:w="14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ajorEastAsia"/>
                <w:sz w:val="24"/>
                <w:szCs w:val="24"/>
              </w:rPr>
            </w:pPr>
          </w:p>
        </w:tc>
      </w:tr>
      <w:tr>
        <w:tblPrEx>
          <w:tblLayout w:type="fixed"/>
          <w:tblCellMar>
            <w:top w:w="0" w:type="dxa"/>
            <w:left w:w="0" w:type="dxa"/>
            <w:bottom w:w="0" w:type="dxa"/>
            <w:right w:w="0" w:type="dxa"/>
          </w:tblCellMar>
        </w:tblPrEx>
        <w:trPr>
          <w:trHeight w:val="312" w:hRule="atLeast"/>
          <w:jc w:val="center"/>
        </w:trPr>
        <w:tc>
          <w:tcPr>
            <w:tcW w:w="190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2776"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399"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70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52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48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40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33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c>
          <w:tcPr>
            <w:tcW w:w="14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4"/>
                <w:szCs w:val="24"/>
              </w:rPr>
            </w:pPr>
          </w:p>
        </w:tc>
      </w:tr>
      <w:tr>
        <w:tblPrEx>
          <w:tblLayout w:type="fixed"/>
          <w:tblCellMar>
            <w:top w:w="0" w:type="dxa"/>
            <w:left w:w="0" w:type="dxa"/>
            <w:bottom w:w="0" w:type="dxa"/>
            <w:right w:w="0" w:type="dxa"/>
          </w:tblCellMar>
        </w:tblPrEx>
        <w:trPr>
          <w:jc w:val="center"/>
        </w:trPr>
        <w:tc>
          <w:tcPr>
            <w:tcW w:w="4682"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栏次</w:t>
            </w:r>
          </w:p>
        </w:tc>
        <w:tc>
          <w:tcPr>
            <w:tcW w:w="13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1</w:t>
            </w:r>
          </w:p>
        </w:tc>
        <w:tc>
          <w:tcPr>
            <w:tcW w:w="170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2</w:t>
            </w:r>
          </w:p>
        </w:tc>
        <w:tc>
          <w:tcPr>
            <w:tcW w:w="152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3</w:t>
            </w:r>
          </w:p>
        </w:tc>
        <w:tc>
          <w:tcPr>
            <w:tcW w:w="14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4</w:t>
            </w:r>
          </w:p>
        </w:tc>
        <w:tc>
          <w:tcPr>
            <w:tcW w:w="140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5</w:t>
            </w:r>
          </w:p>
        </w:tc>
        <w:tc>
          <w:tcPr>
            <w:tcW w:w="133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6</w:t>
            </w:r>
          </w:p>
        </w:tc>
        <w:tc>
          <w:tcPr>
            <w:tcW w:w="142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7</w:t>
            </w:r>
          </w:p>
        </w:tc>
      </w:tr>
      <w:tr>
        <w:tblPrEx>
          <w:tblLayout w:type="fixed"/>
          <w:tblCellMar>
            <w:top w:w="0" w:type="dxa"/>
            <w:left w:w="0" w:type="dxa"/>
            <w:bottom w:w="0" w:type="dxa"/>
            <w:right w:w="0" w:type="dxa"/>
          </w:tblCellMar>
        </w:tblPrEx>
        <w:trPr>
          <w:jc w:val="center"/>
        </w:trPr>
        <w:tc>
          <w:tcPr>
            <w:tcW w:w="4682"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sz w:val="24"/>
                <w:szCs w:val="24"/>
              </w:rPr>
            </w:pPr>
            <w:r>
              <w:rPr>
                <w:rFonts w:ascii="Times New Roman" w:hAnsi="Times New Roman" w:cs="Times New Roman"/>
              </w:rPr>
              <w:t>合计</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385.90</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385.90</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r>
      <w:tr>
        <w:tblPrEx>
          <w:tblLayout w:type="fixed"/>
          <w:tblCellMar>
            <w:top w:w="0" w:type="dxa"/>
            <w:left w:w="0" w:type="dxa"/>
            <w:bottom w:w="0" w:type="dxa"/>
            <w:right w:w="0" w:type="dxa"/>
          </w:tblCellMar>
        </w:tblPrEx>
        <w:trPr>
          <w:jc w:val="center"/>
        </w:trPr>
        <w:tc>
          <w:tcPr>
            <w:tcW w:w="1906"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2010450</w:t>
            </w:r>
          </w:p>
        </w:tc>
        <w:tc>
          <w:tcPr>
            <w:tcW w:w="27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事业运行</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246.47</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246.47</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r>
      <w:tr>
        <w:tblPrEx>
          <w:tblLayout w:type="fixed"/>
          <w:tblCellMar>
            <w:top w:w="0" w:type="dxa"/>
            <w:left w:w="0" w:type="dxa"/>
            <w:bottom w:w="0" w:type="dxa"/>
            <w:right w:w="0" w:type="dxa"/>
          </w:tblCellMar>
        </w:tblPrEx>
        <w:trPr>
          <w:trHeight w:val="373" w:hRule="atLeast"/>
          <w:jc w:val="center"/>
        </w:trPr>
        <w:tc>
          <w:tcPr>
            <w:tcW w:w="1906"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2210201</w:t>
            </w:r>
          </w:p>
        </w:tc>
        <w:tc>
          <w:tcPr>
            <w:tcW w:w="27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住房公积金</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22.27</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22.27</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r>
      <w:tr>
        <w:tblPrEx>
          <w:tblLayout w:type="fixed"/>
          <w:tblCellMar>
            <w:top w:w="0" w:type="dxa"/>
            <w:left w:w="0" w:type="dxa"/>
            <w:bottom w:w="0" w:type="dxa"/>
            <w:right w:w="0" w:type="dxa"/>
          </w:tblCellMar>
        </w:tblPrEx>
        <w:trPr>
          <w:jc w:val="center"/>
        </w:trPr>
        <w:tc>
          <w:tcPr>
            <w:tcW w:w="1906"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2010499</w:t>
            </w:r>
          </w:p>
        </w:tc>
        <w:tc>
          <w:tcPr>
            <w:tcW w:w="27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其他发展与改革事务支出</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78.82</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78.82</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r>
      <w:tr>
        <w:tblPrEx>
          <w:tblLayout w:type="fixed"/>
          <w:tblCellMar>
            <w:top w:w="0" w:type="dxa"/>
            <w:left w:w="0" w:type="dxa"/>
            <w:bottom w:w="0" w:type="dxa"/>
            <w:right w:w="0" w:type="dxa"/>
          </w:tblCellMar>
        </w:tblPrEx>
        <w:trPr>
          <w:jc w:val="center"/>
        </w:trPr>
        <w:tc>
          <w:tcPr>
            <w:tcW w:w="1906"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2080505</w:t>
            </w:r>
          </w:p>
        </w:tc>
        <w:tc>
          <w:tcPr>
            <w:tcW w:w="27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机关事业单位基本养老保险缴费支出</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32.72</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32.72</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r>
      <w:tr>
        <w:tblPrEx>
          <w:tblLayout w:type="fixed"/>
          <w:tblCellMar>
            <w:top w:w="0" w:type="dxa"/>
            <w:left w:w="0" w:type="dxa"/>
            <w:bottom w:w="0" w:type="dxa"/>
            <w:right w:w="0" w:type="dxa"/>
          </w:tblCellMar>
        </w:tblPrEx>
        <w:trPr>
          <w:jc w:val="center"/>
        </w:trPr>
        <w:tc>
          <w:tcPr>
            <w:tcW w:w="1906"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2080502</w:t>
            </w:r>
          </w:p>
        </w:tc>
        <w:tc>
          <w:tcPr>
            <w:tcW w:w="27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sz w:val="24"/>
                <w:szCs w:val="24"/>
              </w:rPr>
            </w:pPr>
            <w:r>
              <w:rPr>
                <w:rFonts w:ascii="Times New Roman" w:hAnsi="Times New Roman" w:cs="Times New Roman"/>
                <w:color w:val="000000"/>
                <w:kern w:val="0"/>
                <w:sz w:val="22"/>
                <w:lang w:bidi="ar"/>
              </w:rPr>
              <w:t>事业单位离退休</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5.62</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5.62</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right"/>
              <w:textAlignment w:val="center"/>
              <w:rPr>
                <w:rFonts w:ascii="Times New Roman" w:hAnsi="Times New Roman" w:cs="Times New Roman"/>
                <w:sz w:val="24"/>
                <w:szCs w:val="24"/>
              </w:rPr>
            </w:pPr>
            <w:r>
              <w:rPr>
                <w:rFonts w:ascii="Times New Roman" w:hAnsi="Times New Roman" w:cs="Times New Roman"/>
                <w:color w:val="000000"/>
                <w:kern w:val="0"/>
                <w:sz w:val="22"/>
                <w:lang w:bidi="ar"/>
              </w:rPr>
              <w:t>0.00</w:t>
            </w:r>
          </w:p>
        </w:tc>
      </w:tr>
      <w:tr>
        <w:tblPrEx>
          <w:tblLayout w:type="fixed"/>
          <w:tblCellMar>
            <w:top w:w="0" w:type="dxa"/>
            <w:left w:w="0" w:type="dxa"/>
            <w:bottom w:w="0" w:type="dxa"/>
            <w:right w:w="0" w:type="dxa"/>
          </w:tblCellMar>
        </w:tblPrEx>
        <w:trPr>
          <w:jc w:val="center"/>
        </w:trPr>
        <w:tc>
          <w:tcPr>
            <w:tcW w:w="1906"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Times New Roman" w:hAnsi="Times New Roman" w:cs="Times New Roman"/>
                <w:sz w:val="24"/>
                <w:szCs w:val="24"/>
              </w:rPr>
            </w:pPr>
            <w:r>
              <w:rPr>
                <w:rFonts w:ascii="Times New Roman" w:hAnsi="Times New Roman" w:cs="Times New Roman"/>
              </w:rPr>
              <w:t>　</w:t>
            </w:r>
          </w:p>
        </w:tc>
        <w:tc>
          <w:tcPr>
            <w:tcW w:w="27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Times New Roman" w:hAnsi="Times New Roman" w:cs="Times New Roman"/>
                <w:sz w:val="24"/>
                <w:szCs w:val="24"/>
              </w:rPr>
            </w:pPr>
            <w:r>
              <w:rPr>
                <w:rFonts w:ascii="Times New Roman" w:hAnsi="Times New Roman" w:cs="Times New Roman"/>
              </w:rPr>
              <w:t>　</w:t>
            </w:r>
          </w:p>
        </w:tc>
        <w:tc>
          <w:tcPr>
            <w:tcW w:w="139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c>
          <w:tcPr>
            <w:tcW w:w="170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c>
          <w:tcPr>
            <w:tcW w:w="152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c>
          <w:tcPr>
            <w:tcW w:w="1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c>
          <w:tcPr>
            <w:tcW w:w="140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c>
          <w:tcPr>
            <w:tcW w:w="133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c>
          <w:tcPr>
            <w:tcW w:w="1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sz w:val="24"/>
                <w:szCs w:val="24"/>
              </w:rPr>
            </w:pPr>
            <w:r>
              <w:rPr>
                <w:rFonts w:ascii="Times New Roman" w:hAnsi="Times New Roman" w:cs="Times New Roman"/>
              </w:rPr>
              <w:t>　</w:t>
            </w:r>
          </w:p>
        </w:tc>
      </w:tr>
      <w:tr>
        <w:tblPrEx>
          <w:tblLayout w:type="fixed"/>
          <w:tblCellMar>
            <w:top w:w="0" w:type="dxa"/>
            <w:left w:w="0" w:type="dxa"/>
            <w:bottom w:w="0" w:type="dxa"/>
            <w:right w:w="0" w:type="dxa"/>
          </w:tblCellMar>
        </w:tblPrEx>
        <w:trPr>
          <w:jc w:val="center"/>
        </w:trPr>
        <w:tc>
          <w:tcPr>
            <w:tcW w:w="14951" w:type="dxa"/>
            <w:gridSpan w:val="9"/>
            <w:tcBorders>
              <w:top w:val="nil"/>
              <w:left w:val="nil"/>
              <w:bottom w:val="nil"/>
              <w:right w:val="nil"/>
            </w:tcBorders>
            <w:shd w:val="clear" w:color="auto" w:fill="auto"/>
            <w:tcMar>
              <w:top w:w="15" w:type="dxa"/>
              <w:left w:w="15" w:type="dxa"/>
              <w:bottom w:w="0" w:type="dxa"/>
              <w:right w:w="15" w:type="dxa"/>
            </w:tcMar>
            <w:vAlign w:val="center"/>
          </w:tcPr>
          <w:p>
            <w:pPr>
              <w:rPr>
                <w:rFonts w:ascii="Times New Roman" w:hAnsi="Times New Roman" w:cs="Times New Roman"/>
                <w:sz w:val="24"/>
                <w:szCs w:val="24"/>
              </w:rPr>
            </w:pPr>
            <w:r>
              <w:rPr>
                <w:rFonts w:ascii="Times New Roman" w:hAnsi="Times New Roman" w:cs="Times New Roman"/>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jc w:val="center"/>
        <w:rPr>
          <w:rFonts w:ascii="Times New Roman" w:hAnsi="Times New Roman" w:eastAsia="华文中宋" w:cs="Times New Roman"/>
          <w:color w:val="000000"/>
          <w:kern w:val="0"/>
          <w:sz w:val="36"/>
          <w:szCs w:val="36"/>
        </w:rPr>
      </w:pPr>
      <w:r>
        <w:rPr>
          <w:rFonts w:ascii="Times New Roman" w:hAnsi="Times New Roman" w:eastAsia="华文中宋" w:cs="Times New Roman"/>
          <w:color w:val="000000"/>
          <w:kern w:val="0"/>
          <w:sz w:val="36"/>
          <w:szCs w:val="36"/>
        </w:rPr>
        <w:t>支出决算表</w:t>
      </w:r>
    </w:p>
    <w:p>
      <w:pPr>
        <w:widowControl/>
        <w:jc w:val="right"/>
        <w:rPr>
          <w:rFonts w:ascii="Times New Roman" w:hAnsi="Times New Roman" w:eastAsia="宋体" w:cs="Times New Roman"/>
          <w:color w:val="000000"/>
          <w:kern w:val="0"/>
          <w:sz w:val="20"/>
          <w:szCs w:val="20"/>
        </w:rPr>
      </w:pPr>
      <w:r>
        <w:rPr>
          <w:rFonts w:ascii="Times New Roman" w:hAnsi="Times New Roman" w:eastAsia="宋体" w:cs="Times New Roman"/>
          <w:kern w:val="0"/>
          <w:sz w:val="24"/>
          <w:szCs w:val="24"/>
        </w:rPr>
        <w:t>　</w:t>
      </w:r>
      <w:r>
        <w:rPr>
          <w:rFonts w:ascii="Times New Roman" w:hAnsi="Times New Roman" w:eastAsia="宋体" w:cs="Times New Roman"/>
          <w:color w:val="000000"/>
          <w:kern w:val="0"/>
          <w:sz w:val="20"/>
          <w:szCs w:val="20"/>
        </w:rPr>
        <w:t>公开03表</w:t>
      </w:r>
    </w:p>
    <w:p>
      <w:pPr>
        <w:widowControl/>
        <w:jc w:val="left"/>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 xml:space="preserve">部门：                                                                                                                               </w:t>
      </w:r>
      <w:r>
        <w:rPr>
          <w:rFonts w:ascii="Times New Roman" w:hAnsi="Times New Roman" w:eastAsia="宋体" w:cs="Times New Roman"/>
          <w:kern w:val="0"/>
          <w:sz w:val="24"/>
          <w:szCs w:val="24"/>
        </w:rPr>
        <w:t>　</w:t>
      </w:r>
      <w:r>
        <w:rPr>
          <w:rFonts w:ascii="Times New Roman" w:hAnsi="Times New Roman" w:eastAsia="宋体" w:cs="Times New Roman"/>
          <w:color w:val="000000"/>
          <w:kern w:val="0"/>
          <w:sz w:val="20"/>
          <w:szCs w:val="20"/>
        </w:rPr>
        <w:t>单位：万元</w:t>
      </w:r>
    </w:p>
    <w:tbl>
      <w:tblPr>
        <w:tblStyle w:val="11"/>
        <w:tblW w:w="14530" w:type="dxa"/>
        <w:jc w:val="center"/>
        <w:tblInd w:w="0" w:type="dxa"/>
        <w:tblLayout w:type="fixed"/>
        <w:tblCellMar>
          <w:top w:w="0" w:type="dxa"/>
          <w:left w:w="108" w:type="dxa"/>
          <w:bottom w:w="0" w:type="dxa"/>
          <w:right w:w="108" w:type="dxa"/>
        </w:tblCellMar>
      </w:tblPr>
      <w:tblGrid>
        <w:gridCol w:w="1499"/>
        <w:gridCol w:w="3815"/>
        <w:gridCol w:w="1536"/>
        <w:gridCol w:w="1536"/>
        <w:gridCol w:w="1536"/>
        <w:gridCol w:w="1536"/>
        <w:gridCol w:w="1536"/>
        <w:gridCol w:w="1536"/>
      </w:tblGrid>
      <w:tr>
        <w:tblPrEx>
          <w:tblLayout w:type="fixed"/>
          <w:tblCellMar>
            <w:top w:w="0" w:type="dxa"/>
            <w:left w:w="108" w:type="dxa"/>
            <w:bottom w:w="0" w:type="dxa"/>
            <w:right w:w="108" w:type="dxa"/>
          </w:tblCellMar>
        </w:tblPrEx>
        <w:trPr>
          <w:trHeight w:val="312" w:hRule="atLeast"/>
          <w:jc w:val="center"/>
        </w:trPr>
        <w:tc>
          <w:tcPr>
            <w:tcW w:w="531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项    目</w:t>
            </w:r>
          </w:p>
        </w:tc>
        <w:tc>
          <w:tcPr>
            <w:tcW w:w="15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本年支出</w:t>
            </w:r>
          </w:p>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合计</w:t>
            </w:r>
          </w:p>
        </w:tc>
        <w:tc>
          <w:tcPr>
            <w:tcW w:w="15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基本支出</w:t>
            </w:r>
          </w:p>
        </w:tc>
        <w:tc>
          <w:tcPr>
            <w:tcW w:w="15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项目支出</w:t>
            </w:r>
          </w:p>
        </w:tc>
        <w:tc>
          <w:tcPr>
            <w:tcW w:w="15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上缴上级</w:t>
            </w:r>
          </w:p>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支出</w:t>
            </w:r>
          </w:p>
        </w:tc>
        <w:tc>
          <w:tcPr>
            <w:tcW w:w="15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经营支出</w:t>
            </w:r>
          </w:p>
        </w:tc>
        <w:tc>
          <w:tcPr>
            <w:tcW w:w="15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对附属单位补助支出</w:t>
            </w:r>
          </w:p>
        </w:tc>
      </w:tr>
      <w:tr>
        <w:tblPrEx>
          <w:tblLayout w:type="fixed"/>
          <w:tblCellMar>
            <w:top w:w="0" w:type="dxa"/>
            <w:left w:w="108" w:type="dxa"/>
            <w:bottom w:w="0" w:type="dxa"/>
            <w:right w:w="108" w:type="dxa"/>
          </w:tblCellMar>
        </w:tblPrEx>
        <w:trPr>
          <w:trHeight w:val="312" w:hRule="atLeast"/>
          <w:jc w:val="center"/>
        </w:trPr>
        <w:tc>
          <w:tcPr>
            <w:tcW w:w="149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功能分类科目编码</w:t>
            </w:r>
          </w:p>
        </w:tc>
        <w:tc>
          <w:tcPr>
            <w:tcW w:w="381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科目名称</w:t>
            </w: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r>
      <w:tr>
        <w:tblPrEx>
          <w:tblLayout w:type="fixed"/>
          <w:tblCellMar>
            <w:top w:w="0" w:type="dxa"/>
            <w:left w:w="108" w:type="dxa"/>
            <w:bottom w:w="0" w:type="dxa"/>
            <w:right w:w="108" w:type="dxa"/>
          </w:tblCellMar>
        </w:tblPrEx>
        <w:trPr>
          <w:trHeight w:val="312" w:hRule="atLeast"/>
          <w:jc w:val="center"/>
        </w:trPr>
        <w:tc>
          <w:tcPr>
            <w:tcW w:w="149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381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r>
      <w:tr>
        <w:tblPrEx>
          <w:tblLayout w:type="fixed"/>
          <w:tblCellMar>
            <w:top w:w="0" w:type="dxa"/>
            <w:left w:w="108" w:type="dxa"/>
            <w:bottom w:w="0" w:type="dxa"/>
            <w:right w:w="108" w:type="dxa"/>
          </w:tblCellMar>
        </w:tblPrEx>
        <w:trPr>
          <w:trHeight w:val="312" w:hRule="atLeast"/>
          <w:jc w:val="center"/>
        </w:trPr>
        <w:tc>
          <w:tcPr>
            <w:tcW w:w="531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栏次</w:t>
            </w:r>
          </w:p>
        </w:tc>
        <w:tc>
          <w:tcPr>
            <w:tcW w:w="153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53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53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53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53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c>
          <w:tcPr>
            <w:tcW w:w="153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p>
        </w:tc>
      </w:tr>
      <w:tr>
        <w:tblPrEx>
          <w:tblLayout w:type="fixed"/>
          <w:tblCellMar>
            <w:top w:w="0" w:type="dxa"/>
            <w:left w:w="108" w:type="dxa"/>
            <w:bottom w:w="0" w:type="dxa"/>
            <w:right w:w="108" w:type="dxa"/>
          </w:tblCellMar>
        </w:tblPrEx>
        <w:trPr>
          <w:trHeight w:val="312" w:hRule="atLeast"/>
          <w:jc w:val="center"/>
        </w:trPr>
        <w:tc>
          <w:tcPr>
            <w:tcW w:w="531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合计</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374.30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361.12</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13.18</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12" w:hRule="atLeast"/>
          <w:jc w:val="center"/>
        </w:trPr>
        <w:tc>
          <w:tcPr>
            <w:tcW w:w="149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2210201</w:t>
            </w:r>
          </w:p>
        </w:tc>
        <w:tc>
          <w:tcPr>
            <w:tcW w:w="381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住房公积金</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22.27</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22.27</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12" w:hRule="atLeast"/>
          <w:jc w:val="center"/>
        </w:trPr>
        <w:tc>
          <w:tcPr>
            <w:tcW w:w="149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2010450</w:t>
            </w:r>
          </w:p>
        </w:tc>
        <w:tc>
          <w:tcPr>
            <w:tcW w:w="381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事业运行</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243.51</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243.51</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12" w:hRule="atLeast"/>
          <w:jc w:val="center"/>
        </w:trPr>
        <w:tc>
          <w:tcPr>
            <w:tcW w:w="149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2010408</w:t>
            </w:r>
          </w:p>
        </w:tc>
        <w:tc>
          <w:tcPr>
            <w:tcW w:w="381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物价管理</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0.20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0.20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12" w:hRule="atLeast"/>
          <w:jc w:val="center"/>
        </w:trPr>
        <w:tc>
          <w:tcPr>
            <w:tcW w:w="149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2010499</w:t>
            </w:r>
          </w:p>
        </w:tc>
        <w:tc>
          <w:tcPr>
            <w:tcW w:w="381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其他发展与改革事务支出</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69.99</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57.00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12.98</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12" w:hRule="atLeast"/>
          <w:jc w:val="center"/>
        </w:trPr>
        <w:tc>
          <w:tcPr>
            <w:tcW w:w="149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2080505</w:t>
            </w:r>
          </w:p>
        </w:tc>
        <w:tc>
          <w:tcPr>
            <w:tcW w:w="381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机关事业单位基本养老保险缴费支出</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32.72</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32.72</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12" w:hRule="atLeast"/>
          <w:jc w:val="center"/>
        </w:trPr>
        <w:tc>
          <w:tcPr>
            <w:tcW w:w="149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2080502</w:t>
            </w:r>
          </w:p>
        </w:tc>
        <w:tc>
          <w:tcPr>
            <w:tcW w:w="381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事业单位离退休</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5.62</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5.62</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36"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r>
    </w:tbl>
    <w:p>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注：本表反映部门本年度各项支出情况。</w:t>
      </w:r>
    </w:p>
    <w:p>
      <w:pPr>
        <w:widowControl/>
        <w:rPr>
          <w:rFonts w:ascii="Times New Roman" w:hAnsi="Times New Roman" w:eastAsia="方正小标宋_GBK" w:cs="Times New Roman"/>
          <w:color w:val="000000"/>
          <w:kern w:val="0"/>
          <w:sz w:val="36"/>
          <w:szCs w:val="21"/>
        </w:rPr>
      </w:pPr>
    </w:p>
    <w:p>
      <w:pPr>
        <w:widowControl/>
        <w:jc w:val="left"/>
        <w:rPr>
          <w:rFonts w:ascii="Times New Roman" w:hAnsi="Times New Roman" w:eastAsia="方正小标宋_GBK" w:cs="Times New Roman"/>
          <w:color w:val="000000"/>
          <w:kern w:val="0"/>
          <w:sz w:val="36"/>
          <w:szCs w:val="21"/>
        </w:rPr>
      </w:pPr>
      <w:r>
        <w:rPr>
          <w:rFonts w:ascii="Times New Roman" w:hAnsi="Times New Roman" w:eastAsia="方正小标宋_GBK" w:cs="Times New Roman"/>
          <w:color w:val="000000"/>
          <w:kern w:val="0"/>
          <w:sz w:val="36"/>
          <w:szCs w:val="21"/>
        </w:rPr>
        <w:br w:type="page"/>
      </w:r>
    </w:p>
    <w:p>
      <w:pPr>
        <w:widowControl/>
        <w:ind w:firstLine="360" w:firstLineChars="100"/>
        <w:jc w:val="center"/>
        <w:rPr>
          <w:rFonts w:ascii="Times New Roman" w:hAnsi="Times New Roman" w:eastAsia="宋体" w:cs="Times New Roman"/>
          <w:kern w:val="0"/>
          <w:sz w:val="24"/>
          <w:szCs w:val="24"/>
        </w:rPr>
      </w:pPr>
      <w:bookmarkStart w:id="0" w:name="RANGE!A1:I22"/>
      <w:bookmarkEnd w:id="0"/>
      <w:bookmarkStart w:id="1" w:name="RANGE!A1:F16"/>
      <w:r>
        <w:rPr>
          <w:rFonts w:ascii="Times New Roman" w:hAnsi="Times New Roman" w:eastAsia="方正小标宋简体" w:cs="Times New Roman"/>
          <w:color w:val="000000"/>
          <w:kern w:val="0"/>
          <w:sz w:val="36"/>
          <w:szCs w:val="36"/>
        </w:rPr>
        <w:t>财政拨款收入支出决算总表</w:t>
      </w:r>
    </w:p>
    <w:p>
      <w:pPr>
        <w:widowControl/>
        <w:jc w:val="right"/>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公开04表</w:t>
      </w:r>
    </w:p>
    <w:p>
      <w:pPr>
        <w:widowControl/>
        <w:jc w:val="left"/>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w:t>
      </w:r>
      <w:r>
        <w:rPr>
          <w:rFonts w:hint="eastAsia" w:ascii="Times New Roman" w:hAnsi="Times New Roman" w:eastAsia="宋体" w:cs="Times New Roman"/>
          <w:color w:val="000000"/>
          <w:kern w:val="0"/>
          <w:sz w:val="20"/>
          <w:szCs w:val="20"/>
        </w:rPr>
        <w:t xml:space="preserve">                                                                                                                                </w:t>
      </w:r>
      <w:r>
        <w:rPr>
          <w:rFonts w:ascii="Times New Roman" w:hAnsi="Times New Roman" w:eastAsia="宋体" w:cs="Times New Roman"/>
          <w:kern w:val="0"/>
          <w:sz w:val="24"/>
          <w:szCs w:val="24"/>
        </w:rPr>
        <w:t>　</w:t>
      </w:r>
      <w:r>
        <w:rPr>
          <w:rFonts w:ascii="Times New Roman" w:hAnsi="Times New Roman" w:eastAsia="宋体" w:cs="Times New Roman"/>
          <w:color w:val="000000"/>
          <w:kern w:val="0"/>
          <w:sz w:val="20"/>
          <w:szCs w:val="20"/>
        </w:rPr>
        <w:t>单位：万元</w:t>
      </w:r>
    </w:p>
    <w:tbl>
      <w:tblPr>
        <w:tblStyle w:val="11"/>
        <w:tblW w:w="15081" w:type="dxa"/>
        <w:jc w:val="center"/>
        <w:tblInd w:w="0" w:type="dxa"/>
        <w:tblLayout w:type="fixed"/>
        <w:tblCellMar>
          <w:top w:w="0" w:type="dxa"/>
          <w:left w:w="108" w:type="dxa"/>
          <w:bottom w:w="0" w:type="dxa"/>
          <w:right w:w="108" w:type="dxa"/>
        </w:tblCellMar>
      </w:tblPr>
      <w:tblGrid>
        <w:gridCol w:w="3453"/>
        <w:gridCol w:w="588"/>
        <w:gridCol w:w="1124"/>
        <w:gridCol w:w="3547"/>
        <w:gridCol w:w="741"/>
        <w:gridCol w:w="1267"/>
        <w:gridCol w:w="1394"/>
        <w:gridCol w:w="1394"/>
        <w:gridCol w:w="1573"/>
      </w:tblGrid>
      <w:tr>
        <w:tblPrEx>
          <w:tblLayout w:type="fixed"/>
          <w:tblCellMar>
            <w:top w:w="0" w:type="dxa"/>
            <w:left w:w="108" w:type="dxa"/>
            <w:bottom w:w="0" w:type="dxa"/>
            <w:right w:w="108" w:type="dxa"/>
          </w:tblCellMar>
        </w:tblPrEx>
        <w:trPr>
          <w:tblHeader/>
          <w:jc w:val="center"/>
        </w:trPr>
        <w:tc>
          <w:tcPr>
            <w:tcW w:w="516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收入</w:t>
            </w:r>
          </w:p>
        </w:tc>
        <w:tc>
          <w:tcPr>
            <w:tcW w:w="9916" w:type="dxa"/>
            <w:gridSpan w:val="6"/>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支出</w:t>
            </w:r>
          </w:p>
        </w:tc>
      </w:tr>
      <w:tr>
        <w:tblPrEx>
          <w:tblLayout w:type="fixed"/>
          <w:tblCellMar>
            <w:top w:w="0" w:type="dxa"/>
            <w:left w:w="108" w:type="dxa"/>
            <w:bottom w:w="0" w:type="dxa"/>
            <w:right w:w="108" w:type="dxa"/>
          </w:tblCellMar>
        </w:tblPrEx>
        <w:trPr>
          <w:tblHeade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项    目</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行次</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金额</w:t>
            </w:r>
          </w:p>
        </w:tc>
        <w:tc>
          <w:tcPr>
            <w:tcW w:w="354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项    目</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行次</w:t>
            </w:r>
          </w:p>
        </w:tc>
        <w:tc>
          <w:tcPr>
            <w:tcW w:w="126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国有资本经营预算财政拨款</w:t>
            </w:r>
          </w:p>
        </w:tc>
      </w:tr>
      <w:tr>
        <w:tblPrEx>
          <w:tblLayout w:type="fixed"/>
          <w:tblCellMar>
            <w:top w:w="0" w:type="dxa"/>
            <w:left w:w="108" w:type="dxa"/>
            <w:bottom w:w="0" w:type="dxa"/>
            <w:right w:w="108" w:type="dxa"/>
          </w:tblCellMar>
        </w:tblPrEx>
        <w:trPr>
          <w:tblHeade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栏    次</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354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栏    次</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26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一、一般公共预算财政拨款</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385.90</w:t>
            </w:r>
          </w:p>
        </w:tc>
        <w:tc>
          <w:tcPr>
            <w:tcW w:w="354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一、一般公共服务支出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15</w:t>
            </w:r>
          </w:p>
        </w:tc>
        <w:tc>
          <w:tcPr>
            <w:tcW w:w="126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313.69</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313.69</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二、政府性基金预算财政拨款</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354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二、外交支出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16</w:t>
            </w:r>
          </w:p>
        </w:tc>
        <w:tc>
          <w:tcPr>
            <w:tcW w:w="126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三、国有资本经营预算财政拨款</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354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三、国防支出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17</w:t>
            </w:r>
          </w:p>
        </w:tc>
        <w:tc>
          <w:tcPr>
            <w:tcW w:w="126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4"/>
                <w:szCs w:val="24"/>
              </w:rPr>
              <w:t>　</w:t>
            </w: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四、公共安全支出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36</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4"/>
                <w:szCs w:val="24"/>
              </w:rPr>
              <w:t>　</w:t>
            </w: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五、教育支出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37</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4"/>
                <w:szCs w:val="24"/>
              </w:rPr>
              <w:t>　</w:t>
            </w: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六、科学技术支出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38</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4"/>
                <w:szCs w:val="24"/>
              </w:rPr>
              <w:t>　</w:t>
            </w: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七、文化旅游体育与传媒支出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39</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sz w:val="22"/>
              </w:rPr>
            </w:pP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sz w:val="24"/>
                <w:szCs w:val="24"/>
              </w:rPr>
            </w:pPr>
            <w:r>
              <w:rPr>
                <w:rFonts w:ascii="Times New Roman" w:hAnsi="Times New Roman" w:eastAsia="宋体" w:cs="Times New Roman"/>
                <w:sz w:val="24"/>
                <w:szCs w:val="24"/>
              </w:rPr>
              <w:t>8</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八、社会保障和就业支出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40</w:t>
            </w:r>
          </w:p>
        </w:tc>
        <w:tc>
          <w:tcPr>
            <w:tcW w:w="126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38.34</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38.34</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b/>
                <w:bCs/>
                <w:sz w:val="22"/>
              </w:rPr>
            </w:pP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9</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九、卫生健康支出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41</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sz w:val="22"/>
              </w:rPr>
            </w:pP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十、节能环保支出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42</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sz w:val="22"/>
              </w:rPr>
            </w:pP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11</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十一、城乡社区支出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43</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sz w:val="22"/>
              </w:rPr>
            </w:pP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12</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十二、农林水支出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44</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auto" w:fill="auto"/>
            <w:vAlign w:val="center"/>
          </w:tcPr>
          <w:p>
            <w:pPr>
              <w:pStyle w:val="21"/>
              <w:ind w:firstLine="0" w:firstLineChars="0"/>
              <w:rPr>
                <w:rFonts w:hint="default" w:ascii="Times New Roman" w:hAnsi="Times New Roman"/>
                <w:sz w:val="22"/>
              </w:rPr>
            </w:pPr>
          </w:p>
        </w:tc>
        <w:tc>
          <w:tcPr>
            <w:tcW w:w="58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13</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十三、交通运输支出</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45</w:t>
            </w:r>
          </w:p>
        </w:tc>
        <w:tc>
          <w:tcPr>
            <w:tcW w:w="126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b/>
                <w:bCs/>
                <w:sz w:val="22"/>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14</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十四、资源勘探工业信息等支出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46</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十五、商业服务业等支出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47</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16</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十六、金融支出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48</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17</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十七、援助其他地区支出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49</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rPr>
                <w:rFonts w:ascii="Times New Roman" w:hAnsi="Times New Roman" w:cs="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18</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十八、自然资源海洋气象等支出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50</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19</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十九、住房保障支出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51</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22.27</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22.27</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二十、粮油物资储备支出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52</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21</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二十一、国有资本经营预算支出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53</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22</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二十二、灾害防治及应急管理支出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54</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23</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二十三、其他支出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55</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pStyle w:val="21"/>
              <w:ind w:firstLine="0" w:firstLineChars="0"/>
              <w:rPr>
                <w:rFonts w:hint="default" w:ascii="Times New Roman" w:hAnsi="Times New Roman"/>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24</w:t>
            </w:r>
          </w:p>
        </w:tc>
        <w:tc>
          <w:tcPr>
            <w:tcW w:w="112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二十四、债务还本支出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56</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二十五、债务付息支出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57</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eastAsia="宋体" w:cs="Times New Roman"/>
                <w:kern w:val="0"/>
                <w:sz w:val="22"/>
              </w:rPr>
            </w:pP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26</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24"/>
                <w:szCs w:val="24"/>
              </w:rPr>
            </w:pPr>
          </w:p>
        </w:tc>
        <w:tc>
          <w:tcPr>
            <w:tcW w:w="3547"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二十六、抗疫特别国债安排的支出</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58</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b/>
                <w:bCs/>
                <w:kern w:val="0"/>
                <w:sz w:val="22"/>
              </w:rPr>
            </w:pPr>
            <w:r>
              <w:rPr>
                <w:rFonts w:ascii="Times New Roman" w:hAnsi="Times New Roman" w:eastAsia="宋体" w:cs="Times New Roman"/>
                <w:b/>
                <w:bCs/>
                <w:kern w:val="0"/>
                <w:sz w:val="22"/>
              </w:rPr>
              <w:t>本年收入合计</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27</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385.90</w:t>
            </w:r>
          </w:p>
        </w:tc>
        <w:tc>
          <w:tcPr>
            <w:tcW w:w="354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b/>
                <w:bCs/>
                <w:kern w:val="0"/>
                <w:sz w:val="22"/>
              </w:rPr>
            </w:pPr>
            <w:r>
              <w:rPr>
                <w:rFonts w:ascii="Times New Roman" w:hAnsi="Times New Roman" w:eastAsia="宋体" w:cs="Times New Roman"/>
                <w:b/>
                <w:bCs/>
                <w:kern w:val="0"/>
                <w:sz w:val="22"/>
              </w:rPr>
              <w:t>本年支出合计</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59</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374.30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374.30</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b/>
                <w:bCs/>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年初财政拨款结转和结余</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28</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18.20</w:t>
            </w:r>
          </w:p>
        </w:tc>
        <w:tc>
          <w:tcPr>
            <w:tcW w:w="354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年末财政拨款结转和结余</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60</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29.80</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29.80</w:t>
            </w:r>
          </w:p>
        </w:tc>
        <w:tc>
          <w:tcPr>
            <w:tcW w:w="139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 xml:space="preserve">   一般公共预算财政拨款</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29</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18.20</w:t>
            </w:r>
          </w:p>
        </w:tc>
        <w:tc>
          <w:tcPr>
            <w:tcW w:w="3547"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61</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2"/>
              </w:rPr>
              <w:t>　</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 xml:space="preserve">     政府性基金预算财政拨款</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30</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3547"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62</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2"/>
              </w:rPr>
              <w:t>　</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 xml:space="preserve">     国有资本经营预算财政拨款</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31</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0.00</w:t>
            </w:r>
          </w:p>
        </w:tc>
        <w:tc>
          <w:tcPr>
            <w:tcW w:w="3547"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eastAsia="宋体" w:cs="Times New Roman"/>
                <w:kern w:val="0"/>
                <w:sz w:val="22"/>
              </w:rPr>
            </w:pPr>
            <w:r>
              <w:rPr>
                <w:rFonts w:ascii="Times New Roman" w:hAnsi="Times New Roman" w:eastAsia="宋体" w:cs="Times New Roman"/>
                <w:kern w:val="0"/>
                <w:sz w:val="22"/>
              </w:rPr>
              <w:t>　</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63</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eastAsia="宋体" w:cs="Times New Roman"/>
                <w:kern w:val="0"/>
                <w:sz w:val="22"/>
              </w:rPr>
              <w:t>　</w:t>
            </w:r>
          </w:p>
        </w:tc>
      </w:tr>
      <w:tr>
        <w:tblPrEx>
          <w:tblLayout w:type="fixed"/>
          <w:tblCellMar>
            <w:top w:w="0" w:type="dxa"/>
            <w:left w:w="108" w:type="dxa"/>
            <w:bottom w:w="0" w:type="dxa"/>
            <w:right w:w="108" w:type="dxa"/>
          </w:tblCellMar>
        </w:tblPrEx>
        <w:trPr>
          <w:jc w:val="center"/>
        </w:trPr>
        <w:tc>
          <w:tcPr>
            <w:tcW w:w="3453"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b/>
                <w:bCs/>
                <w:kern w:val="0"/>
                <w:sz w:val="22"/>
              </w:rPr>
            </w:pPr>
            <w:r>
              <w:rPr>
                <w:rFonts w:ascii="Times New Roman" w:hAnsi="Times New Roman" w:eastAsia="宋体" w:cs="Times New Roman"/>
                <w:b/>
                <w:bCs/>
                <w:kern w:val="0"/>
                <w:sz w:val="22"/>
              </w:rPr>
              <w:t>总计</w:t>
            </w:r>
          </w:p>
        </w:tc>
        <w:tc>
          <w:tcPr>
            <w:tcW w:w="58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32</w:t>
            </w:r>
          </w:p>
        </w:tc>
        <w:tc>
          <w:tcPr>
            <w:tcW w:w="112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2"/>
                <w:lang w:bidi="ar"/>
              </w:rPr>
              <w:t>404.10</w:t>
            </w:r>
          </w:p>
        </w:tc>
        <w:tc>
          <w:tcPr>
            <w:tcW w:w="354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b/>
                <w:bCs/>
                <w:kern w:val="0"/>
                <w:sz w:val="22"/>
              </w:rPr>
            </w:pPr>
            <w:r>
              <w:rPr>
                <w:rFonts w:ascii="Times New Roman" w:hAnsi="Times New Roman" w:eastAsia="宋体" w:cs="Times New Roman"/>
                <w:b/>
                <w:bCs/>
                <w:kern w:val="0"/>
                <w:sz w:val="22"/>
              </w:rPr>
              <w:t>总计</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64</w:t>
            </w:r>
          </w:p>
        </w:tc>
        <w:tc>
          <w:tcPr>
            <w:tcW w:w="1267"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404.10　</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404.10</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kern w:val="0"/>
                <w:sz w:val="22"/>
              </w:rPr>
            </w:pPr>
            <w:r>
              <w:rPr>
                <w:rFonts w:ascii="Times New Roman" w:hAnsi="Times New Roman" w:cs="Times New Roman"/>
                <w:color w:val="000000"/>
                <w:kern w:val="0"/>
                <w:sz w:val="22"/>
              </w:rPr>
              <w:t>0.00</w:t>
            </w:r>
          </w:p>
        </w:tc>
      </w:tr>
      <w:tr>
        <w:tblPrEx>
          <w:tblLayout w:type="fixed"/>
          <w:tblCellMar>
            <w:top w:w="0" w:type="dxa"/>
            <w:left w:w="108" w:type="dxa"/>
            <w:bottom w:w="0" w:type="dxa"/>
            <w:right w:w="108" w:type="dxa"/>
          </w:tblCellMar>
        </w:tblPrEx>
        <w:trPr>
          <w:jc w:val="center"/>
        </w:trPr>
        <w:tc>
          <w:tcPr>
            <w:tcW w:w="15081" w:type="dxa"/>
            <w:gridSpan w:val="9"/>
            <w:tcBorders>
              <w:top w:val="nil"/>
              <w:left w:val="nil"/>
              <w:bottom w:val="nil"/>
              <w:right w:val="nil"/>
            </w:tcBorders>
            <w:shd w:val="clear" w:color="auto" w:fill="auto"/>
            <w:vAlign w:val="center"/>
          </w:tcPr>
          <w:p>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left"/>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br w:type="page"/>
      </w: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ind w:right="-31"/>
        <w:jc w:val="center"/>
        <w:rPr>
          <w:rFonts w:ascii="Times New Roman" w:hAnsi="Times New Roman" w:cs="Times New Roman" w:eastAsiaTheme="majorEastAsia"/>
          <w:color w:val="000000"/>
          <w:kern w:val="0"/>
          <w:szCs w:val="21"/>
        </w:rPr>
      </w:pPr>
      <w:r>
        <w:rPr>
          <w:rFonts w:ascii="Times New Roman" w:hAnsi="Times New Roman" w:cs="Times New Roman" w:eastAsiaTheme="majorEastAsia"/>
          <w:color w:val="000000"/>
          <w:kern w:val="0"/>
          <w:szCs w:val="21"/>
        </w:rPr>
        <w:t>部门：                                                                                                                        公开05表</w:t>
      </w:r>
    </w:p>
    <w:p>
      <w:pPr>
        <w:widowControl/>
        <w:jc w:val="left"/>
        <w:rPr>
          <w:rFonts w:ascii="Times New Roman" w:hAnsi="Times New Roman" w:cs="Times New Roman" w:eastAsiaTheme="majorEastAsia"/>
          <w:color w:val="000000"/>
          <w:kern w:val="0"/>
          <w:sz w:val="20"/>
          <w:szCs w:val="20"/>
        </w:rPr>
      </w:pPr>
      <w:r>
        <w:rPr>
          <w:rFonts w:ascii="Times New Roman" w:hAnsi="Times New Roman" w:cs="Times New Roman" w:eastAsiaTheme="majorEastAsia"/>
          <w:color w:val="000000"/>
          <w:kern w:val="0"/>
          <w:szCs w:val="21"/>
        </w:rPr>
        <w:t xml:space="preserve">                                                                                                                                 单位：万元</w:t>
      </w:r>
    </w:p>
    <w:tbl>
      <w:tblPr>
        <w:tblStyle w:val="11"/>
        <w:tblW w:w="14964" w:type="dxa"/>
        <w:jc w:val="center"/>
        <w:tblInd w:w="0" w:type="dxa"/>
        <w:tblLayout w:type="fixed"/>
        <w:tblCellMar>
          <w:top w:w="0" w:type="dxa"/>
          <w:left w:w="108" w:type="dxa"/>
          <w:bottom w:w="0" w:type="dxa"/>
          <w:right w:w="108" w:type="dxa"/>
        </w:tblCellMar>
      </w:tblPr>
      <w:tblGrid>
        <w:gridCol w:w="1200"/>
        <w:gridCol w:w="4143"/>
        <w:gridCol w:w="2777"/>
        <w:gridCol w:w="3527"/>
        <w:gridCol w:w="3317"/>
      </w:tblGrid>
      <w:tr>
        <w:tblPrEx>
          <w:tblLayout w:type="fixed"/>
          <w:tblCellMar>
            <w:top w:w="0" w:type="dxa"/>
            <w:left w:w="108" w:type="dxa"/>
            <w:bottom w:w="0" w:type="dxa"/>
            <w:right w:w="108" w:type="dxa"/>
          </w:tblCellMar>
        </w:tblPrEx>
        <w:trPr>
          <w:jc w:val="center"/>
        </w:trPr>
        <w:tc>
          <w:tcPr>
            <w:tcW w:w="5343"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 xml:space="preserve">项 </w:t>
            </w:r>
            <w:r>
              <w:rPr>
                <w:rFonts w:ascii="Times New Roman" w:hAnsi="Times New Roman" w:cs="Times New Roman" w:eastAsiaTheme="majorEastAsia"/>
                <w:b/>
                <w:color w:val="000000"/>
                <w:kern w:val="0"/>
                <w:szCs w:val="21"/>
              </w:rPr>
              <w:t xml:space="preserve">   </w:t>
            </w:r>
            <w:r>
              <w:rPr>
                <w:rFonts w:ascii="Times New Roman" w:hAnsi="Times New Roman" w:cs="Times New Roman" w:eastAsiaTheme="majorEastAsia"/>
                <w:b/>
                <w:kern w:val="0"/>
                <w:szCs w:val="21"/>
              </w:rPr>
              <w:t>目</w:t>
            </w:r>
          </w:p>
        </w:tc>
        <w:tc>
          <w:tcPr>
            <w:tcW w:w="9621"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本年支出</w:t>
            </w:r>
          </w:p>
        </w:tc>
      </w:tr>
      <w:tr>
        <w:tblPrEx>
          <w:tblLayout w:type="fixed"/>
          <w:tblCellMar>
            <w:top w:w="0" w:type="dxa"/>
            <w:left w:w="108" w:type="dxa"/>
            <w:bottom w:w="0" w:type="dxa"/>
            <w:right w:w="108" w:type="dxa"/>
          </w:tblCellMar>
        </w:tblPrEx>
        <w:trPr>
          <w:trHeight w:val="312"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功能分类科目编码</w:t>
            </w:r>
          </w:p>
        </w:tc>
        <w:tc>
          <w:tcPr>
            <w:tcW w:w="41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科目名称</w:t>
            </w:r>
          </w:p>
        </w:tc>
        <w:tc>
          <w:tcPr>
            <w:tcW w:w="277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小计</w:t>
            </w:r>
          </w:p>
        </w:tc>
        <w:tc>
          <w:tcPr>
            <w:tcW w:w="35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基本支出</w:t>
            </w:r>
          </w:p>
        </w:tc>
        <w:tc>
          <w:tcPr>
            <w:tcW w:w="3317"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cs="Times New Roman" w:eastAsiaTheme="majorEastAsia"/>
                <w:b/>
                <w:kern w:val="0"/>
                <w:szCs w:val="21"/>
              </w:rPr>
            </w:pPr>
            <w:r>
              <w:rPr>
                <w:rFonts w:ascii="Times New Roman" w:hAnsi="Times New Roman" w:cs="Times New Roman" w:eastAsiaTheme="majorEastAsia"/>
                <w:b/>
                <w:kern w:val="0"/>
                <w:szCs w:val="21"/>
              </w:rPr>
              <w:t>项目支出</w:t>
            </w:r>
          </w:p>
        </w:tc>
      </w:tr>
      <w:tr>
        <w:tblPrEx>
          <w:tblLayout w:type="fixed"/>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414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277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352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3317"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cs="Times New Roman" w:eastAsiaTheme="majorEastAsia"/>
                <w:kern w:val="0"/>
                <w:szCs w:val="21"/>
              </w:rPr>
            </w:pPr>
          </w:p>
        </w:tc>
      </w:tr>
      <w:tr>
        <w:tblPrEx>
          <w:tblLayout w:type="fixed"/>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414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277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352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eastAsiaTheme="majorEastAsia"/>
                <w:kern w:val="0"/>
                <w:szCs w:val="21"/>
              </w:rPr>
            </w:pPr>
          </w:p>
        </w:tc>
        <w:tc>
          <w:tcPr>
            <w:tcW w:w="3317"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cs="Times New Roman" w:eastAsiaTheme="majorEastAsia"/>
                <w:kern w:val="0"/>
                <w:szCs w:val="21"/>
              </w:rPr>
            </w:pPr>
          </w:p>
        </w:tc>
      </w:tr>
      <w:tr>
        <w:tblPrEx>
          <w:tblLayout w:type="fixed"/>
          <w:tblCellMar>
            <w:top w:w="0" w:type="dxa"/>
            <w:left w:w="108" w:type="dxa"/>
            <w:bottom w:w="0" w:type="dxa"/>
            <w:right w:w="108" w:type="dxa"/>
          </w:tblCellMar>
        </w:tblPrEx>
        <w:trPr>
          <w:jc w:val="center"/>
        </w:trPr>
        <w:tc>
          <w:tcPr>
            <w:tcW w:w="5343"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kern w:val="0"/>
                <w:szCs w:val="21"/>
              </w:rPr>
            </w:pPr>
            <w:r>
              <w:rPr>
                <w:rFonts w:ascii="Times New Roman" w:hAnsi="Times New Roman" w:cs="Times New Roman" w:eastAsiaTheme="majorEastAsia"/>
                <w:kern w:val="0"/>
                <w:szCs w:val="21"/>
              </w:rPr>
              <w:t>栏次</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kern w:val="0"/>
                <w:szCs w:val="21"/>
              </w:rPr>
            </w:pPr>
            <w:r>
              <w:rPr>
                <w:rFonts w:ascii="Times New Roman" w:hAnsi="Times New Roman" w:cs="Times New Roman" w:eastAsiaTheme="majorEastAsia"/>
                <w:kern w:val="0"/>
                <w:szCs w:val="21"/>
              </w:rPr>
              <w:t>1</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kern w:val="0"/>
                <w:szCs w:val="21"/>
              </w:rPr>
            </w:pPr>
            <w:r>
              <w:rPr>
                <w:rFonts w:ascii="Times New Roman" w:hAnsi="Times New Roman" w:cs="Times New Roman" w:eastAsiaTheme="majorEastAsia"/>
                <w:kern w:val="0"/>
                <w:szCs w:val="21"/>
              </w:rPr>
              <w:t>2</w:t>
            </w:r>
          </w:p>
        </w:tc>
        <w:tc>
          <w:tcPr>
            <w:tcW w:w="3317"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cs="Times New Roman" w:eastAsiaTheme="majorEastAsia"/>
                <w:kern w:val="0"/>
                <w:szCs w:val="21"/>
              </w:rPr>
            </w:pPr>
            <w:r>
              <w:rPr>
                <w:rFonts w:ascii="Times New Roman" w:hAnsi="Times New Roman" w:cs="Times New Roman" w:eastAsiaTheme="majorEastAsia"/>
                <w:kern w:val="0"/>
                <w:szCs w:val="21"/>
              </w:rPr>
              <w:t>3</w:t>
            </w:r>
          </w:p>
        </w:tc>
      </w:tr>
      <w:tr>
        <w:tblPrEx>
          <w:tblLayout w:type="fixed"/>
          <w:tblCellMar>
            <w:top w:w="0" w:type="dxa"/>
            <w:left w:w="108" w:type="dxa"/>
            <w:bottom w:w="0" w:type="dxa"/>
            <w:right w:w="108" w:type="dxa"/>
          </w:tblCellMar>
        </w:tblPrEx>
        <w:trPr>
          <w:jc w:val="center"/>
        </w:trPr>
        <w:tc>
          <w:tcPr>
            <w:tcW w:w="5343"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kern w:val="0"/>
                <w:szCs w:val="21"/>
              </w:rPr>
            </w:pPr>
            <w:r>
              <w:rPr>
                <w:rFonts w:ascii="Times New Roman" w:hAnsi="Times New Roman" w:cs="Times New Roman" w:eastAsiaTheme="majorEastAsia"/>
                <w:kern w:val="0"/>
                <w:szCs w:val="21"/>
              </w:rPr>
              <w:t>合计</w:t>
            </w:r>
          </w:p>
        </w:tc>
        <w:tc>
          <w:tcPr>
            <w:tcW w:w="277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374.30</w:t>
            </w:r>
          </w:p>
        </w:tc>
        <w:tc>
          <w:tcPr>
            <w:tcW w:w="35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361.12</w:t>
            </w:r>
          </w:p>
        </w:tc>
        <w:tc>
          <w:tcPr>
            <w:tcW w:w="3317"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13.18</w:t>
            </w:r>
          </w:p>
        </w:tc>
      </w:tr>
      <w:tr>
        <w:tblPrEx>
          <w:tblLayout w:type="fixed"/>
          <w:tblCellMar>
            <w:top w:w="0" w:type="dxa"/>
            <w:left w:w="108" w:type="dxa"/>
            <w:bottom w:w="0" w:type="dxa"/>
            <w:right w:w="108" w:type="dxa"/>
          </w:tblCellMar>
        </w:tblPrEx>
        <w:trPr>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2010450</w:t>
            </w:r>
          </w:p>
        </w:tc>
        <w:tc>
          <w:tcPr>
            <w:tcW w:w="4143"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事业运行</w:t>
            </w:r>
          </w:p>
        </w:tc>
        <w:tc>
          <w:tcPr>
            <w:tcW w:w="277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243.51</w:t>
            </w:r>
          </w:p>
        </w:tc>
        <w:tc>
          <w:tcPr>
            <w:tcW w:w="35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243.51</w:t>
            </w:r>
          </w:p>
        </w:tc>
        <w:tc>
          <w:tcPr>
            <w:tcW w:w="3317"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2210201</w:t>
            </w:r>
          </w:p>
        </w:tc>
        <w:tc>
          <w:tcPr>
            <w:tcW w:w="4143"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住房公积金</w:t>
            </w:r>
          </w:p>
        </w:tc>
        <w:tc>
          <w:tcPr>
            <w:tcW w:w="277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22.27</w:t>
            </w:r>
          </w:p>
        </w:tc>
        <w:tc>
          <w:tcPr>
            <w:tcW w:w="35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22.27</w:t>
            </w:r>
          </w:p>
        </w:tc>
        <w:tc>
          <w:tcPr>
            <w:tcW w:w="3317"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2010408</w:t>
            </w:r>
          </w:p>
        </w:tc>
        <w:tc>
          <w:tcPr>
            <w:tcW w:w="4143"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物价管理</w:t>
            </w:r>
          </w:p>
        </w:tc>
        <w:tc>
          <w:tcPr>
            <w:tcW w:w="277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0.20</w:t>
            </w:r>
          </w:p>
        </w:tc>
        <w:tc>
          <w:tcPr>
            <w:tcW w:w="35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0.00</w:t>
            </w:r>
          </w:p>
        </w:tc>
        <w:tc>
          <w:tcPr>
            <w:tcW w:w="3317"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0.20</w:t>
            </w:r>
          </w:p>
        </w:tc>
      </w:tr>
      <w:tr>
        <w:tblPrEx>
          <w:tblLayout w:type="fixed"/>
          <w:tblCellMar>
            <w:top w:w="0" w:type="dxa"/>
            <w:left w:w="108" w:type="dxa"/>
            <w:bottom w:w="0" w:type="dxa"/>
            <w:right w:w="108" w:type="dxa"/>
          </w:tblCellMar>
        </w:tblPrEx>
        <w:trPr>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2080502</w:t>
            </w:r>
          </w:p>
        </w:tc>
        <w:tc>
          <w:tcPr>
            <w:tcW w:w="4143"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事业单位离退休</w:t>
            </w:r>
          </w:p>
        </w:tc>
        <w:tc>
          <w:tcPr>
            <w:tcW w:w="277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5.62</w:t>
            </w:r>
          </w:p>
        </w:tc>
        <w:tc>
          <w:tcPr>
            <w:tcW w:w="35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5.62</w:t>
            </w:r>
          </w:p>
        </w:tc>
        <w:tc>
          <w:tcPr>
            <w:tcW w:w="3317"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2010499</w:t>
            </w:r>
          </w:p>
        </w:tc>
        <w:tc>
          <w:tcPr>
            <w:tcW w:w="4143"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其他发展与改革事务支出</w:t>
            </w:r>
          </w:p>
        </w:tc>
        <w:tc>
          <w:tcPr>
            <w:tcW w:w="277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69.99</w:t>
            </w:r>
          </w:p>
        </w:tc>
        <w:tc>
          <w:tcPr>
            <w:tcW w:w="35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57.00</w:t>
            </w:r>
          </w:p>
        </w:tc>
        <w:tc>
          <w:tcPr>
            <w:tcW w:w="3317"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12.98</w:t>
            </w:r>
          </w:p>
        </w:tc>
      </w:tr>
      <w:tr>
        <w:tblPrEx>
          <w:tblLayout w:type="fixed"/>
          <w:tblCellMar>
            <w:top w:w="0" w:type="dxa"/>
            <w:left w:w="108" w:type="dxa"/>
            <w:bottom w:w="0" w:type="dxa"/>
            <w:right w:w="108" w:type="dxa"/>
          </w:tblCellMar>
        </w:tblPrEx>
        <w:trPr>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2080505</w:t>
            </w:r>
          </w:p>
        </w:tc>
        <w:tc>
          <w:tcPr>
            <w:tcW w:w="4143"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机关事业单位基本养老保险缴费支出</w:t>
            </w:r>
          </w:p>
        </w:tc>
        <w:tc>
          <w:tcPr>
            <w:tcW w:w="2777"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32.72</w:t>
            </w:r>
          </w:p>
        </w:tc>
        <w:tc>
          <w:tcPr>
            <w:tcW w:w="3527"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32.72</w:t>
            </w:r>
          </w:p>
        </w:tc>
        <w:tc>
          <w:tcPr>
            <w:tcW w:w="3317"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Times New Roman" w:hAnsi="Times New Roman" w:cs="Times New Roman" w:eastAsiaTheme="majorEastAsia"/>
                <w:kern w:val="0"/>
                <w:szCs w:val="21"/>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14964" w:type="dxa"/>
            <w:gridSpan w:val="5"/>
            <w:tcBorders>
              <w:top w:val="nil"/>
              <w:left w:val="nil"/>
              <w:bottom w:val="nil"/>
              <w:right w:val="nil"/>
            </w:tcBorders>
            <w:shd w:val="clear" w:color="auto" w:fill="auto"/>
            <w:vAlign w:val="center"/>
          </w:tcPr>
          <w:p>
            <w:pPr>
              <w:widowControl/>
              <w:jc w:val="left"/>
              <w:rPr>
                <w:rFonts w:ascii="Times New Roman" w:hAnsi="Times New Roman" w:cs="Times New Roman" w:eastAsiaTheme="majorEastAsia"/>
                <w:kern w:val="0"/>
                <w:szCs w:val="21"/>
              </w:rPr>
            </w:pPr>
            <w:r>
              <w:rPr>
                <w:rFonts w:ascii="Times New Roman" w:hAnsi="Times New Roman" w:cs="Times New Roman" w:eastAsiaTheme="majorEastAsia"/>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p>
      <w:pPr>
        <w:widowControl/>
        <w:jc w:val="center"/>
        <w:rPr>
          <w:rFonts w:ascii="Times New Roman" w:hAnsi="Times New Roman" w:eastAsia="方正小标宋简体" w:cs="Times New Roman"/>
          <w:color w:val="000000"/>
          <w:kern w:val="0"/>
          <w:sz w:val="36"/>
          <w:szCs w:val="36"/>
        </w:rPr>
      </w:pPr>
      <w:bookmarkStart w:id="2" w:name="RANGE!A1:I34"/>
      <w:r>
        <w:rPr>
          <w:rFonts w:ascii="Times New Roman" w:hAnsi="Times New Roman" w:eastAsia="方正小标宋简体" w:cs="Times New Roman"/>
          <w:color w:val="000000"/>
          <w:kern w:val="0"/>
          <w:sz w:val="36"/>
          <w:szCs w:val="36"/>
        </w:rPr>
        <w:t>一般公共预算财政拨款基本支出决算明细表</w:t>
      </w:r>
      <w:bookmarkEnd w:id="2"/>
    </w:p>
    <w:p>
      <w:pPr>
        <w:widowControl/>
        <w:jc w:val="right"/>
        <w:rPr>
          <w:rFonts w:ascii="Times New Roman" w:hAnsi="Times New Roman" w:cs="Times New Roman" w:eastAsiaTheme="majorEastAsia"/>
          <w:color w:val="000000"/>
          <w:kern w:val="0"/>
          <w:szCs w:val="21"/>
        </w:rPr>
      </w:pPr>
      <w:r>
        <w:rPr>
          <w:rFonts w:ascii="Times New Roman" w:hAnsi="Times New Roman" w:cs="Times New Roman" w:eastAsiaTheme="majorEastAsia"/>
          <w:color w:val="000000"/>
          <w:kern w:val="0"/>
          <w:szCs w:val="21"/>
        </w:rPr>
        <w:t xml:space="preserve">  部门：                                                                                                                          公开06表</w:t>
      </w:r>
    </w:p>
    <w:p>
      <w:pPr>
        <w:widowControl/>
        <w:jc w:val="right"/>
        <w:rPr>
          <w:rFonts w:ascii="Times New Roman" w:hAnsi="Times New Roman" w:cs="Times New Roman" w:eastAsiaTheme="majorEastAsia"/>
          <w:color w:val="000000"/>
          <w:kern w:val="0"/>
          <w:szCs w:val="32"/>
        </w:rPr>
      </w:pPr>
      <w:r>
        <w:rPr>
          <w:rFonts w:ascii="Times New Roman" w:hAnsi="Times New Roman" w:cs="Times New Roman" w:eastAsiaTheme="majorEastAsia"/>
          <w:color w:val="000000"/>
          <w:kern w:val="0"/>
          <w:szCs w:val="21"/>
        </w:rPr>
        <w:t>单位：万元</w:t>
      </w:r>
    </w:p>
    <w:tbl>
      <w:tblPr>
        <w:tblStyle w:val="11"/>
        <w:tblW w:w="15346" w:type="dxa"/>
        <w:jc w:val="center"/>
        <w:tblInd w:w="0" w:type="dxa"/>
        <w:tblLayout w:type="fixed"/>
        <w:tblCellMar>
          <w:top w:w="0" w:type="dxa"/>
          <w:left w:w="108" w:type="dxa"/>
          <w:bottom w:w="0" w:type="dxa"/>
          <w:right w:w="108" w:type="dxa"/>
        </w:tblCellMar>
      </w:tblPr>
      <w:tblGrid>
        <w:gridCol w:w="976"/>
        <w:gridCol w:w="3563"/>
        <w:gridCol w:w="978"/>
        <w:gridCol w:w="872"/>
        <w:gridCol w:w="2392"/>
        <w:gridCol w:w="973"/>
        <w:gridCol w:w="851"/>
        <w:gridCol w:w="3857"/>
        <w:gridCol w:w="884"/>
      </w:tblGrid>
      <w:tr>
        <w:tblPrEx>
          <w:tblLayout w:type="fixed"/>
          <w:tblCellMar>
            <w:top w:w="0" w:type="dxa"/>
            <w:left w:w="108" w:type="dxa"/>
            <w:bottom w:w="0" w:type="dxa"/>
            <w:right w:w="108" w:type="dxa"/>
          </w:tblCellMar>
        </w:tblPrEx>
        <w:trPr>
          <w:tblHeader/>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0"/>
                <w:szCs w:val="20"/>
              </w:rPr>
              <w:t>经济分类科目编码</w:t>
            </w:r>
          </w:p>
        </w:tc>
        <w:tc>
          <w:tcPr>
            <w:tcW w:w="35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科目名称</w:t>
            </w:r>
          </w:p>
        </w:tc>
        <w:tc>
          <w:tcPr>
            <w:tcW w:w="9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决算数</w:t>
            </w:r>
          </w:p>
        </w:tc>
        <w:tc>
          <w:tcPr>
            <w:tcW w:w="87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经济分类科目编码</w:t>
            </w:r>
          </w:p>
        </w:tc>
        <w:tc>
          <w:tcPr>
            <w:tcW w:w="23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科目名称</w:t>
            </w:r>
          </w:p>
        </w:tc>
        <w:tc>
          <w:tcPr>
            <w:tcW w:w="97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决算数</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经济分类科目编码</w:t>
            </w:r>
          </w:p>
        </w:tc>
        <w:tc>
          <w:tcPr>
            <w:tcW w:w="3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科目名称</w:t>
            </w:r>
          </w:p>
        </w:tc>
        <w:tc>
          <w:tcPr>
            <w:tcW w:w="88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决算数</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工资福利支出</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321.24</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商品和服务支出</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31.86</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307</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债务利息及费用支出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30101</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基本工资</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64.76</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30201</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办公费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4.60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30701</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国内债务付息</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30102</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津贴补贴</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15.84</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30202</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印刷费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3.00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30702</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国外债务付息</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30103</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奖金</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40.93</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30203</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咨询费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资本性支出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30106</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伙食补助费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12.05</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30204</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手续费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31001</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房屋建筑物购建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30107</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绩效工资</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132.666</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30205</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水费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0.50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31002</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办公设备购置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30108</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机关事业单位基本养老保险缴费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18.00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30206</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电费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31003</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专用设备购置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30109</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职业年金缴费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30207</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邮电费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0.40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31005</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基础设施建设</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30110</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职工基本医疗保险缴费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14.72</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30208</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取暖费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31006</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大型修缮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30111</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公务员医疗补助缴费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30209</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物业管理费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0.80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31007</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信息网络及软件购置更新</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30112</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其他社会保障缴费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30211</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差旅费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3.68</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31008</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物资储备</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30113</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住房公积金</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22.27</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30212</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因公出国（境）费用</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31009</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土地补偿</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30114</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医疗费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30213</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维修（护）费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31010</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安置补助</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30199</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其他工资福利支出</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30214</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租赁费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31011</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地上附着物和青苗补偿</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对个人和家庭的补助</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8.02</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30215</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会议费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31012</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拆迁补偿</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30301</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离休费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30216</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培训费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31013</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公务用车购置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30302</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退休费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2.40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30217</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公务接待费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0.43</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31019</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其他交通工具购置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30303</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退职（役）费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30218</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专用材料费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31021</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文物和陈列品购置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30304</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抚恤金</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30224</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被装购置费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31022</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无形资产购置</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30305</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生活补助</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30225</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专用燃料费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31099</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其他资本性支出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30306</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救济费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30226</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劳务费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1.30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399</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其他支出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30307</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医疗费补助</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30227</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委托业务费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39907</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国家赔偿费用支出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30308</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助学金</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30228</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工会经费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7.05</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39908</w:t>
            </w:r>
          </w:p>
        </w:tc>
        <w:tc>
          <w:tcPr>
            <w:tcW w:w="385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eastAsiaTheme="majorEastAsia"/>
                <w:color w:val="000000"/>
                <w:spacing w:val="-8"/>
                <w:kern w:val="0"/>
                <w:szCs w:val="20"/>
              </w:rPr>
            </w:pPr>
            <w:r>
              <w:rPr>
                <w:rFonts w:ascii="Times New Roman" w:hAnsi="Times New Roman" w:cs="Times New Roman" w:eastAsiaTheme="majorEastAsia"/>
                <w:color w:val="000000"/>
                <w:spacing w:val="-8"/>
                <w:kern w:val="0"/>
                <w:szCs w:val="20"/>
              </w:rPr>
              <w:t xml:space="preserve">  对民间非营利组织和群众性自治组织补贴</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30309</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奖励金</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30229</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福利费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39909</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经常性赠与</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30310</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个人农业生产补贴</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30231</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公务用车运行维护费</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39910</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资本性赠与</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30311</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代缴社会保险费</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30239</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其他交通费用</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1.33</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39999</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其他支出</w:t>
            </w:r>
          </w:p>
        </w:tc>
        <w:tc>
          <w:tcPr>
            <w:tcW w:w="884"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30399</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其他对个人和家庭的补助</w:t>
            </w:r>
          </w:p>
        </w:tc>
        <w:tc>
          <w:tcPr>
            <w:tcW w:w="978"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5.62</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30240</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税金及附加费用</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0.00</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18"/>
              </w:rPr>
            </w:pPr>
            <w:r>
              <w:rPr>
                <w:rFonts w:ascii="Times New Roman" w:hAnsi="Times New Roman" w:cs="Times New Roman" w:eastAsiaTheme="majorEastAsia"/>
                <w:color w:val="000000"/>
                <w:kern w:val="0"/>
                <w:szCs w:val="18"/>
              </w:rPr>
              <w:t>　</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18"/>
              </w:rPr>
            </w:pPr>
            <w:r>
              <w:rPr>
                <w:rFonts w:ascii="Times New Roman" w:hAnsi="Times New Roman" w:cs="Times New Roman" w:eastAsiaTheme="majorEastAsia"/>
                <w:color w:val="000000"/>
                <w:kern w:val="0"/>
                <w:szCs w:val="18"/>
              </w:rPr>
              <w:t>　</w:t>
            </w:r>
          </w:p>
        </w:tc>
        <w:tc>
          <w:tcPr>
            <w:tcW w:w="88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w:t>
            </w:r>
          </w:p>
        </w:tc>
      </w:tr>
      <w:tr>
        <w:tblPrEx>
          <w:tblLayout w:type="fixed"/>
          <w:tblCellMar>
            <w:top w:w="0" w:type="dxa"/>
            <w:left w:w="108" w:type="dxa"/>
            <w:bottom w:w="0" w:type="dxa"/>
            <w:right w:w="108" w:type="dxa"/>
          </w:tblCellMar>
        </w:tblPrEx>
        <w:trPr>
          <w:jc w:val="center"/>
        </w:trPr>
        <w:tc>
          <w:tcPr>
            <w:tcW w:w="97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w:t>
            </w:r>
          </w:p>
        </w:tc>
        <w:tc>
          <w:tcPr>
            <w:tcW w:w="35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w:t>
            </w:r>
          </w:p>
        </w:tc>
        <w:tc>
          <w:tcPr>
            <w:tcW w:w="978"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w:t>
            </w:r>
          </w:p>
        </w:tc>
        <w:tc>
          <w:tcPr>
            <w:tcW w:w="87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30299</w:t>
            </w:r>
          </w:p>
        </w:tc>
        <w:tc>
          <w:tcPr>
            <w:tcW w:w="23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xml:space="preserve">  其他商品和服务支出</w:t>
            </w:r>
          </w:p>
        </w:tc>
        <w:tc>
          <w:tcPr>
            <w:tcW w:w="973"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 w:val="22"/>
                <w:lang w:bidi="ar"/>
              </w:rPr>
              <w:t>8.78</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18"/>
              </w:rPr>
            </w:pPr>
            <w:r>
              <w:rPr>
                <w:rFonts w:ascii="Times New Roman" w:hAnsi="Times New Roman" w:cs="Times New Roman" w:eastAsiaTheme="majorEastAsia"/>
                <w:color w:val="000000"/>
                <w:kern w:val="0"/>
                <w:szCs w:val="18"/>
              </w:rPr>
              <w:t>　</w:t>
            </w:r>
          </w:p>
        </w:tc>
        <w:tc>
          <w:tcPr>
            <w:tcW w:w="385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18"/>
              </w:rPr>
            </w:pPr>
            <w:r>
              <w:rPr>
                <w:rFonts w:ascii="Times New Roman" w:hAnsi="Times New Roman" w:cs="Times New Roman" w:eastAsiaTheme="majorEastAsia"/>
                <w:color w:val="000000"/>
                <w:kern w:val="0"/>
                <w:szCs w:val="18"/>
              </w:rPr>
              <w:t>　</w:t>
            </w:r>
          </w:p>
        </w:tc>
        <w:tc>
          <w:tcPr>
            <w:tcW w:w="88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　</w:t>
            </w:r>
          </w:p>
        </w:tc>
      </w:tr>
      <w:tr>
        <w:tblPrEx>
          <w:tblLayout w:type="fixed"/>
          <w:tblCellMar>
            <w:top w:w="0" w:type="dxa"/>
            <w:left w:w="108" w:type="dxa"/>
            <w:bottom w:w="0" w:type="dxa"/>
            <w:right w:w="108" w:type="dxa"/>
          </w:tblCellMar>
        </w:tblPrEx>
        <w:trPr>
          <w:jc w:val="center"/>
        </w:trPr>
        <w:tc>
          <w:tcPr>
            <w:tcW w:w="45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人员经费合计</w:t>
            </w:r>
          </w:p>
        </w:tc>
        <w:tc>
          <w:tcPr>
            <w:tcW w:w="978"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329.26</w:t>
            </w:r>
          </w:p>
        </w:tc>
        <w:tc>
          <w:tcPr>
            <w:tcW w:w="8945"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eastAsiaTheme="majorEastAsia"/>
                <w:color w:val="000000"/>
                <w:kern w:val="0"/>
                <w:szCs w:val="20"/>
              </w:rPr>
            </w:pPr>
            <w:r>
              <w:rPr>
                <w:rFonts w:ascii="Times New Roman" w:hAnsi="Times New Roman" w:cs="Times New Roman" w:eastAsiaTheme="majorEastAsia"/>
                <w:color w:val="000000"/>
                <w:kern w:val="0"/>
                <w:szCs w:val="20"/>
              </w:rPr>
              <w:t>公用经费合计</w:t>
            </w:r>
          </w:p>
        </w:tc>
        <w:tc>
          <w:tcPr>
            <w:tcW w:w="88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eastAsiaTheme="majorEastAsia"/>
                <w:color w:val="000000"/>
                <w:kern w:val="0"/>
                <w:szCs w:val="18"/>
              </w:rPr>
            </w:pPr>
            <w:r>
              <w:rPr>
                <w:rFonts w:ascii="Times New Roman" w:hAnsi="Times New Roman" w:cs="Times New Roman" w:eastAsiaTheme="majorEastAsia"/>
                <w:color w:val="000000"/>
                <w:kern w:val="0"/>
                <w:szCs w:val="18"/>
              </w:rPr>
              <w:t>31.86</w:t>
            </w:r>
          </w:p>
        </w:tc>
      </w:tr>
      <w:tr>
        <w:tblPrEx>
          <w:tblLayout w:type="fixed"/>
          <w:tblCellMar>
            <w:top w:w="0" w:type="dxa"/>
            <w:left w:w="108" w:type="dxa"/>
            <w:bottom w:w="0" w:type="dxa"/>
            <w:right w:w="108" w:type="dxa"/>
          </w:tblCellMar>
        </w:tblPrEx>
        <w:trPr>
          <w:jc w:val="center"/>
        </w:trPr>
        <w:tc>
          <w:tcPr>
            <w:tcW w:w="15346" w:type="dxa"/>
            <w:gridSpan w:val="9"/>
            <w:tcBorders>
              <w:top w:val="nil"/>
              <w:left w:val="nil"/>
              <w:bottom w:val="nil"/>
              <w:right w:val="nil"/>
            </w:tcBorders>
            <w:shd w:val="clear" w:color="auto" w:fill="auto"/>
            <w:vAlign w:val="center"/>
          </w:tcPr>
          <w:p>
            <w:pPr>
              <w:widowControl/>
              <w:jc w:val="left"/>
              <w:rPr>
                <w:rFonts w:ascii="Times New Roman" w:hAnsi="Times New Roman" w:cs="Times New Roman" w:eastAsiaTheme="majorEastAsia"/>
                <w:color w:val="000000"/>
                <w:kern w:val="0"/>
                <w:szCs w:val="24"/>
              </w:rPr>
            </w:pPr>
            <w:r>
              <w:rPr>
                <w:rFonts w:ascii="Times New Roman" w:hAnsi="Times New Roman" w:cs="Times New Roman" w:eastAsiaTheme="majorEastAsia"/>
                <w:color w:val="000000"/>
                <w:kern w:val="0"/>
                <w:szCs w:val="24"/>
              </w:rPr>
              <w:t>注：本表反映部门本年度一般公共预算财政拨款基本支出明细情况。</w:t>
            </w:r>
          </w:p>
        </w:tc>
      </w:tr>
    </w:tbl>
    <w:p>
      <w:pPr>
        <w:rPr>
          <w:rFonts w:ascii="Times New Roman" w:hAnsi="Times New Roman" w:cs="Times New Roman"/>
        </w:rPr>
      </w:pPr>
      <w:r>
        <w:rPr>
          <w:rFonts w:ascii="Times New Roman" w:hAnsi="Times New Roman" w:cs="Times New Roman"/>
        </w:rPr>
        <w:br w:type="page"/>
      </w:r>
    </w:p>
    <w:tbl>
      <w:tblPr>
        <w:tblStyle w:val="11"/>
        <w:tblW w:w="15019" w:type="dxa"/>
        <w:tblInd w:w="0" w:type="dxa"/>
        <w:tblLayout w:type="fixed"/>
        <w:tblCellMar>
          <w:top w:w="0" w:type="dxa"/>
          <w:left w:w="108" w:type="dxa"/>
          <w:bottom w:w="0" w:type="dxa"/>
          <w:right w:w="108" w:type="dxa"/>
        </w:tblCellMar>
      </w:tblPr>
      <w:tblGrid>
        <w:gridCol w:w="989"/>
        <w:gridCol w:w="239"/>
        <w:gridCol w:w="1382"/>
        <w:gridCol w:w="2107"/>
        <w:gridCol w:w="2295"/>
        <w:gridCol w:w="1743"/>
        <w:gridCol w:w="2090"/>
        <w:gridCol w:w="2086"/>
        <w:gridCol w:w="2088"/>
      </w:tblGrid>
      <w:tr>
        <w:tblPrEx>
          <w:tblLayout w:type="fixed"/>
          <w:tblCellMar>
            <w:top w:w="0" w:type="dxa"/>
            <w:left w:w="108" w:type="dxa"/>
            <w:bottom w:w="0" w:type="dxa"/>
            <w:right w:w="108" w:type="dxa"/>
          </w:tblCellMar>
        </w:tblPrEx>
        <w:tc>
          <w:tcPr>
            <w:tcW w:w="15019" w:type="dxa"/>
            <w:gridSpan w:val="9"/>
            <w:tcBorders>
              <w:top w:val="nil"/>
              <w:left w:val="nil"/>
              <w:bottom w:val="nil"/>
              <w:right w:val="nil"/>
            </w:tcBorders>
            <w:shd w:val="clear" w:color="auto" w:fill="FFFFFF"/>
            <w:vAlign w:val="center"/>
          </w:tcPr>
          <w:p>
            <w:pPr>
              <w:widowControl/>
              <w:jc w:val="center"/>
              <w:textAlignment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kern w:val="0"/>
                <w:sz w:val="36"/>
                <w:szCs w:val="36"/>
                <w:lang w:bidi="ar"/>
              </w:rPr>
              <w:t>政府性基金预算财政拨款收入支出决算表</w:t>
            </w:r>
          </w:p>
        </w:tc>
      </w:tr>
      <w:tr>
        <w:tblPrEx>
          <w:tblLayout w:type="fixed"/>
          <w:tblCellMar>
            <w:top w:w="0" w:type="dxa"/>
            <w:left w:w="108" w:type="dxa"/>
            <w:bottom w:w="0" w:type="dxa"/>
            <w:right w:w="108" w:type="dxa"/>
          </w:tblCellMar>
        </w:tblPrEx>
        <w:tc>
          <w:tcPr>
            <w:tcW w:w="989" w:type="dxa"/>
            <w:tcBorders>
              <w:top w:val="nil"/>
              <w:left w:val="nil"/>
              <w:bottom w:val="nil"/>
              <w:right w:val="nil"/>
            </w:tcBorders>
            <w:shd w:val="clear" w:color="auto" w:fill="FFFFFF"/>
            <w:vAlign w:val="center"/>
          </w:tcPr>
          <w:p>
            <w:pPr>
              <w:jc w:val="center"/>
              <w:rPr>
                <w:rFonts w:ascii="Times New Roman" w:hAnsi="Times New Roman" w:cs="Times New Roman" w:eastAsiaTheme="majorEastAsia"/>
                <w:color w:val="000000"/>
                <w:sz w:val="20"/>
                <w:szCs w:val="20"/>
              </w:rPr>
            </w:pPr>
          </w:p>
        </w:tc>
        <w:tc>
          <w:tcPr>
            <w:tcW w:w="239" w:type="dxa"/>
            <w:tcBorders>
              <w:top w:val="nil"/>
              <w:left w:val="nil"/>
              <w:bottom w:val="nil"/>
              <w:right w:val="nil"/>
            </w:tcBorders>
            <w:shd w:val="clear" w:color="auto" w:fill="FFFFFF"/>
            <w:vAlign w:val="center"/>
          </w:tcPr>
          <w:p>
            <w:pPr>
              <w:jc w:val="center"/>
              <w:rPr>
                <w:rFonts w:ascii="Times New Roman" w:hAnsi="Times New Roman" w:cs="Times New Roman" w:eastAsiaTheme="majorEastAsia"/>
                <w:color w:val="000000"/>
                <w:sz w:val="20"/>
                <w:szCs w:val="20"/>
              </w:rPr>
            </w:pPr>
          </w:p>
        </w:tc>
        <w:tc>
          <w:tcPr>
            <w:tcW w:w="1382" w:type="dxa"/>
            <w:tcBorders>
              <w:top w:val="nil"/>
              <w:left w:val="nil"/>
              <w:bottom w:val="nil"/>
              <w:right w:val="nil"/>
            </w:tcBorders>
            <w:shd w:val="clear" w:color="auto" w:fill="FFFFFF"/>
            <w:vAlign w:val="center"/>
          </w:tcPr>
          <w:p>
            <w:pPr>
              <w:jc w:val="center"/>
              <w:rPr>
                <w:rFonts w:ascii="Times New Roman" w:hAnsi="Times New Roman" w:cs="Times New Roman" w:eastAsiaTheme="majorEastAsia"/>
                <w:color w:val="000000"/>
                <w:sz w:val="20"/>
                <w:szCs w:val="20"/>
              </w:rPr>
            </w:pPr>
          </w:p>
        </w:tc>
        <w:tc>
          <w:tcPr>
            <w:tcW w:w="2107"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295"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1743"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090"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086"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088" w:type="dxa"/>
            <w:tcBorders>
              <w:top w:val="nil"/>
              <w:left w:val="nil"/>
              <w:bottom w:val="nil"/>
              <w:right w:val="nil"/>
            </w:tcBorders>
            <w:shd w:val="clear" w:color="auto" w:fill="FFFFFF"/>
            <w:vAlign w:val="center"/>
          </w:tcPr>
          <w:p>
            <w:pPr>
              <w:widowControl/>
              <w:jc w:val="right"/>
              <w:textAlignment w:val="center"/>
              <w:rPr>
                <w:rFonts w:ascii="Times New Roman" w:hAnsi="Times New Roman" w:cs="Times New Roman" w:eastAsiaTheme="majorEastAsia"/>
                <w:color w:val="000000"/>
                <w:sz w:val="20"/>
                <w:szCs w:val="20"/>
              </w:rPr>
            </w:pPr>
            <w:r>
              <w:rPr>
                <w:rFonts w:ascii="Times New Roman" w:hAnsi="Times New Roman" w:cs="Times New Roman" w:eastAsiaTheme="majorEastAsia"/>
                <w:color w:val="000000"/>
                <w:kern w:val="0"/>
                <w:sz w:val="20"/>
                <w:szCs w:val="20"/>
                <w:lang w:bidi="ar"/>
              </w:rPr>
              <w:t>公开07表</w:t>
            </w:r>
          </w:p>
        </w:tc>
      </w:tr>
      <w:tr>
        <w:tblPrEx>
          <w:tblLayout w:type="fixed"/>
          <w:tblCellMar>
            <w:top w:w="0" w:type="dxa"/>
            <w:left w:w="108" w:type="dxa"/>
            <w:bottom w:w="0" w:type="dxa"/>
            <w:right w:w="108" w:type="dxa"/>
          </w:tblCellMar>
        </w:tblPrEx>
        <w:tc>
          <w:tcPr>
            <w:tcW w:w="989" w:type="dxa"/>
            <w:tcBorders>
              <w:top w:val="nil"/>
              <w:left w:val="nil"/>
              <w:bottom w:val="nil"/>
              <w:right w:val="nil"/>
            </w:tcBorders>
            <w:shd w:val="clear" w:color="auto" w:fill="FFFFFF"/>
            <w:vAlign w:val="center"/>
          </w:tcPr>
          <w:p>
            <w:pPr>
              <w:widowControl/>
              <w:jc w:val="left"/>
              <w:textAlignment w:val="center"/>
              <w:rPr>
                <w:rFonts w:ascii="Times New Roman" w:hAnsi="Times New Roman" w:cs="Times New Roman" w:eastAsiaTheme="majorEastAsia"/>
                <w:color w:val="000000"/>
                <w:sz w:val="20"/>
                <w:szCs w:val="20"/>
              </w:rPr>
            </w:pPr>
            <w:r>
              <w:rPr>
                <w:rFonts w:ascii="Times New Roman" w:hAnsi="Times New Roman" w:cs="Times New Roman" w:eastAsiaTheme="majorEastAsia"/>
                <w:color w:val="000000"/>
                <w:kern w:val="0"/>
                <w:sz w:val="20"/>
                <w:szCs w:val="20"/>
                <w:lang w:bidi="ar"/>
              </w:rPr>
              <w:t>部门：</w:t>
            </w:r>
          </w:p>
        </w:tc>
        <w:tc>
          <w:tcPr>
            <w:tcW w:w="239" w:type="dxa"/>
            <w:tcBorders>
              <w:top w:val="nil"/>
              <w:left w:val="nil"/>
              <w:bottom w:val="nil"/>
              <w:right w:val="nil"/>
            </w:tcBorders>
            <w:shd w:val="clear" w:color="auto" w:fill="FFFFFF"/>
            <w:vAlign w:val="center"/>
          </w:tcPr>
          <w:p>
            <w:pPr>
              <w:jc w:val="center"/>
              <w:rPr>
                <w:rFonts w:ascii="Times New Roman" w:hAnsi="Times New Roman" w:cs="Times New Roman" w:eastAsiaTheme="majorEastAsia"/>
                <w:color w:val="000000"/>
                <w:sz w:val="20"/>
                <w:szCs w:val="20"/>
              </w:rPr>
            </w:pPr>
          </w:p>
        </w:tc>
        <w:tc>
          <w:tcPr>
            <w:tcW w:w="1382" w:type="dxa"/>
            <w:tcBorders>
              <w:top w:val="nil"/>
              <w:left w:val="nil"/>
              <w:bottom w:val="nil"/>
              <w:right w:val="nil"/>
            </w:tcBorders>
            <w:shd w:val="clear" w:color="auto" w:fill="FFFFFF"/>
            <w:vAlign w:val="center"/>
          </w:tcPr>
          <w:p>
            <w:pPr>
              <w:jc w:val="center"/>
              <w:rPr>
                <w:rFonts w:ascii="Times New Roman" w:hAnsi="Times New Roman" w:cs="Times New Roman" w:eastAsiaTheme="majorEastAsia"/>
                <w:color w:val="000000"/>
                <w:sz w:val="20"/>
                <w:szCs w:val="20"/>
              </w:rPr>
            </w:pPr>
          </w:p>
        </w:tc>
        <w:tc>
          <w:tcPr>
            <w:tcW w:w="2107"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295"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1743"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090"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086" w:type="dxa"/>
            <w:tcBorders>
              <w:top w:val="nil"/>
              <w:left w:val="nil"/>
              <w:bottom w:val="nil"/>
              <w:right w:val="nil"/>
            </w:tcBorders>
            <w:shd w:val="clear" w:color="auto" w:fill="FFFFFF"/>
            <w:vAlign w:val="center"/>
          </w:tcPr>
          <w:p>
            <w:pPr>
              <w:rPr>
                <w:rFonts w:ascii="Times New Roman" w:hAnsi="Times New Roman" w:cs="Times New Roman" w:eastAsiaTheme="majorEastAsia"/>
                <w:color w:val="000000"/>
                <w:sz w:val="20"/>
                <w:szCs w:val="20"/>
              </w:rPr>
            </w:pPr>
          </w:p>
        </w:tc>
        <w:tc>
          <w:tcPr>
            <w:tcW w:w="2088" w:type="dxa"/>
            <w:tcBorders>
              <w:top w:val="nil"/>
              <w:left w:val="nil"/>
              <w:bottom w:val="nil"/>
              <w:right w:val="nil"/>
            </w:tcBorders>
            <w:shd w:val="clear" w:color="auto" w:fill="FFFFFF"/>
            <w:vAlign w:val="center"/>
          </w:tcPr>
          <w:p>
            <w:pPr>
              <w:widowControl/>
              <w:jc w:val="right"/>
              <w:textAlignment w:val="center"/>
              <w:rPr>
                <w:rFonts w:ascii="Times New Roman" w:hAnsi="Times New Roman" w:cs="Times New Roman" w:eastAsiaTheme="majorEastAsia"/>
                <w:color w:val="000000"/>
                <w:sz w:val="20"/>
                <w:szCs w:val="20"/>
              </w:rPr>
            </w:pPr>
            <w:r>
              <w:rPr>
                <w:rFonts w:ascii="Times New Roman" w:hAnsi="Times New Roman" w:cs="Times New Roman" w:eastAsiaTheme="majorEastAsia"/>
                <w:color w:val="000000"/>
                <w:kern w:val="0"/>
                <w:sz w:val="20"/>
                <w:szCs w:val="20"/>
                <w:lang w:bidi="ar"/>
              </w:rPr>
              <w:t>单位：万元</w:t>
            </w:r>
          </w:p>
        </w:tc>
      </w:tr>
      <w:tr>
        <w:tblPrEx>
          <w:tblLayout w:type="fixed"/>
          <w:tblCellMar>
            <w:top w:w="0" w:type="dxa"/>
            <w:left w:w="108" w:type="dxa"/>
            <w:bottom w:w="0" w:type="dxa"/>
            <w:right w:w="108" w:type="dxa"/>
          </w:tblCellMar>
        </w:tblPrEx>
        <w:tc>
          <w:tcPr>
            <w:tcW w:w="26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 xml:space="preserve">项 </w:t>
            </w:r>
            <w:r>
              <w:rPr>
                <w:rStyle w:val="17"/>
                <w:rFonts w:hint="default" w:ascii="Times New Roman" w:hAnsi="Times New Roman" w:cs="Times New Roman" w:eastAsiaTheme="majorEastAsia"/>
                <w:lang w:bidi="ar"/>
              </w:rPr>
              <w:t xml:space="preserve">   </w:t>
            </w:r>
            <w:r>
              <w:rPr>
                <w:rStyle w:val="18"/>
                <w:rFonts w:hint="default" w:ascii="Times New Roman" w:hAnsi="Times New Roman" w:cs="Times New Roman" w:eastAsiaTheme="majorEastAsia"/>
                <w:lang w:bidi="ar"/>
              </w:rPr>
              <w:t>目</w:t>
            </w:r>
          </w:p>
        </w:tc>
        <w:tc>
          <w:tcPr>
            <w:tcW w:w="21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年初结转和结余</w:t>
            </w:r>
          </w:p>
        </w:tc>
        <w:tc>
          <w:tcPr>
            <w:tcW w:w="22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本年收入</w:t>
            </w:r>
          </w:p>
        </w:tc>
        <w:tc>
          <w:tcPr>
            <w:tcW w:w="59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本年支出</w:t>
            </w:r>
          </w:p>
        </w:tc>
        <w:tc>
          <w:tcPr>
            <w:tcW w:w="20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年末结转和结余</w:t>
            </w:r>
          </w:p>
        </w:tc>
      </w:tr>
      <w:tr>
        <w:tblPrEx>
          <w:tblLayout w:type="fixed"/>
          <w:tblCellMar>
            <w:top w:w="0" w:type="dxa"/>
            <w:left w:w="108" w:type="dxa"/>
            <w:bottom w:w="0" w:type="dxa"/>
            <w:right w:w="108" w:type="dxa"/>
          </w:tblCellMar>
        </w:tblPrEx>
        <w:trPr>
          <w:trHeight w:val="312" w:hRule="atLeast"/>
        </w:trPr>
        <w:tc>
          <w:tcPr>
            <w:tcW w:w="12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科目代码</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科目名称</w:t>
            </w:r>
          </w:p>
        </w:tc>
        <w:tc>
          <w:tcPr>
            <w:tcW w:w="2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7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小计</w:t>
            </w:r>
          </w:p>
        </w:tc>
        <w:tc>
          <w:tcPr>
            <w:tcW w:w="20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 xml:space="preserve">基本支出  </w:t>
            </w:r>
          </w:p>
        </w:tc>
        <w:tc>
          <w:tcPr>
            <w:tcW w:w="20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项目支出</w:t>
            </w:r>
          </w:p>
        </w:tc>
        <w:tc>
          <w:tcPr>
            <w:tcW w:w="2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rPr>
          <w:trHeight w:val="312" w:hRule="atLeast"/>
        </w:trPr>
        <w:tc>
          <w:tcPr>
            <w:tcW w:w="12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rPr>
          <w:trHeight w:val="312" w:hRule="atLeast"/>
        </w:trPr>
        <w:tc>
          <w:tcPr>
            <w:tcW w:w="12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c>
          <w:tcPr>
            <w:tcW w:w="26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栏次</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1</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2</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3</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4</w:t>
            </w:r>
          </w:p>
        </w:tc>
        <w:tc>
          <w:tcPr>
            <w:tcW w:w="20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5</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6</w:t>
            </w:r>
          </w:p>
        </w:tc>
      </w:tr>
      <w:tr>
        <w:tblPrEx>
          <w:tblLayout w:type="fixed"/>
          <w:tblCellMar>
            <w:top w:w="0" w:type="dxa"/>
            <w:left w:w="108" w:type="dxa"/>
            <w:bottom w:w="0" w:type="dxa"/>
            <w:right w:w="108" w:type="dxa"/>
          </w:tblCellMar>
        </w:tblPrEx>
        <w:tc>
          <w:tcPr>
            <w:tcW w:w="26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Times New Roman" w:eastAsiaTheme="majorEastAsia"/>
                <w:color w:val="000000"/>
                <w:sz w:val="24"/>
                <w:szCs w:val="24"/>
              </w:rPr>
            </w:pPr>
            <w:r>
              <w:rPr>
                <w:rFonts w:ascii="Times New Roman" w:hAnsi="Times New Roman" w:cs="Times New Roman" w:eastAsiaTheme="majorEastAsia"/>
                <w:color w:val="000000"/>
                <w:kern w:val="0"/>
                <w:sz w:val="24"/>
                <w:szCs w:val="24"/>
                <w:lang w:bidi="ar"/>
              </w:rPr>
              <w:t>合计</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Times New Roman" w:eastAsiaTheme="majorEastAsia"/>
                <w:color w:val="000000"/>
                <w:sz w:val="24"/>
                <w:szCs w:val="24"/>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ajorEastAsia"/>
                <w:color w:val="000000"/>
                <w:sz w:val="24"/>
                <w:szCs w:val="24"/>
              </w:rPr>
            </w:pPr>
          </w:p>
        </w:tc>
      </w:tr>
      <w:tr>
        <w:tblPrEx>
          <w:tblLayout w:type="fixed"/>
          <w:tblCellMar>
            <w:top w:w="0" w:type="dxa"/>
            <w:left w:w="108" w:type="dxa"/>
            <w:bottom w:w="0" w:type="dxa"/>
            <w:right w:w="108" w:type="dxa"/>
          </w:tblCellMar>
        </w:tblPrEx>
        <w:tc>
          <w:tcPr>
            <w:tcW w:w="15019" w:type="dxa"/>
            <w:gridSpan w:val="9"/>
            <w:tcBorders>
              <w:top w:val="nil"/>
              <w:left w:val="nil"/>
              <w:bottom w:val="nil"/>
              <w:right w:val="nil"/>
            </w:tcBorders>
            <w:shd w:val="clear" w:color="auto" w:fill="auto"/>
            <w:vAlign w:val="center"/>
          </w:tcPr>
          <w:p>
            <w:pPr>
              <w:widowControl/>
              <w:jc w:val="left"/>
              <w:textAlignment w:val="center"/>
              <w:rPr>
                <w:rFonts w:ascii="Times New Roman" w:hAnsi="Times New Roman" w:cs="Times New Roman" w:eastAsiaTheme="majorEastAsia"/>
                <w:color w:val="000000"/>
                <w:kern w:val="0"/>
                <w:sz w:val="24"/>
                <w:szCs w:val="24"/>
                <w:lang w:bidi="ar"/>
              </w:rPr>
            </w:pPr>
            <w:r>
              <w:rPr>
                <w:rFonts w:ascii="Times New Roman" w:hAnsi="Times New Roman" w:cs="Times New Roman" w:eastAsiaTheme="majorEastAsia"/>
                <w:color w:val="000000"/>
                <w:kern w:val="0"/>
                <w:sz w:val="24"/>
                <w:szCs w:val="24"/>
                <w:lang w:bidi="ar"/>
              </w:rPr>
              <w:t>注：本表反映部门本年度政府性基金预算财政拨款收入、支出及结转和结余情况。</w:t>
            </w:r>
          </w:p>
          <w:p>
            <w:pPr>
              <w:widowControl/>
              <w:jc w:val="left"/>
              <w:textAlignment w:val="center"/>
              <w:rPr>
                <w:rFonts w:ascii="Times New Roman" w:hAnsi="Times New Roman" w:cs="Times New Roman" w:eastAsiaTheme="majorEastAsia"/>
                <w:color w:val="000000"/>
                <w:kern w:val="0"/>
                <w:sz w:val="24"/>
                <w:szCs w:val="24"/>
                <w:lang w:bidi="ar"/>
              </w:rPr>
            </w:pPr>
          </w:p>
          <w:p>
            <w:pPr>
              <w:widowControl/>
              <w:jc w:val="left"/>
              <w:textAlignment w:val="center"/>
              <w:rPr>
                <w:rFonts w:ascii="Times New Roman" w:hAnsi="Times New Roman" w:cs="Times New Roman" w:eastAsiaTheme="majorEastAsia"/>
                <w:color w:val="000000"/>
                <w:kern w:val="0"/>
                <w:sz w:val="24"/>
                <w:szCs w:val="24"/>
                <w:lang w:bidi="ar"/>
              </w:rPr>
            </w:pPr>
            <w:r>
              <w:rPr>
                <w:rFonts w:ascii="Times New Roman" w:hAnsi="Times New Roman" w:cs="Times New Roman" w:eastAsiaTheme="majorEastAsia"/>
                <w:b/>
                <w:bCs/>
                <w:kern w:val="0"/>
                <w:sz w:val="24"/>
                <w:szCs w:val="24"/>
                <w:lang w:bidi="ar"/>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left"/>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br w:type="page"/>
      </w:r>
    </w:p>
    <w:tbl>
      <w:tblPr>
        <w:tblStyle w:val="11"/>
        <w:tblW w:w="14616" w:type="dxa"/>
        <w:jc w:val="center"/>
        <w:tblInd w:w="0" w:type="dxa"/>
        <w:tblLayout w:type="fixed"/>
        <w:tblCellMar>
          <w:top w:w="0" w:type="dxa"/>
          <w:left w:w="108" w:type="dxa"/>
          <w:bottom w:w="0" w:type="dxa"/>
          <w:right w:w="108" w:type="dxa"/>
        </w:tblCellMar>
      </w:tblPr>
      <w:tblGrid>
        <w:gridCol w:w="1326"/>
        <w:gridCol w:w="701"/>
        <w:gridCol w:w="2292"/>
        <w:gridCol w:w="3315"/>
        <w:gridCol w:w="3315"/>
        <w:gridCol w:w="3667"/>
      </w:tblGrid>
      <w:tr>
        <w:tblPrEx>
          <w:tblLayout w:type="fixed"/>
          <w:tblCellMar>
            <w:top w:w="0" w:type="dxa"/>
            <w:left w:w="108" w:type="dxa"/>
            <w:bottom w:w="0" w:type="dxa"/>
            <w:right w:w="108" w:type="dxa"/>
          </w:tblCellMar>
        </w:tblPrEx>
        <w:trPr>
          <w:jc w:val="center"/>
        </w:trPr>
        <w:tc>
          <w:tcPr>
            <w:tcW w:w="14616" w:type="dxa"/>
            <w:gridSpan w:val="6"/>
            <w:tcBorders>
              <w:top w:val="nil"/>
              <w:left w:val="nil"/>
              <w:bottom w:val="nil"/>
              <w:right w:val="nil"/>
            </w:tcBorders>
            <w:shd w:val="clear" w:color="auto" w:fill="FFFFFF"/>
            <w:vAlign w:val="center"/>
          </w:tcPr>
          <w:p>
            <w:pPr>
              <w:widowControl/>
              <w:jc w:val="center"/>
              <w:textAlignment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kern w:val="0"/>
                <w:sz w:val="36"/>
                <w:szCs w:val="36"/>
                <w:lang w:bidi="ar"/>
              </w:rPr>
              <w:t>国有资本经营预算财政拨款支出决算表</w:t>
            </w:r>
          </w:p>
        </w:tc>
      </w:tr>
      <w:tr>
        <w:tblPrEx>
          <w:tblLayout w:type="fixed"/>
          <w:tblCellMar>
            <w:top w:w="0" w:type="dxa"/>
            <w:left w:w="108" w:type="dxa"/>
            <w:bottom w:w="0" w:type="dxa"/>
            <w:right w:w="108" w:type="dxa"/>
          </w:tblCellMar>
        </w:tblPrEx>
        <w:trPr>
          <w:jc w:val="center"/>
        </w:trPr>
        <w:tc>
          <w:tcPr>
            <w:tcW w:w="1326" w:type="dxa"/>
            <w:tcBorders>
              <w:top w:val="nil"/>
              <w:left w:val="nil"/>
              <w:bottom w:val="nil"/>
              <w:right w:val="nil"/>
            </w:tcBorders>
            <w:shd w:val="clear" w:color="auto" w:fill="FFFFFF"/>
            <w:vAlign w:val="center"/>
          </w:tcPr>
          <w:p>
            <w:pPr>
              <w:jc w:val="center"/>
              <w:rPr>
                <w:rFonts w:ascii="Times New Roman" w:hAnsi="Times New Roman" w:eastAsia="宋体" w:cs="Times New Roman"/>
                <w:color w:val="000000"/>
                <w:sz w:val="20"/>
                <w:szCs w:val="20"/>
              </w:rPr>
            </w:pPr>
          </w:p>
        </w:tc>
        <w:tc>
          <w:tcPr>
            <w:tcW w:w="701" w:type="dxa"/>
            <w:tcBorders>
              <w:top w:val="nil"/>
              <w:left w:val="nil"/>
              <w:bottom w:val="nil"/>
              <w:right w:val="nil"/>
            </w:tcBorders>
            <w:shd w:val="clear" w:color="auto" w:fill="FFFFFF"/>
            <w:vAlign w:val="center"/>
          </w:tcPr>
          <w:p>
            <w:pPr>
              <w:jc w:val="center"/>
              <w:rPr>
                <w:rFonts w:ascii="Times New Roman" w:hAnsi="Times New Roman" w:eastAsia="宋体" w:cs="Times New Roman"/>
                <w:color w:val="000000"/>
                <w:sz w:val="20"/>
                <w:szCs w:val="20"/>
              </w:rPr>
            </w:pPr>
          </w:p>
        </w:tc>
        <w:tc>
          <w:tcPr>
            <w:tcW w:w="2292" w:type="dxa"/>
            <w:tcBorders>
              <w:top w:val="nil"/>
              <w:left w:val="nil"/>
              <w:bottom w:val="nil"/>
              <w:right w:val="nil"/>
            </w:tcBorders>
            <w:shd w:val="clear" w:color="auto" w:fill="FFFFFF"/>
            <w:vAlign w:val="center"/>
          </w:tcPr>
          <w:p>
            <w:pPr>
              <w:jc w:val="center"/>
              <w:rPr>
                <w:rFonts w:ascii="Times New Roman" w:hAnsi="Times New Roman" w:eastAsia="宋体" w:cs="Times New Roman"/>
                <w:color w:val="000000"/>
                <w:sz w:val="20"/>
                <w:szCs w:val="20"/>
              </w:rPr>
            </w:pPr>
          </w:p>
        </w:tc>
        <w:tc>
          <w:tcPr>
            <w:tcW w:w="3315"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3315"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3667" w:type="dxa"/>
            <w:tcBorders>
              <w:top w:val="nil"/>
              <w:left w:val="nil"/>
              <w:bottom w:val="nil"/>
              <w:right w:val="nil"/>
            </w:tcBorders>
            <w:shd w:val="clear" w:color="auto" w:fill="FFFFFF"/>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公开08表</w:t>
            </w:r>
          </w:p>
        </w:tc>
      </w:tr>
      <w:tr>
        <w:tblPrEx>
          <w:tblLayout w:type="fixed"/>
          <w:tblCellMar>
            <w:top w:w="0" w:type="dxa"/>
            <w:left w:w="108" w:type="dxa"/>
            <w:bottom w:w="0" w:type="dxa"/>
            <w:right w:w="108" w:type="dxa"/>
          </w:tblCellMar>
        </w:tblPrEx>
        <w:trPr>
          <w:jc w:val="center"/>
        </w:trPr>
        <w:tc>
          <w:tcPr>
            <w:tcW w:w="1326" w:type="dxa"/>
            <w:tcBorders>
              <w:top w:val="nil"/>
              <w:left w:val="nil"/>
              <w:bottom w:val="nil"/>
              <w:right w:val="nil"/>
            </w:tcBorders>
            <w:shd w:val="clear" w:color="auto" w:fill="FFFFFF"/>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部门：</w:t>
            </w:r>
          </w:p>
        </w:tc>
        <w:tc>
          <w:tcPr>
            <w:tcW w:w="701" w:type="dxa"/>
            <w:tcBorders>
              <w:top w:val="nil"/>
              <w:left w:val="nil"/>
              <w:bottom w:val="nil"/>
              <w:right w:val="nil"/>
            </w:tcBorders>
            <w:shd w:val="clear" w:color="auto" w:fill="FFFFFF"/>
            <w:vAlign w:val="center"/>
          </w:tcPr>
          <w:p>
            <w:pPr>
              <w:jc w:val="center"/>
              <w:rPr>
                <w:rFonts w:ascii="Times New Roman" w:hAnsi="Times New Roman" w:eastAsia="宋体" w:cs="Times New Roman"/>
                <w:color w:val="000000"/>
                <w:sz w:val="20"/>
                <w:szCs w:val="20"/>
              </w:rPr>
            </w:pPr>
          </w:p>
        </w:tc>
        <w:tc>
          <w:tcPr>
            <w:tcW w:w="2292" w:type="dxa"/>
            <w:tcBorders>
              <w:top w:val="nil"/>
              <w:left w:val="nil"/>
              <w:bottom w:val="nil"/>
              <w:right w:val="nil"/>
            </w:tcBorders>
            <w:shd w:val="clear" w:color="auto" w:fill="FFFFFF"/>
            <w:vAlign w:val="center"/>
          </w:tcPr>
          <w:p>
            <w:pPr>
              <w:jc w:val="center"/>
              <w:rPr>
                <w:rFonts w:ascii="Times New Roman" w:hAnsi="Times New Roman" w:eastAsia="宋体" w:cs="Times New Roman"/>
                <w:color w:val="000000"/>
                <w:sz w:val="20"/>
                <w:szCs w:val="20"/>
              </w:rPr>
            </w:pPr>
          </w:p>
        </w:tc>
        <w:tc>
          <w:tcPr>
            <w:tcW w:w="3315"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3315"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3667" w:type="dxa"/>
            <w:tcBorders>
              <w:top w:val="nil"/>
              <w:left w:val="nil"/>
              <w:bottom w:val="nil"/>
              <w:right w:val="nil"/>
            </w:tcBorders>
            <w:shd w:val="clear" w:color="auto" w:fill="FFFFFF"/>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单位：万元</w:t>
            </w:r>
          </w:p>
        </w:tc>
      </w:tr>
      <w:tr>
        <w:tblPrEx>
          <w:tblLayout w:type="fixed"/>
          <w:tblCellMar>
            <w:top w:w="0" w:type="dxa"/>
            <w:left w:w="108" w:type="dxa"/>
            <w:bottom w:w="0" w:type="dxa"/>
            <w:right w:w="108" w:type="dxa"/>
          </w:tblCellMar>
        </w:tblPrEx>
        <w:trPr>
          <w:jc w:val="center"/>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 xml:space="preserve">项 </w:t>
            </w:r>
            <w:r>
              <w:rPr>
                <w:rFonts w:ascii="Times New Roman" w:hAnsi="Times New Roman" w:eastAsia="宋体" w:cs="Times New Roman"/>
                <w:color w:val="000000"/>
                <w:kern w:val="0"/>
                <w:sz w:val="22"/>
                <w:lang w:bidi="ar"/>
              </w:rPr>
              <w:t xml:space="preserve">   </w:t>
            </w:r>
            <w:r>
              <w:rPr>
                <w:rStyle w:val="19"/>
                <w:rFonts w:hint="default" w:ascii="Times New Roman" w:hAnsi="Times New Roman" w:cs="Times New Roman"/>
                <w:lang w:bidi="ar"/>
              </w:rPr>
              <w:t>目</w:t>
            </w:r>
          </w:p>
        </w:tc>
        <w:tc>
          <w:tcPr>
            <w:tcW w:w="102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本年支出</w:t>
            </w:r>
          </w:p>
        </w:tc>
      </w:tr>
      <w:tr>
        <w:tblPrEx>
          <w:tblLayout w:type="fixed"/>
          <w:tblCellMar>
            <w:top w:w="0" w:type="dxa"/>
            <w:left w:w="108" w:type="dxa"/>
            <w:bottom w:w="0" w:type="dxa"/>
            <w:right w:w="108" w:type="dxa"/>
          </w:tblCellMar>
        </w:tblPrEx>
        <w:trPr>
          <w:jc w:val="center"/>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科目代码</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4"/>
                <w:szCs w:val="24"/>
                <w:lang w:bidi="ar"/>
              </w:rPr>
              <w:t>科目名称</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基本支出</w:t>
            </w: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项目支出</w:t>
            </w:r>
          </w:p>
        </w:tc>
      </w:tr>
      <w:tr>
        <w:tblPrEx>
          <w:tblLayout w:type="fixed"/>
          <w:tblCellMar>
            <w:top w:w="0" w:type="dxa"/>
            <w:left w:w="108" w:type="dxa"/>
            <w:bottom w:w="0" w:type="dxa"/>
            <w:right w:w="108" w:type="dxa"/>
          </w:tblCellMar>
        </w:tblPrEx>
        <w:trPr>
          <w:jc w:val="center"/>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2</w:t>
            </w: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3</w:t>
            </w:r>
          </w:p>
        </w:tc>
      </w:tr>
      <w:tr>
        <w:tblPrEx>
          <w:tblLayout w:type="fixed"/>
          <w:tblCellMar>
            <w:top w:w="0" w:type="dxa"/>
            <w:left w:w="108" w:type="dxa"/>
            <w:bottom w:w="0" w:type="dxa"/>
            <w:right w:w="108" w:type="dxa"/>
          </w:tblCellMar>
        </w:tblPrEx>
        <w:trPr>
          <w:jc w:val="center"/>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p>
        </w:tc>
      </w:tr>
      <w:tr>
        <w:tblPrEx>
          <w:tblLayout w:type="fixed"/>
          <w:tblCellMar>
            <w:top w:w="0" w:type="dxa"/>
            <w:left w:w="108" w:type="dxa"/>
            <w:bottom w:w="0" w:type="dxa"/>
            <w:right w:w="108" w:type="dxa"/>
          </w:tblCellMar>
        </w:tblPrEx>
        <w:trPr>
          <w:jc w:val="center"/>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r>
      <w:tr>
        <w:tblPrEx>
          <w:tblLayout w:type="fixed"/>
          <w:tblCellMar>
            <w:top w:w="0" w:type="dxa"/>
            <w:left w:w="108" w:type="dxa"/>
            <w:bottom w:w="0" w:type="dxa"/>
            <w:right w:w="108" w:type="dxa"/>
          </w:tblCellMar>
        </w:tblPrEx>
        <w:trPr>
          <w:jc w:val="center"/>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r>
      <w:tr>
        <w:tblPrEx>
          <w:tblLayout w:type="fixed"/>
          <w:tblCellMar>
            <w:top w:w="0" w:type="dxa"/>
            <w:left w:w="108" w:type="dxa"/>
            <w:bottom w:w="0" w:type="dxa"/>
            <w:right w:w="108" w:type="dxa"/>
          </w:tblCellMar>
        </w:tblPrEx>
        <w:trPr>
          <w:jc w:val="center"/>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color w:val="000000"/>
                <w:sz w:val="24"/>
                <w:szCs w:val="24"/>
              </w:rPr>
            </w:pPr>
          </w:p>
        </w:tc>
      </w:tr>
      <w:tr>
        <w:tblPrEx>
          <w:tblLayout w:type="fixed"/>
          <w:tblCellMar>
            <w:top w:w="0" w:type="dxa"/>
            <w:left w:w="108" w:type="dxa"/>
            <w:bottom w:w="0" w:type="dxa"/>
            <w:right w:w="108" w:type="dxa"/>
          </w:tblCellMar>
        </w:tblPrEx>
        <w:trPr>
          <w:jc w:val="center"/>
        </w:trPr>
        <w:tc>
          <w:tcPr>
            <w:tcW w:w="14616" w:type="dxa"/>
            <w:gridSpan w:val="6"/>
            <w:tcBorders>
              <w:top w:val="nil"/>
              <w:left w:val="nil"/>
              <w:bottom w:val="nil"/>
              <w:right w:val="nil"/>
            </w:tcBorders>
            <w:shd w:val="clear" w:color="auto" w:fill="auto"/>
            <w:vAlign w:val="center"/>
          </w:tcPr>
          <w:p>
            <w:pPr>
              <w:widowControl/>
              <w:jc w:val="left"/>
              <w:textAlignment w:val="center"/>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注：本表反映部门本年度国有资本经营预算财政拨款支出情况。</w:t>
            </w:r>
          </w:p>
          <w:p>
            <w:pPr>
              <w:widowControl/>
              <w:jc w:val="left"/>
              <w:textAlignment w:val="center"/>
              <w:rPr>
                <w:rFonts w:ascii="Times New Roman" w:hAnsi="Times New Roman" w:eastAsia="宋体" w:cs="Times New Roman"/>
                <w:color w:val="000000"/>
                <w:kern w:val="0"/>
                <w:sz w:val="24"/>
                <w:szCs w:val="24"/>
                <w:lang w:bidi="ar"/>
              </w:rPr>
            </w:pPr>
          </w:p>
          <w:p>
            <w:pPr>
              <w:widowControl/>
              <w:jc w:val="left"/>
              <w:textAlignment w:val="center"/>
              <w:rPr>
                <w:rFonts w:ascii="Times New Roman" w:hAnsi="Times New Roman" w:eastAsia="宋体" w:cs="Times New Roman"/>
                <w:color w:val="000000"/>
                <w:kern w:val="0"/>
                <w:sz w:val="24"/>
                <w:szCs w:val="24"/>
                <w:lang w:bidi="ar"/>
              </w:rPr>
            </w:pPr>
            <w:r>
              <w:rPr>
                <w:rFonts w:ascii="Times New Roman" w:hAnsi="Times New Roman" w:eastAsia="楷体" w:cs="Times New Roman"/>
                <w:b/>
                <w:bCs/>
                <w:kern w:val="0"/>
                <w:sz w:val="24"/>
                <w:szCs w:val="24"/>
                <w:lang w:bidi="ar"/>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left"/>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br w:type="page"/>
      </w:r>
    </w:p>
    <w:tbl>
      <w:tblPr>
        <w:tblStyle w:val="11"/>
        <w:tblW w:w="15190" w:type="dxa"/>
        <w:jc w:val="center"/>
        <w:tblInd w:w="0" w:type="dxa"/>
        <w:tblLayout w:type="fixed"/>
        <w:tblCellMar>
          <w:top w:w="0" w:type="dxa"/>
          <w:left w:w="108" w:type="dxa"/>
          <w:bottom w:w="0" w:type="dxa"/>
          <w:right w:w="108" w:type="dxa"/>
        </w:tblCellMar>
      </w:tblPr>
      <w:tblGrid>
        <w:gridCol w:w="1260"/>
        <w:gridCol w:w="1261"/>
        <w:gridCol w:w="1261"/>
        <w:gridCol w:w="1261"/>
        <w:gridCol w:w="1421"/>
        <w:gridCol w:w="1261"/>
        <w:gridCol w:w="1261"/>
        <w:gridCol w:w="1261"/>
        <w:gridCol w:w="1261"/>
        <w:gridCol w:w="1261"/>
        <w:gridCol w:w="1426"/>
        <w:gridCol w:w="995"/>
      </w:tblGrid>
      <w:tr>
        <w:tblPrEx>
          <w:tblLayout w:type="fixed"/>
          <w:tblCellMar>
            <w:top w:w="0" w:type="dxa"/>
            <w:left w:w="108" w:type="dxa"/>
            <w:bottom w:w="0" w:type="dxa"/>
            <w:right w:w="108" w:type="dxa"/>
          </w:tblCellMar>
        </w:tblPrEx>
        <w:trPr>
          <w:jc w:val="center"/>
        </w:trPr>
        <w:tc>
          <w:tcPr>
            <w:tcW w:w="15190" w:type="dxa"/>
            <w:gridSpan w:val="12"/>
            <w:tcBorders>
              <w:top w:val="nil"/>
              <w:left w:val="nil"/>
              <w:bottom w:val="nil"/>
              <w:right w:val="nil"/>
            </w:tcBorders>
            <w:shd w:val="clear" w:color="auto" w:fill="FFFFFF"/>
            <w:vAlign w:val="center"/>
          </w:tcPr>
          <w:p>
            <w:pPr>
              <w:widowControl/>
              <w:jc w:val="center"/>
              <w:textAlignment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kern w:val="0"/>
                <w:sz w:val="36"/>
                <w:szCs w:val="36"/>
                <w:lang w:bidi="ar"/>
              </w:rPr>
              <w:t>财政拨款“三公”经费支出决算表</w:t>
            </w:r>
          </w:p>
        </w:tc>
      </w:tr>
      <w:tr>
        <w:tblPrEx>
          <w:tblLayout w:type="fixed"/>
          <w:tblCellMar>
            <w:top w:w="0" w:type="dxa"/>
            <w:left w:w="108" w:type="dxa"/>
            <w:bottom w:w="0" w:type="dxa"/>
            <w:right w:w="108" w:type="dxa"/>
          </w:tblCellMar>
        </w:tblPrEx>
        <w:trPr>
          <w:jc w:val="center"/>
        </w:trPr>
        <w:tc>
          <w:tcPr>
            <w:tcW w:w="1260"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42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2421" w:type="dxa"/>
            <w:gridSpan w:val="2"/>
            <w:tcBorders>
              <w:top w:val="nil"/>
              <w:left w:val="nil"/>
              <w:bottom w:val="nil"/>
              <w:right w:val="nil"/>
            </w:tcBorders>
            <w:shd w:val="clear" w:color="auto" w:fill="FFFFFF"/>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公开09表</w:t>
            </w:r>
          </w:p>
        </w:tc>
      </w:tr>
      <w:tr>
        <w:tblPrEx>
          <w:tblLayout w:type="fixed"/>
          <w:tblCellMar>
            <w:top w:w="0" w:type="dxa"/>
            <w:left w:w="108" w:type="dxa"/>
            <w:bottom w:w="0" w:type="dxa"/>
            <w:right w:w="108" w:type="dxa"/>
          </w:tblCellMar>
        </w:tblPrEx>
        <w:trPr>
          <w:jc w:val="center"/>
        </w:trPr>
        <w:tc>
          <w:tcPr>
            <w:tcW w:w="1260" w:type="dxa"/>
            <w:tcBorders>
              <w:top w:val="nil"/>
              <w:left w:val="nil"/>
              <w:bottom w:val="nil"/>
              <w:right w:val="nil"/>
            </w:tcBorders>
            <w:shd w:val="clear" w:color="auto" w:fill="FFFFFF"/>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部门：</w:t>
            </w: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42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1261" w:type="dxa"/>
            <w:tcBorders>
              <w:top w:val="nil"/>
              <w:left w:val="nil"/>
              <w:bottom w:val="nil"/>
              <w:right w:val="nil"/>
            </w:tcBorders>
            <w:shd w:val="clear" w:color="auto" w:fill="FFFFFF"/>
            <w:vAlign w:val="center"/>
          </w:tcPr>
          <w:p>
            <w:pPr>
              <w:rPr>
                <w:rFonts w:ascii="Times New Roman" w:hAnsi="Times New Roman" w:eastAsia="宋体" w:cs="Times New Roman"/>
                <w:color w:val="000000"/>
                <w:sz w:val="20"/>
                <w:szCs w:val="20"/>
              </w:rPr>
            </w:pPr>
          </w:p>
        </w:tc>
        <w:tc>
          <w:tcPr>
            <w:tcW w:w="2421" w:type="dxa"/>
            <w:gridSpan w:val="2"/>
            <w:tcBorders>
              <w:top w:val="nil"/>
              <w:left w:val="nil"/>
              <w:bottom w:val="nil"/>
              <w:right w:val="nil"/>
            </w:tcBorders>
            <w:shd w:val="clear" w:color="auto" w:fill="FFFFFF"/>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单位：万元</w:t>
            </w:r>
          </w:p>
        </w:tc>
      </w:tr>
      <w:tr>
        <w:tblPrEx>
          <w:tblLayout w:type="fixed"/>
          <w:tblCellMar>
            <w:top w:w="0" w:type="dxa"/>
            <w:left w:w="108" w:type="dxa"/>
            <w:bottom w:w="0" w:type="dxa"/>
            <w:right w:w="108" w:type="dxa"/>
          </w:tblCellMar>
        </w:tblPrEx>
        <w:trPr>
          <w:jc w:val="center"/>
        </w:trPr>
        <w:tc>
          <w:tcPr>
            <w:tcW w:w="77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预算数</w:t>
            </w:r>
          </w:p>
        </w:tc>
        <w:tc>
          <w:tcPr>
            <w:tcW w:w="7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决算数</w:t>
            </w:r>
          </w:p>
        </w:tc>
      </w:tr>
      <w:tr>
        <w:tblPrEx>
          <w:tblLayout w:type="fixed"/>
          <w:tblCellMar>
            <w:top w:w="0" w:type="dxa"/>
            <w:left w:w="108" w:type="dxa"/>
            <w:bottom w:w="0" w:type="dxa"/>
            <w:right w:w="108" w:type="dxa"/>
          </w:tblCellMar>
        </w:tblPrEx>
        <w:trPr>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因公出国（境）费</w:t>
            </w:r>
          </w:p>
        </w:tc>
        <w:tc>
          <w:tcPr>
            <w:tcW w:w="39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公务</w:t>
            </w:r>
          </w:p>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因公出国（境）费</w:t>
            </w:r>
          </w:p>
        </w:tc>
        <w:tc>
          <w:tcPr>
            <w:tcW w:w="39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公务用车购置及运行维护费</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公务</w:t>
            </w:r>
          </w:p>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接待费</w:t>
            </w:r>
          </w:p>
        </w:tc>
      </w:tr>
      <w:tr>
        <w:tblPrEx>
          <w:tblLayout w:type="fixed"/>
          <w:tblCellMar>
            <w:top w:w="0" w:type="dxa"/>
            <w:left w:w="108" w:type="dxa"/>
            <w:bottom w:w="0" w:type="dxa"/>
            <w:right w:w="108"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公务用车</w:t>
            </w:r>
          </w:p>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购置费</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公务用车</w:t>
            </w:r>
          </w:p>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公务用车</w:t>
            </w:r>
          </w:p>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购置费</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22"/>
                <w:lang w:bidi="ar"/>
              </w:rPr>
            </w:pPr>
            <w:r>
              <w:rPr>
                <w:rFonts w:ascii="Times New Roman" w:hAnsi="Times New Roman" w:eastAsia="宋体" w:cs="Times New Roman"/>
                <w:color w:val="000000"/>
                <w:kern w:val="0"/>
                <w:sz w:val="22"/>
                <w:lang w:bidi="ar"/>
              </w:rPr>
              <w:t>公务用车</w:t>
            </w:r>
          </w:p>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运行维护费</w:t>
            </w: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4</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10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11</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12</w:t>
            </w:r>
          </w:p>
        </w:tc>
      </w:tr>
      <w:tr>
        <w:tblPrEx>
          <w:tblLayout w:type="fixed"/>
          <w:tblCellMar>
            <w:top w:w="0" w:type="dxa"/>
            <w:left w:w="108" w:type="dxa"/>
            <w:bottom w:w="0" w:type="dxa"/>
            <w:right w:w="108"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0.43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r>
              <w:rPr>
                <w:rFonts w:ascii="Times New Roman" w:hAnsi="Times New Roman" w:eastAsia="宋体" w:cs="Times New Roman"/>
                <w:color w:val="000000"/>
                <w:sz w:val="22"/>
              </w:rPr>
              <w:t>0.43</w:t>
            </w:r>
          </w:p>
        </w:tc>
      </w:tr>
      <w:tr>
        <w:tblPrEx>
          <w:tblLayout w:type="fixed"/>
          <w:tblCellMar>
            <w:top w:w="0" w:type="dxa"/>
            <w:left w:w="108" w:type="dxa"/>
            <w:bottom w:w="0" w:type="dxa"/>
            <w:right w:w="108" w:type="dxa"/>
          </w:tblCellMar>
        </w:tblPrEx>
        <w:trPr>
          <w:jc w:val="center"/>
        </w:trPr>
        <w:tc>
          <w:tcPr>
            <w:tcW w:w="15190" w:type="dxa"/>
            <w:gridSpan w:val="12"/>
            <w:tcBorders>
              <w:top w:val="nil"/>
              <w:left w:val="nil"/>
              <w:bottom w:val="nil"/>
              <w:right w:val="nil"/>
            </w:tcBorders>
            <w:shd w:val="clear" w:color="auto" w:fill="auto"/>
            <w:vAlign w:val="center"/>
          </w:tcPr>
          <w:p>
            <w:pPr>
              <w:widowControl/>
              <w:jc w:val="left"/>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widowControl/>
        <w:rPr>
          <w:rFonts w:ascii="Times New Roman" w:hAnsi="Times New Roman" w:cs="Times New Roman"/>
          <w:sz w:val="72"/>
          <w:szCs w:val="72"/>
        </w:rPr>
        <w:sectPr>
          <w:footerReference r:id="rId6" w:type="default"/>
          <w:footerReference r:id="rId7" w:type="even"/>
          <w:pgSz w:w="16838" w:h="11906" w:orient="landscape"/>
          <w:pgMar w:top="1418" w:right="1134" w:bottom="1418" w:left="1134" w:header="851" w:footer="1021" w:gutter="0"/>
          <w:pgNumType w:start="2"/>
          <w:cols w:space="425" w:num="1"/>
          <w:docGrid w:type="lines" w:linePitch="312" w:charSpace="0"/>
        </w:sectPr>
      </w:pPr>
      <w:r>
        <w:rPr>
          <w:rFonts w:ascii="Times New Roman" w:hAnsi="Times New Roman" w:eastAsia="黑体" w:cs="Times New Roman"/>
          <w:szCs w:val="21"/>
        </w:rPr>
        <w:br w:type="page"/>
      </w:r>
    </w:p>
    <w:p>
      <w:pPr>
        <w:pStyle w:val="14"/>
        <w:spacing w:line="600" w:lineRule="exact"/>
        <w:rPr>
          <w:rFonts w:ascii="Times New Roman" w:hAnsi="Times New Roman" w:cs="Times New Roman"/>
          <w:sz w:val="72"/>
          <w:szCs w:val="72"/>
        </w:rPr>
      </w:pPr>
    </w:p>
    <w:p>
      <w:pPr>
        <w:pStyle w:val="14"/>
        <w:spacing w:line="600" w:lineRule="exact"/>
        <w:rPr>
          <w:rFonts w:ascii="Times New Roman" w:hAnsi="Times New Roman" w:cs="Times New Roman"/>
          <w:sz w:val="72"/>
          <w:szCs w:val="72"/>
        </w:rPr>
      </w:pPr>
    </w:p>
    <w:p>
      <w:pPr>
        <w:pStyle w:val="14"/>
        <w:spacing w:line="600" w:lineRule="exact"/>
        <w:rPr>
          <w:rFonts w:ascii="Times New Roman" w:hAnsi="Times New Roman" w:cs="Times New Roman"/>
          <w:sz w:val="72"/>
          <w:szCs w:val="72"/>
        </w:rPr>
      </w:pPr>
    </w:p>
    <w:p>
      <w:pPr>
        <w:pStyle w:val="14"/>
        <w:spacing w:line="600" w:lineRule="exact"/>
        <w:jc w:val="both"/>
        <w:rPr>
          <w:rFonts w:ascii="Times New Roman" w:hAnsi="Times New Roman" w:eastAsia="方正小标宋_GBK" w:cs="Times New Roman"/>
          <w:sz w:val="72"/>
          <w:szCs w:val="72"/>
        </w:rPr>
      </w:pPr>
    </w:p>
    <w:p>
      <w:pPr>
        <w:pStyle w:val="14"/>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第三部分</w:t>
      </w:r>
    </w:p>
    <w:p>
      <w:pPr>
        <w:pStyle w:val="14"/>
        <w:jc w:val="center"/>
        <w:rPr>
          <w:rFonts w:ascii="Times New Roman" w:hAnsi="Times New Roman" w:eastAsia="方正小标宋_GBK" w:cs="Times New Roman"/>
          <w:sz w:val="52"/>
          <w:szCs w:val="52"/>
        </w:rPr>
      </w:pPr>
    </w:p>
    <w:p>
      <w:pPr>
        <w:pStyle w:val="14"/>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2023年度部门决算情况说明</w:t>
      </w:r>
    </w:p>
    <w:p>
      <w:pPr>
        <w:widowControl/>
        <w:jc w:val="left"/>
        <w:rPr>
          <w:rFonts w:ascii="Times New Roman" w:hAnsi="Times New Roman" w:eastAsia="方正小标宋_GBK" w:cs="Times New Roman"/>
          <w:sz w:val="70"/>
          <w:szCs w:val="70"/>
        </w:rPr>
        <w:sectPr>
          <w:pgSz w:w="11906" w:h="16838"/>
          <w:pgMar w:top="1871" w:right="1531" w:bottom="1531" w:left="1588" w:header="851" w:footer="992" w:gutter="0"/>
          <w:cols w:space="425" w:num="1"/>
          <w:titlePg/>
          <w:docGrid w:type="linesAndChars" w:linePitch="312" w:charSpace="0"/>
        </w:sectPr>
      </w:pPr>
      <w:r>
        <w:rPr>
          <w:rFonts w:ascii="Times New Roman" w:hAnsi="Times New Roman" w:eastAsia="方正小标宋_GBK" w:cs="Times New Roman"/>
          <w:sz w:val="70"/>
          <w:szCs w:val="70"/>
        </w:rPr>
        <w:br w:type="page"/>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一、收入支出决算总体情况说明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2023年度收入总计404.1万元。与上年相比，减少1.27元，减少0.31%，主要是因为年初结余资金减少。2023年度支出总计374.3万元，与上年相比，增加49.56万元，增加15.26%，主要是因为工资政策变动，人员经费差异。</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二、收入决算情况说明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2023年度收入合计385.9万元，其中：财政拨款收入385.9万元，占100%。</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三、支出决算情况说明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2023年度支出合计374.3万元，其中：基本支出361.12万元，占96.48%；项目支出13.18万元，占3.52%。</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四、财政拨款收入支出决算总体情况说明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财政拨款收入总计404.1万元，与上年相比，增加49.65万元，增加14.01%，主要是主要是因为：1、年初结余资金差异；2、财政年中人员经费追加。2023年度财政拨款支出入总计374.3，与上年相比，增加100.48万元，增加36.7%，主要是因为工资政策变动，人员经费差异。</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五、一般公共预算财政拨款支出决算情况说明</w:t>
      </w:r>
    </w:p>
    <w:p>
      <w:pPr>
        <w:pStyle w:val="14"/>
        <w:overflowPunct w:val="0"/>
        <w:spacing w:line="596" w:lineRule="exact"/>
        <w:ind w:firstLine="643" w:firstLineChars="200"/>
        <w:jc w:val="both"/>
        <w:rPr>
          <w:rFonts w:ascii="Times New Roman" w:hAnsi="Times New Roman" w:eastAsia="楷体" w:cs="Times New Roman"/>
          <w:b/>
          <w:bCs/>
          <w:sz w:val="32"/>
          <w:szCs w:val="32"/>
        </w:rPr>
      </w:pPr>
      <w:r>
        <w:rPr>
          <w:rFonts w:ascii="Times New Roman" w:hAnsi="Times New Roman" w:eastAsia="楷体" w:cs="Times New Roman"/>
          <w:b/>
          <w:bCs/>
          <w:sz w:val="32"/>
          <w:szCs w:val="32"/>
        </w:rPr>
        <w:t>（一）一般公共预算财政拨款支出决算总体情况</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2023年度财政拨款支出374.3万元，占本年支出合计的100%，与上年相比，财政拨款支出增加100.48万元，增加36.7%，主要是因为工资政策变动，人员经费差异。</w:t>
      </w:r>
    </w:p>
    <w:p>
      <w:pPr>
        <w:pStyle w:val="14"/>
        <w:overflowPunct w:val="0"/>
        <w:spacing w:line="596" w:lineRule="exact"/>
        <w:ind w:firstLine="643" w:firstLineChars="200"/>
        <w:jc w:val="both"/>
        <w:rPr>
          <w:rFonts w:ascii="Times New Roman" w:hAnsi="Times New Roman" w:eastAsia="楷体" w:cs="Times New Roman"/>
          <w:b/>
          <w:bCs/>
          <w:sz w:val="32"/>
          <w:szCs w:val="32"/>
        </w:rPr>
      </w:pPr>
      <w:r>
        <w:rPr>
          <w:rFonts w:ascii="Times New Roman" w:hAnsi="Times New Roman" w:eastAsia="楷体" w:cs="Times New Roman"/>
          <w:b/>
          <w:bCs/>
          <w:sz w:val="32"/>
          <w:szCs w:val="32"/>
        </w:rPr>
        <w:t>（二）一般公共预算财政拨款支出决算结构情况</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2023年度财政拨款支出374.3万元，主要用于以下方面：一般公共服务支出313.69万元，占83.81%；社会保障和就业支出38.34万元，占10.24%；住房保障支出22.27万元，占5.95%。</w:t>
      </w:r>
    </w:p>
    <w:p>
      <w:pPr>
        <w:pStyle w:val="14"/>
        <w:overflowPunct w:val="0"/>
        <w:spacing w:line="596" w:lineRule="exact"/>
        <w:ind w:firstLine="643" w:firstLineChars="200"/>
        <w:jc w:val="both"/>
        <w:rPr>
          <w:rFonts w:ascii="Times New Roman" w:hAnsi="Times New Roman" w:eastAsia="楷体" w:cs="Times New Roman"/>
          <w:b/>
          <w:bCs/>
          <w:sz w:val="32"/>
          <w:szCs w:val="32"/>
        </w:rPr>
      </w:pPr>
      <w:r>
        <w:rPr>
          <w:rFonts w:ascii="Times New Roman" w:hAnsi="Times New Roman" w:eastAsia="楷体" w:cs="Times New Roman"/>
          <w:b/>
          <w:bCs/>
          <w:sz w:val="32"/>
          <w:szCs w:val="32"/>
        </w:rPr>
        <w:t>（三）一般公共预算财政拨款支出决算具体情况</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2023年度财政拨款支出年初预算数为346.79万元，支出决算数为374.3万元，完成年初预算的107.93%，</w:t>
      </w:r>
      <w:r>
        <w:rPr>
          <w:rFonts w:ascii="Times New Roman" w:hAnsi="Times New Roman" w:eastAsia="仿宋_GB2312" w:cs="Times New Roman"/>
          <w:kern w:val="2"/>
          <w:sz w:val="32"/>
          <w:szCs w:val="32"/>
          <w:lang w:bidi="ar"/>
        </w:rPr>
        <w:t>决算支出大于年初预算的主要原因是：因工作需要，年中追加了人员经费。</w:t>
      </w:r>
      <w:r>
        <w:rPr>
          <w:rFonts w:ascii="Times New Roman" w:hAnsi="Times New Roman" w:eastAsia="仿宋_GB2312" w:cs="Times New Roman"/>
          <w:sz w:val="32"/>
          <w:szCs w:val="32"/>
        </w:rPr>
        <w:t>其中：</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1、一般公共服务（类）发展与改革事务（款）事业运行（项）。</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年初预算为247.46万元，支出决算为243.51万元，完成年初预算的98.4%。</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2、一般公共服务（类）发展与改革事务（款）物价管理（项）。</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年初预算为0.2万元，支出决算为0.2万元，完成年初预算的100%。</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3、一般公共服务（类）发展与改革事务（款）其他发展与改革事务支出（项）。</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年初预算为39.51万元，支出决算为69.98万元，完成年初预算的177.12%。</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4、社会保障和就业支出（类）行政事业单位养老支出（款）事业单位离退休理（项）。</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年初预算为5.62万元，支出决算为5.62万元，完成年初预算的100%。</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5、社会保障和就业支出（类）行政事业单位养老支出（款）机关事业单位基本养老保险缴费支出（项）。</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年初预算为32万元，支出决算为32.72万元，完成年初预算的102.25%。</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6、住房保障支出（类）住房改革支出（款）住房公积金（项）。</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年初预算为22万元，支出决算为22.27万元，完成年初预算的101.23%。</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六、一般公共预算财政拨款基本支出决算情况说明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2023年度财政拨款基本支出361.12万元，其中：</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人员经费329.26万元，占基本支出的91.18%，主要包括基本工资、津贴补贴、绩效工资、机关事业单位基本养老保险缴费、住房公积金、伙食补助费、退休费、其他对个人和家庭的补助等。</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公用经费31.86万元，占基本支出的8.82%，主要包括办公费、印刷费、水费、物业管理费、差旅费、公务接待费、劳务费、工会经费、其他商品和服务支出等。</w:t>
      </w:r>
    </w:p>
    <w:p>
      <w:pPr>
        <w:pStyle w:val="14"/>
        <w:numPr>
          <w:ilvl w:val="0"/>
          <w:numId w:val="1"/>
        </w:numPr>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财政拨款三公经费支出决算情况说明</w:t>
      </w:r>
    </w:p>
    <w:p>
      <w:pPr>
        <w:pStyle w:val="14"/>
        <w:overflowPunct w:val="0"/>
        <w:spacing w:line="596" w:lineRule="exact"/>
        <w:ind w:firstLine="643" w:firstLineChars="200"/>
        <w:jc w:val="both"/>
        <w:rPr>
          <w:rFonts w:ascii="Times New Roman" w:hAnsi="Times New Roman" w:eastAsia="楷体" w:cs="Times New Roman"/>
          <w:b/>
          <w:sz w:val="32"/>
          <w:szCs w:val="32"/>
        </w:rPr>
      </w:pPr>
      <w:r>
        <w:rPr>
          <w:rFonts w:ascii="Times New Roman" w:hAnsi="Times New Roman" w:eastAsia="楷体" w:cs="Times New Roman"/>
          <w:b/>
          <w:sz w:val="32"/>
          <w:szCs w:val="32"/>
        </w:rPr>
        <w:t>（一）“三公”经费财政拨款支出决算总体情况说明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“三公”经费财政拨款支出预算为0.6万元，支出决算为0.43万元，完成预算的71.67%，与上年相比增加0.43万元，增长43%，其中：</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因公出国（境）费支出预算为0万元，支出决算为0万元。</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公务接待费支出预算为0.6万元，支出决算为0.43万元，完成预算的71.67%。决算数小于预算数的主要原因是</w:t>
      </w:r>
      <w:r>
        <w:rPr>
          <w:rFonts w:ascii="Times New Roman" w:hAnsi="Times New Roman" w:eastAsia="仿宋_GB2312" w:cs="Times New Roman"/>
          <w:kern w:val="2"/>
          <w:sz w:val="32"/>
          <w:szCs w:val="32"/>
          <w:lang w:bidi="ar"/>
        </w:rPr>
        <w:t>按照例行节约的原则，严格按标准执行接待任务。</w:t>
      </w:r>
      <w:r>
        <w:rPr>
          <w:rFonts w:ascii="Times New Roman" w:hAnsi="Times New Roman" w:eastAsia="仿宋_GB2312" w:cs="Times New Roman"/>
          <w:sz w:val="32"/>
          <w:szCs w:val="32"/>
        </w:rPr>
        <w:t>与上年相比增长0.43万元，增长43%，增长的主要原因是工作需要。</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公务用车购置费支出预算为0万元，支出决算为0万元。</w:t>
      </w:r>
    </w:p>
    <w:p>
      <w:pPr>
        <w:pStyle w:val="14"/>
        <w:overflowPunct w:val="0"/>
        <w:spacing w:line="596" w:lineRule="exact"/>
        <w:ind w:firstLine="643" w:firstLineChars="200"/>
        <w:jc w:val="both"/>
        <w:rPr>
          <w:rFonts w:ascii="Times New Roman" w:hAnsi="Times New Roman" w:eastAsia="楷体" w:cs="Times New Roman"/>
          <w:b/>
          <w:sz w:val="32"/>
          <w:szCs w:val="32"/>
        </w:rPr>
      </w:pPr>
      <w:r>
        <w:rPr>
          <w:rFonts w:ascii="Times New Roman" w:hAnsi="Times New Roman" w:eastAsia="楷体" w:cs="Times New Roman"/>
          <w:b/>
          <w:sz w:val="32"/>
          <w:szCs w:val="32"/>
        </w:rPr>
        <w:t>（二）“三公”经费财政拨款支出决算具体情况说明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2023年度“三公”经费财政拨款支出决算中，公务接待费支出决算0.43万元，占100%；因公出国（境）费支出决算0万元，占0%；公务用车购置费及运行维护费支出决算0万元，占0%。其中：</w:t>
      </w:r>
    </w:p>
    <w:p>
      <w:pPr>
        <w:pStyle w:val="14"/>
        <w:overflowPunct w:val="0"/>
        <w:spacing w:line="596" w:lineRule="exact"/>
        <w:ind w:firstLine="640" w:firstLineChars="200"/>
        <w:jc w:val="both"/>
        <w:rPr>
          <w:rFonts w:ascii="Times New Roman" w:hAnsi="Times New Roman" w:eastAsia="仿宋_GB2312" w:cs="Times New Roman"/>
          <w:b/>
          <w:bCs/>
          <w:i/>
          <w:color w:val="auto"/>
          <w:sz w:val="32"/>
          <w:szCs w:val="32"/>
        </w:rPr>
      </w:pPr>
      <w:r>
        <w:rPr>
          <w:rFonts w:ascii="Times New Roman" w:hAnsi="Times New Roman" w:eastAsia="仿宋_GB2312" w:cs="Times New Roman"/>
          <w:sz w:val="32"/>
          <w:szCs w:val="32"/>
        </w:rPr>
        <w:t>1、因公出国（境）费支出决算为0万元，全年安排因公出国（境）团组0个，累计0人次。</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2、公务接待费支出决算为0.43万元，全年共接待来访团组2个、来宾20人次，主要是国家来湘调研发生的接待支出。</w:t>
      </w:r>
    </w:p>
    <w:p>
      <w:pPr>
        <w:overflowPunct w:val="0"/>
        <w:spacing w:line="596" w:lineRule="exact"/>
        <w:ind w:firstLine="640" w:firstLineChars="200"/>
        <w:rPr>
          <w:rFonts w:ascii="Times New Roman" w:hAnsi="Times New Roman" w:eastAsia="楷体" w:cs="Times New Roman"/>
          <w:b/>
          <w:bCs/>
          <w:i/>
          <w:kern w:val="0"/>
          <w:sz w:val="32"/>
          <w:szCs w:val="32"/>
        </w:rPr>
      </w:pPr>
      <w:r>
        <w:rPr>
          <w:rFonts w:ascii="Times New Roman" w:hAnsi="Times New Roman" w:eastAsia="仿宋_GB2312" w:cs="Times New Roman"/>
          <w:sz w:val="32"/>
          <w:szCs w:val="32"/>
        </w:rPr>
        <w:t>3、公务用车购置费及运行维护费支出决算为0万元，其中：公务用车购置费0万元，更新公务用车0辆</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sz w:val="32"/>
          <w:szCs w:val="32"/>
        </w:rPr>
        <w:t>公务用车运行维护费0万元，截止2023年12月31日，我单位开支财政拨款的公务用车保有量为0辆。</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八、政府性基金预算收入支出决算情况</w:t>
      </w:r>
    </w:p>
    <w:p>
      <w:pPr>
        <w:pStyle w:val="14"/>
        <w:overflowPunct w:val="0"/>
        <w:spacing w:line="596" w:lineRule="exact"/>
        <w:ind w:firstLine="640" w:firstLineChars="200"/>
        <w:jc w:val="both"/>
        <w:rPr>
          <w:rFonts w:ascii="Times New Roman" w:hAnsi="Times New Roman" w:eastAsia="仿宋_GB2312" w:cs="Times New Roman"/>
          <w:color w:val="auto"/>
          <w:kern w:val="2"/>
          <w:sz w:val="32"/>
          <w:szCs w:val="32"/>
        </w:rPr>
      </w:pPr>
      <w:r>
        <w:rPr>
          <w:rFonts w:ascii="Times New Roman" w:hAnsi="Times New Roman" w:eastAsia="仿宋_GB2312" w:cs="Times New Roman"/>
          <w:color w:val="auto"/>
          <w:kern w:val="2"/>
          <w:sz w:val="32"/>
          <w:szCs w:val="32"/>
        </w:rPr>
        <w:t>本单位无政府性基金预算收入。</w:t>
      </w:r>
    </w:p>
    <w:p>
      <w:pPr>
        <w:pStyle w:val="14"/>
        <w:overflowPunct w:val="0"/>
        <w:spacing w:line="596" w:lineRule="exact"/>
        <w:ind w:firstLine="643" w:firstLineChars="200"/>
        <w:jc w:val="both"/>
        <w:rPr>
          <w:rFonts w:ascii="Times New Roman" w:hAnsi="Times New Roman" w:eastAsia="仿宋_GB2312" w:cs="Times New Roman"/>
          <w:b/>
          <w:color w:val="auto"/>
          <w:sz w:val="32"/>
          <w:szCs w:val="32"/>
        </w:rPr>
      </w:pPr>
      <w:r>
        <w:rPr>
          <w:rFonts w:ascii="Times New Roman" w:hAnsi="Times New Roman" w:eastAsia="仿宋_GB2312" w:cs="Times New Roman"/>
          <w:b/>
          <w:color w:val="auto"/>
          <w:sz w:val="32"/>
          <w:szCs w:val="32"/>
        </w:rPr>
        <w:t>九、关于机关运行经费支出说明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本部门2023年度机关运行经费支出31.86万元，比年初预算数减少18.35万元，降低36.55%。主要原因是：因工作需要，调整部分指标至人员经费。</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十、一般性支出情况说明</w:t>
      </w:r>
    </w:p>
    <w:p>
      <w:pPr>
        <w:pStyle w:val="14"/>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2023年本部门开支会议费0万元，用于召开0次会议，人数0人；开支培训费0万元，用于开展0次培训，人数0人。</w:t>
      </w:r>
    </w:p>
    <w:p>
      <w:pPr>
        <w:pStyle w:val="14"/>
        <w:overflowPunct w:val="0"/>
        <w:spacing w:line="596"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十一、关于政府采购支出说明</w:t>
      </w:r>
    </w:p>
    <w:p>
      <w:pPr>
        <w:pStyle w:val="14"/>
        <w:overflowPunct w:val="0"/>
        <w:spacing w:line="596"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本部门2023年度政府采购支出总额3万元，其中：政府采购货物支出3万元、政府采购工程支出0万元、政府采购服务支出0万元。授予中小企业合同金额3万元，占政府采购支出总额的100%，其中：授予小微企业合同金额3万元，</w:t>
      </w:r>
      <w:r>
        <w:rPr>
          <w:rFonts w:ascii="Times New Roman" w:hAnsi="Times New Roman" w:eastAsia="仿宋_GB2312" w:cs="Times New Roman"/>
          <w:color w:val="auto"/>
          <w:sz w:val="32"/>
          <w:szCs w:val="32"/>
        </w:rPr>
        <w:t>占授予中小企业合同金额的100%。货物采购授予中小企业合同金额占货物支出金额的100%。</w:t>
      </w:r>
    </w:p>
    <w:p>
      <w:pPr>
        <w:pStyle w:val="14"/>
        <w:overflowPunct w:val="0"/>
        <w:spacing w:line="596" w:lineRule="exact"/>
        <w:ind w:firstLine="640" w:firstLineChars="200"/>
        <w:jc w:val="both"/>
        <w:rPr>
          <w:rFonts w:ascii="Times New Roman" w:hAnsi="Times New Roman" w:cs="Times New Roman"/>
          <w:bCs/>
          <w:color w:val="auto"/>
          <w:sz w:val="32"/>
          <w:szCs w:val="32"/>
        </w:rPr>
      </w:pPr>
      <w:r>
        <w:rPr>
          <w:rFonts w:ascii="Times New Roman" w:hAnsi="Times New Roman" w:cs="Times New Roman"/>
          <w:bCs/>
          <w:color w:val="auto"/>
          <w:sz w:val="32"/>
          <w:szCs w:val="32"/>
        </w:rPr>
        <w:t>十二、关于国有资产占用情况说明</w:t>
      </w:r>
    </w:p>
    <w:p>
      <w:pPr>
        <w:pStyle w:val="14"/>
        <w:overflowPunct w:val="0"/>
        <w:spacing w:line="596"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截至2023年12月31日，部门（单位）共有车辆0辆。单位价值100万元以上设备（不含车辆）0台（套）。</w:t>
      </w:r>
    </w:p>
    <w:p>
      <w:pPr>
        <w:pStyle w:val="14"/>
        <w:overflowPunct w:val="0"/>
        <w:spacing w:line="596" w:lineRule="exact"/>
        <w:ind w:firstLine="640" w:firstLineChars="200"/>
        <w:jc w:val="both"/>
        <w:rPr>
          <w:rFonts w:ascii="Times New Roman" w:hAnsi="Times New Roman" w:cs="Times New Roman"/>
          <w:bCs/>
          <w:color w:val="auto"/>
          <w:sz w:val="32"/>
          <w:szCs w:val="32"/>
        </w:rPr>
      </w:pPr>
      <w:r>
        <w:rPr>
          <w:rFonts w:ascii="Times New Roman" w:hAnsi="Times New Roman" w:cs="Times New Roman"/>
          <w:bCs/>
          <w:color w:val="auto"/>
          <w:sz w:val="32"/>
          <w:szCs w:val="32"/>
        </w:rPr>
        <w:t>十三、关于</w:t>
      </w:r>
      <w:r>
        <w:rPr>
          <w:rFonts w:ascii="Times New Roman" w:hAnsi="Times New Roman" w:eastAsia="仿宋_GB2312" w:cs="Times New Roman"/>
          <w:color w:val="auto"/>
          <w:sz w:val="32"/>
          <w:szCs w:val="32"/>
        </w:rPr>
        <w:t>2023</w:t>
      </w:r>
      <w:r>
        <w:rPr>
          <w:rFonts w:ascii="Times New Roman" w:hAnsi="Times New Roman" w:cs="Times New Roman"/>
          <w:bCs/>
          <w:color w:val="auto"/>
          <w:sz w:val="32"/>
          <w:szCs w:val="32"/>
        </w:rPr>
        <w:t>年度预算绩效情况的说明</w:t>
      </w:r>
    </w:p>
    <w:p>
      <w:pPr>
        <w:pStyle w:val="14"/>
        <w:overflowPunct w:val="0"/>
        <w:spacing w:line="596" w:lineRule="exact"/>
        <w:ind w:firstLine="643" w:firstLineChars="200"/>
        <w:jc w:val="both"/>
        <w:rPr>
          <w:rFonts w:ascii="Times New Roman" w:hAnsi="Times New Roman" w:eastAsia="楷体" w:cs="Times New Roman"/>
          <w:b/>
          <w:bCs/>
          <w:sz w:val="32"/>
          <w:szCs w:val="32"/>
        </w:rPr>
      </w:pPr>
      <w:r>
        <w:rPr>
          <w:rFonts w:ascii="Times New Roman" w:hAnsi="Times New Roman" w:eastAsia="楷体" w:cs="Times New Roman"/>
          <w:b/>
          <w:bCs/>
          <w:sz w:val="32"/>
          <w:szCs w:val="32"/>
        </w:rPr>
        <w:t>（一）绩效管理工作开展情况</w:t>
      </w:r>
    </w:p>
    <w:p>
      <w:pPr>
        <w:pStyle w:val="14"/>
        <w:overflowPunct w:val="0"/>
        <w:spacing w:line="596" w:lineRule="exact"/>
        <w:ind w:firstLine="643" w:firstLineChars="200"/>
        <w:jc w:val="both"/>
        <w:rPr>
          <w:rFonts w:ascii="Times New Roman" w:hAnsi="Times New Roman" w:eastAsia="楷体" w:cs="Times New Roman"/>
          <w:b/>
          <w:bCs/>
          <w:sz w:val="32"/>
          <w:szCs w:val="32"/>
        </w:rPr>
      </w:pPr>
      <w:r>
        <w:rPr>
          <w:rFonts w:ascii="Times New Roman" w:hAnsi="Times New Roman" w:eastAsia="楷体" w:cs="Times New Roman"/>
          <w:b/>
          <w:bCs/>
          <w:sz w:val="32"/>
          <w:szCs w:val="32"/>
        </w:rPr>
        <w:t>（二）部门（单位）整体支出绩效情况</w:t>
      </w:r>
    </w:p>
    <w:p>
      <w:pPr>
        <w:overflowPunct w:val="0"/>
        <w:spacing w:line="596" w:lineRule="exact"/>
        <w:ind w:firstLine="640" w:firstLineChars="200"/>
        <w:outlineLvl w:val="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 xml:space="preserve"> </w:t>
      </w:r>
      <w:r>
        <w:rPr>
          <w:rFonts w:ascii="Times New Roman" w:hAnsi="Times New Roman" w:eastAsia="仿宋_GB2312" w:cs="Times New Roman"/>
          <w:sz w:val="32"/>
          <w:szCs w:val="32"/>
        </w:rPr>
        <w:t>根据预算绩效管理要求，我单位组织对本单位2023年度整体支出开展绩效评价，涉及一般公共预算支出374.3元，政府性基金预算支出0万元，国有资本经营预算支出0万元。从评价情况来看，</w:t>
      </w:r>
      <w:r>
        <w:rPr>
          <w:rFonts w:ascii="Times New Roman" w:hAnsi="Times New Roman" w:eastAsia="仿宋_GB2312" w:cs="Times New Roman"/>
          <w:color w:val="000000"/>
          <w:kern w:val="0"/>
          <w:sz w:val="32"/>
          <w:szCs w:val="32"/>
        </w:rPr>
        <w:t>我省认真贯彻落实国家、省有关工作部署，不断强化服务宏观调控职能，紧盯价格形势变化，坚持常规监测与应急监测相结合、预测预警与分析研究相结合，较好地完成了各项价格监测任务，为我省保供稳价工作发挥了重要作用。</w:t>
      </w:r>
      <w:r>
        <w:rPr>
          <w:rFonts w:ascii="Times New Roman" w:hAnsi="Times New Roman" w:eastAsia="仿宋_GB2312" w:cs="Times New Roman"/>
          <w:sz w:val="32"/>
          <w:szCs w:val="32"/>
        </w:rPr>
        <w:t>单位整体支出全面履行了本年度工作职责，基本完成年初预订的绩效目标。</w:t>
      </w:r>
    </w:p>
    <w:p>
      <w:pPr>
        <w:pStyle w:val="14"/>
        <w:overflowPunct w:val="0"/>
        <w:spacing w:line="596" w:lineRule="exact"/>
        <w:ind w:firstLine="643" w:firstLineChars="200"/>
        <w:jc w:val="both"/>
        <w:rPr>
          <w:rFonts w:ascii="Times New Roman" w:hAnsi="Times New Roman" w:eastAsia="楷体" w:cs="Times New Roman"/>
          <w:b/>
          <w:bCs/>
          <w:sz w:val="32"/>
          <w:szCs w:val="32"/>
        </w:rPr>
      </w:pPr>
      <w:r>
        <w:rPr>
          <w:rFonts w:ascii="Times New Roman" w:hAnsi="Times New Roman" w:eastAsia="楷体" w:cs="Times New Roman"/>
          <w:b/>
          <w:bCs/>
          <w:sz w:val="32"/>
          <w:szCs w:val="32"/>
        </w:rPr>
        <w:t>（三）存在的问题及原因分析</w:t>
      </w:r>
    </w:p>
    <w:p>
      <w:pPr>
        <w:pStyle w:val="14"/>
        <w:overflowPunct w:val="0"/>
        <w:spacing w:line="596" w:lineRule="exact"/>
        <w:ind w:firstLine="640" w:firstLineChars="200"/>
        <w:jc w:val="both"/>
        <w:rPr>
          <w:rFonts w:ascii="Times New Roman" w:hAnsi="Times New Roman" w:cs="Times New Roman"/>
          <w:color w:val="auto"/>
          <w:sz w:val="32"/>
          <w:szCs w:val="32"/>
        </w:rPr>
      </w:pPr>
      <w:r>
        <w:rPr>
          <w:rFonts w:ascii="Times New Roman" w:hAnsi="Times New Roman" w:eastAsia="仿宋_GB2312" w:cs="Times New Roman"/>
          <w:sz w:val="32"/>
          <w:szCs w:val="32"/>
        </w:rPr>
        <w:t>主要发现问题为项目经费执行率偏低。主要原因是上年度项目经费结转较大。</w:t>
      </w:r>
      <w:r>
        <w:rPr>
          <w:rFonts w:ascii="Times New Roman" w:hAnsi="Times New Roman" w:eastAsia="仿宋_GB2312" w:cs="Times New Roman"/>
          <w:color w:val="auto"/>
          <w:sz w:val="32"/>
          <w:szCs w:val="32"/>
        </w:rPr>
        <w:t>我中心将进一步加强预算执行管理，严格按财政要求的预算执行进度执行，提高资金使用率。</w:t>
      </w:r>
    </w:p>
    <w:p>
      <w:pPr>
        <w:spacing w:line="596" w:lineRule="exact"/>
        <w:ind w:firstLine="640" w:firstLineChars="200"/>
        <w:rPr>
          <w:rFonts w:ascii="Times New Roman" w:hAnsi="Times New Roman" w:eastAsia="仿宋_GB2312" w:cs="Times New Roman"/>
          <w:sz w:val="32"/>
          <w:szCs w:val="32"/>
        </w:rPr>
      </w:pPr>
    </w:p>
    <w:p>
      <w:pPr>
        <w:pStyle w:val="14"/>
        <w:jc w:val="center"/>
        <w:rPr>
          <w:rFonts w:ascii="Times New Roman" w:hAnsi="Times New Roman" w:cs="Times New Roman"/>
          <w:sz w:val="72"/>
          <w:szCs w:val="72"/>
        </w:rPr>
        <w:sectPr>
          <w:footerReference r:id="rId8" w:type="default"/>
          <w:footerReference r:id="rId9" w:type="even"/>
          <w:pgSz w:w="11906" w:h="16838"/>
          <w:pgMar w:top="1871" w:right="1531" w:bottom="1531" w:left="1588" w:header="851" w:footer="1304" w:gutter="0"/>
          <w:pgNumType w:start="15"/>
          <w:cols w:space="425" w:num="1"/>
          <w:docGrid w:type="linesAndChars" w:linePitch="312" w:charSpace="0"/>
        </w:sectPr>
      </w:pPr>
    </w:p>
    <w:p>
      <w:pPr>
        <w:pStyle w:val="14"/>
        <w:spacing w:line="600" w:lineRule="exact"/>
        <w:jc w:val="center"/>
        <w:rPr>
          <w:rFonts w:ascii="Times New Roman" w:hAnsi="Times New Roman" w:eastAsia="方正小标宋_GBK" w:cs="Times New Roman"/>
          <w:sz w:val="72"/>
          <w:szCs w:val="72"/>
        </w:rPr>
      </w:pPr>
    </w:p>
    <w:p>
      <w:pPr>
        <w:pStyle w:val="14"/>
        <w:spacing w:line="600" w:lineRule="exact"/>
        <w:jc w:val="center"/>
        <w:rPr>
          <w:rFonts w:ascii="Times New Roman" w:hAnsi="Times New Roman" w:eastAsia="方正小标宋_GBK" w:cs="Times New Roman"/>
          <w:sz w:val="72"/>
          <w:szCs w:val="72"/>
        </w:rPr>
      </w:pPr>
    </w:p>
    <w:p>
      <w:pPr>
        <w:pStyle w:val="14"/>
        <w:spacing w:line="600" w:lineRule="exact"/>
        <w:jc w:val="center"/>
        <w:rPr>
          <w:rFonts w:ascii="Times New Roman" w:hAnsi="Times New Roman" w:eastAsia="方正小标宋_GBK" w:cs="Times New Roman"/>
          <w:sz w:val="72"/>
          <w:szCs w:val="72"/>
        </w:rPr>
      </w:pPr>
    </w:p>
    <w:p>
      <w:pPr>
        <w:pStyle w:val="14"/>
        <w:spacing w:line="600" w:lineRule="exact"/>
        <w:jc w:val="center"/>
        <w:rPr>
          <w:rFonts w:ascii="Times New Roman" w:hAnsi="Times New Roman" w:eastAsia="方正小标宋_GBK" w:cs="Times New Roman"/>
          <w:sz w:val="72"/>
          <w:szCs w:val="72"/>
        </w:rPr>
      </w:pPr>
    </w:p>
    <w:p>
      <w:pPr>
        <w:pStyle w:val="14"/>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第四部分</w:t>
      </w:r>
    </w:p>
    <w:p>
      <w:pPr>
        <w:jc w:val="center"/>
        <w:rPr>
          <w:rFonts w:ascii="Times New Roman" w:hAnsi="Times New Roman" w:eastAsia="方正小标宋_GBK" w:cs="Times New Roman"/>
          <w:color w:val="000000"/>
          <w:kern w:val="0"/>
          <w:sz w:val="52"/>
          <w:szCs w:val="52"/>
        </w:rPr>
      </w:pPr>
    </w:p>
    <w:p>
      <w:pPr>
        <w:jc w:val="center"/>
        <w:rPr>
          <w:rFonts w:ascii="Times New Roman" w:hAnsi="Times New Roman" w:eastAsia="方正小标宋_GBK" w:cs="Times New Roman"/>
          <w:color w:val="000000"/>
          <w:kern w:val="0"/>
          <w:sz w:val="52"/>
          <w:szCs w:val="52"/>
        </w:rPr>
      </w:pPr>
      <w:r>
        <w:rPr>
          <w:rFonts w:ascii="Times New Roman" w:hAnsi="Times New Roman" w:eastAsia="方正小标宋_GBK" w:cs="Times New Roman"/>
          <w:color w:val="000000"/>
          <w:kern w:val="0"/>
          <w:sz w:val="52"/>
          <w:szCs w:val="52"/>
        </w:rPr>
        <w:t>名词解释</w:t>
      </w:r>
    </w:p>
    <w:p>
      <w:pPr>
        <w:widowControl/>
        <w:jc w:val="left"/>
        <w:rPr>
          <w:rFonts w:ascii="Times New Roman" w:hAnsi="Times New Roman" w:eastAsia="方正小标宋_GBK" w:cs="Times New Roman"/>
          <w:color w:val="000000"/>
          <w:kern w:val="0"/>
          <w:sz w:val="70"/>
          <w:szCs w:val="70"/>
        </w:rPr>
        <w:sectPr>
          <w:pgSz w:w="11906" w:h="16838"/>
          <w:pgMar w:top="1871" w:right="1531" w:bottom="1531" w:left="1588" w:header="851" w:footer="1304" w:gutter="0"/>
          <w:pgNumType w:start="15"/>
          <w:cols w:space="425" w:num="1"/>
          <w:titlePg/>
          <w:docGrid w:type="linesAndChars" w:linePitch="312" w:charSpace="0"/>
        </w:sectPr>
      </w:pPr>
      <w:r>
        <w:rPr>
          <w:rFonts w:ascii="Times New Roman" w:hAnsi="Times New Roman" w:eastAsia="方正小标宋_GBK" w:cs="Times New Roman"/>
          <w:color w:val="000000"/>
          <w:kern w:val="0"/>
          <w:sz w:val="70"/>
          <w:szCs w:val="70"/>
        </w:rPr>
        <w:br w:type="page"/>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公共财政拨款收入：指中央及省级财政当年拨付的资金。</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上级补助收入：指事业单位从主管部门和上级单位取得的非财政补助收入。</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其他收入：指除“财政拨款收入”以外的收入。主要是上级单位拨款、重点项目前期协调工作经费及存款利息收入等。</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基本支出：指为保障机构正常运转、完成日常工作任务而发生的行政单位(含参照公务员法管理的事业单位)履行一般行政管理职能，维持机关日常运转所必须开支的费用，包括用于工资、津贴及奖金等的人员经费和用于办公、水电费等的公用经费。</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项目支出：指在基本支出之外为完成特定行政任务和事业发展目标所发生的支出。</w:t>
      </w:r>
    </w:p>
    <w:p>
      <w:pPr>
        <w:pStyle w:val="9"/>
        <w:spacing w:line="596" w:lineRule="exact"/>
        <w:ind w:firstLine="624" w:firstLineChars="200"/>
        <w:rPr>
          <w:rFonts w:ascii="Times New Roman" w:hAnsi="Times New Roman" w:eastAsia="仿宋_GB2312" w:cs="Times New Roman"/>
          <w:color w:val="000000"/>
          <w:spacing w:val="-4"/>
          <w:sz w:val="32"/>
          <w:szCs w:val="32"/>
        </w:rPr>
      </w:pPr>
      <w:r>
        <w:rPr>
          <w:rFonts w:ascii="Times New Roman" w:hAnsi="Times New Roman" w:eastAsia="仿宋_GB2312" w:cs="Times New Roman"/>
          <w:color w:val="000000"/>
          <w:spacing w:val="-4"/>
          <w:kern w:val="0"/>
          <w:sz w:val="32"/>
          <w:szCs w:val="32"/>
          <w:lang w:bidi="ar"/>
        </w:rPr>
        <w:t>年初结转和结余：指以前年度尚未完成、结转到本年仍按原规定用途继续使用的资金，或项目已完成等产生的结余资金。</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结余分配：指事业单位按照事业单位会计制度的规定从事业收入或经营收入中按规定提取的事业基金和职工福利基金。</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年末结转和结余：指单位按有关规定结转到下年或以后年度继续使用的资金。</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住房保障支出(类)住房改革支出(款)：反映行政事业单位用财政拨款资金和其他资金等安排的住房改革支出。</w:t>
      </w:r>
    </w:p>
    <w:p>
      <w:pPr>
        <w:pStyle w:val="9"/>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kern w:val="0"/>
          <w:sz w:val="32"/>
          <w:szCs w:val="32"/>
          <w:lang w:bidi="ar"/>
        </w:rPr>
        <w:t>住房公积金(项)：反映行政事业单位按人社厅和财政厅相关规定的以基本工资和津贴补贴等构成的工资总额为基数，按规定比例为职工缴纳的住房公积金。</w:t>
      </w:r>
    </w:p>
    <w:p>
      <w:pPr>
        <w:pStyle w:val="9"/>
        <w:spacing w:line="596" w:lineRule="exact"/>
        <w:ind w:firstLine="640" w:firstLineChars="200"/>
        <w:rPr>
          <w:rFonts w:ascii="Times New Roman" w:hAnsi="Times New Roman" w:cs="Times New Roman"/>
          <w:color w:val="000000"/>
        </w:rPr>
      </w:pPr>
      <w:r>
        <w:rPr>
          <w:rFonts w:ascii="Times New Roman" w:hAnsi="Times New Roman" w:eastAsia="仿宋_GB2312" w:cs="Times New Roman"/>
          <w:color w:val="000000"/>
          <w:kern w:val="0"/>
          <w:sz w:val="32"/>
          <w:szCs w:val="32"/>
          <w:lang w:bidi="ar"/>
        </w:rPr>
        <w:t>“三公”经费：纳入财政预决算管理的“三公”经费，是指用财政拨款安排的因公出国(境)费、公务用车购置及运行费和公务接待费。其中，因公出国(境)费反映单位因公务出国(境)的国际旅费、国外城市间交通费、住宿费、伙食费、培训费、公杂费等支出；公务用车购置及运行费反映单位因公务用车车辆购置支出(含车辆购置税)及租用费、燃料费、维修费、过路过桥</w:t>
      </w:r>
      <w:r>
        <w:rPr>
          <w:rFonts w:ascii="Times New Roman" w:hAnsi="Times New Roman" w:eastAsia="仿宋_GB2312" w:cs="Times New Roman"/>
          <w:color w:val="000000"/>
          <w:spacing w:val="-4"/>
          <w:kern w:val="0"/>
          <w:sz w:val="32"/>
          <w:szCs w:val="32"/>
          <w:lang w:bidi="ar"/>
        </w:rPr>
        <w:t xml:space="preserve">费、保险费、安全奖励费用等支出；公务接待费反映单位按中央和省委省政府相关规定开支的各类公务接待(含外宾接待)支出。 </w:t>
      </w:r>
    </w:p>
    <w:p>
      <w:pPr>
        <w:pStyle w:val="14"/>
        <w:jc w:val="center"/>
        <w:rPr>
          <w:rFonts w:ascii="Times New Roman" w:hAnsi="Times New Roman" w:cs="Times New Roman"/>
          <w:sz w:val="72"/>
          <w:szCs w:val="72"/>
        </w:rPr>
        <w:sectPr>
          <w:pgSz w:w="11906" w:h="16838"/>
          <w:pgMar w:top="1871" w:right="1531" w:bottom="1531" w:left="1588" w:header="851" w:footer="1304" w:gutter="0"/>
          <w:pgNumType w:start="21"/>
          <w:cols w:space="425" w:num="1"/>
          <w:docGrid w:type="linesAndChars" w:linePitch="312" w:charSpace="0"/>
        </w:sectPr>
      </w:pPr>
    </w:p>
    <w:p>
      <w:pPr>
        <w:pStyle w:val="14"/>
        <w:spacing w:line="600" w:lineRule="exact"/>
        <w:jc w:val="center"/>
        <w:rPr>
          <w:rFonts w:ascii="Times New Roman" w:hAnsi="Times New Roman" w:eastAsia="方正小标宋_GBK" w:cs="Times New Roman"/>
          <w:sz w:val="72"/>
          <w:szCs w:val="72"/>
        </w:rPr>
      </w:pPr>
    </w:p>
    <w:p>
      <w:pPr>
        <w:pStyle w:val="14"/>
        <w:spacing w:line="600" w:lineRule="exact"/>
        <w:jc w:val="center"/>
        <w:rPr>
          <w:rFonts w:ascii="Times New Roman" w:hAnsi="Times New Roman" w:eastAsia="方正小标宋_GBK" w:cs="Times New Roman"/>
          <w:sz w:val="72"/>
          <w:szCs w:val="72"/>
        </w:rPr>
      </w:pPr>
    </w:p>
    <w:p>
      <w:pPr>
        <w:pStyle w:val="14"/>
        <w:spacing w:line="600" w:lineRule="exact"/>
        <w:jc w:val="center"/>
        <w:rPr>
          <w:rFonts w:ascii="Times New Roman" w:hAnsi="Times New Roman" w:eastAsia="方正小标宋_GBK" w:cs="Times New Roman"/>
          <w:sz w:val="72"/>
          <w:szCs w:val="72"/>
        </w:rPr>
      </w:pPr>
    </w:p>
    <w:p>
      <w:pPr>
        <w:pStyle w:val="14"/>
        <w:spacing w:line="600" w:lineRule="exact"/>
        <w:jc w:val="center"/>
        <w:rPr>
          <w:rFonts w:ascii="Times New Roman" w:hAnsi="Times New Roman" w:eastAsia="方正小标宋_GBK" w:cs="Times New Roman"/>
          <w:sz w:val="72"/>
          <w:szCs w:val="72"/>
        </w:rPr>
      </w:pPr>
    </w:p>
    <w:p>
      <w:pPr>
        <w:pStyle w:val="14"/>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第五部分</w:t>
      </w:r>
    </w:p>
    <w:p>
      <w:pPr>
        <w:pStyle w:val="14"/>
        <w:jc w:val="center"/>
        <w:rPr>
          <w:rFonts w:ascii="Times New Roman" w:hAnsi="Times New Roman" w:eastAsia="方正小标宋_GBK" w:cs="Times New Roman"/>
          <w:sz w:val="52"/>
          <w:szCs w:val="52"/>
        </w:rPr>
      </w:pPr>
    </w:p>
    <w:p>
      <w:pPr>
        <w:pStyle w:val="14"/>
        <w:jc w:val="center"/>
        <w:rPr>
          <w:rFonts w:ascii="Times New Roman" w:hAnsi="Times New Roman" w:cs="Times New Roman"/>
          <w:sz w:val="52"/>
          <w:szCs w:val="52"/>
        </w:rPr>
      </w:pPr>
      <w:r>
        <w:rPr>
          <w:rFonts w:ascii="Times New Roman" w:hAnsi="Times New Roman" w:eastAsia="方正小标宋_GBK" w:cs="Times New Roman"/>
          <w:sz w:val="52"/>
          <w:szCs w:val="52"/>
        </w:rPr>
        <w:t>附 件</w:t>
      </w:r>
    </w:p>
    <w:p>
      <w:pPr>
        <w:rPr>
          <w:rFonts w:ascii="Times New Roman" w:hAnsi="Times New Roman" w:cs="Times New Roman"/>
          <w:sz w:val="72"/>
          <w:szCs w:val="72"/>
        </w:rPr>
        <w:sectPr>
          <w:pgSz w:w="11906" w:h="16838"/>
          <w:pgMar w:top="1871" w:right="1531" w:bottom="1531" w:left="1588" w:header="851" w:footer="1304" w:gutter="0"/>
          <w:pgNumType w:start="21"/>
          <w:cols w:space="425" w:num="1"/>
          <w:titlePg/>
          <w:docGrid w:type="linesAndChars" w:linePitch="312" w:charSpace="0"/>
        </w:sectPr>
      </w:pPr>
      <w:r>
        <w:rPr>
          <w:rFonts w:ascii="Times New Roman" w:hAnsi="Times New Roman" w:cs="Times New Roman"/>
          <w:sz w:val="72"/>
          <w:szCs w:val="72"/>
        </w:rPr>
        <w:br w:type="page"/>
      </w:r>
    </w:p>
    <w:p>
      <w:pPr>
        <w:spacing w:line="596" w:lineRule="exact"/>
        <w:jc w:val="center"/>
        <w:rPr>
          <w:rFonts w:ascii="Times New Roman" w:hAnsi="Times New Roman" w:eastAsia="方正小标宋_GBK" w:cs="Times New Roman"/>
          <w:sz w:val="52"/>
          <w:szCs w:val="52"/>
        </w:rPr>
      </w:pPr>
    </w:p>
    <w:p>
      <w:pPr>
        <w:spacing w:line="596" w:lineRule="exact"/>
        <w:jc w:val="center"/>
        <w:rPr>
          <w:rFonts w:ascii="Times New Roman" w:hAnsi="Times New Roman" w:eastAsia="方正小标宋_GBK" w:cs="Times New Roman"/>
          <w:sz w:val="42"/>
          <w:szCs w:val="42"/>
        </w:rPr>
      </w:pPr>
      <w:r>
        <w:rPr>
          <w:rFonts w:ascii="Times New Roman" w:hAnsi="Times New Roman" w:eastAsia="方正小标宋_GBK" w:cs="Times New Roman"/>
          <w:sz w:val="42"/>
          <w:szCs w:val="42"/>
        </w:rPr>
        <w:t>2023年度湖南省价格监测分析中心</w:t>
      </w:r>
    </w:p>
    <w:p>
      <w:pPr>
        <w:spacing w:line="596" w:lineRule="exact"/>
        <w:jc w:val="center"/>
        <w:rPr>
          <w:rFonts w:ascii="Times New Roman" w:hAnsi="Times New Roman" w:eastAsia="方正小标宋_GBK" w:cs="Times New Roman"/>
          <w:sz w:val="42"/>
          <w:szCs w:val="42"/>
        </w:rPr>
      </w:pPr>
      <w:r>
        <w:rPr>
          <w:rFonts w:ascii="Times New Roman" w:hAnsi="Times New Roman" w:eastAsia="方正小标宋_GBK" w:cs="Times New Roman"/>
          <w:sz w:val="42"/>
          <w:szCs w:val="42"/>
        </w:rPr>
        <w:t>整体支出绩效自评报告</w:t>
      </w:r>
    </w:p>
    <w:p>
      <w:pPr>
        <w:spacing w:line="596" w:lineRule="exact"/>
        <w:ind w:firstLine="640" w:firstLineChars="200"/>
        <w:rPr>
          <w:rFonts w:ascii="Times New Roman" w:hAnsi="Times New Roman" w:eastAsia="黑体" w:cs="Times New Roman"/>
          <w:sz w:val="32"/>
          <w:szCs w:val="32"/>
        </w:rPr>
      </w:pPr>
    </w:p>
    <w:p>
      <w:pPr>
        <w:overflowPunct w:val="0"/>
        <w:spacing w:line="596"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一、单位基本情况</w:t>
      </w:r>
    </w:p>
    <w:p>
      <w:pPr>
        <w:overflowPunct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（一）单位基本情况</w:t>
      </w:r>
    </w:p>
    <w:p>
      <w:pPr>
        <w:overflowPunct w:val="0"/>
        <w:spacing w:line="596" w:lineRule="exact"/>
        <w:ind w:firstLine="640" w:firstLineChars="200"/>
        <w:rPr>
          <w:rFonts w:ascii="Times New Roman" w:hAnsi="Times New Roman" w:eastAsia="楷体_GB2312" w:cs="Times New Roman"/>
        </w:rPr>
      </w:pPr>
      <w:r>
        <w:rPr>
          <w:rFonts w:ascii="Times New Roman" w:hAnsi="Times New Roman" w:eastAsia="仿宋_GB2312" w:cs="Times New Roman"/>
          <w:sz w:val="32"/>
          <w:szCs w:val="32"/>
        </w:rPr>
        <w:t>中心依据湘编办函（2010）43号文件设立于2010年8月，现有全额拨款事业编制14名，其中，主任1名（正处级）、副主任2名（副处级）。设有科室7个，分别为办公室、综合科、监测一科、监测二科、监测三科、市场调查科、网络信息科。</w:t>
      </w:r>
    </w:p>
    <w:p>
      <w:pPr>
        <w:overflowPunct w:val="0"/>
        <w:spacing w:line="596" w:lineRule="exact"/>
        <w:ind w:firstLine="640" w:firstLineChars="200"/>
        <w:rPr>
          <w:rFonts w:ascii="Times New Roman" w:hAnsi="Times New Roman" w:eastAsia="仿宋_GB2312" w:cs="Times New Roman"/>
          <w:sz w:val="32"/>
          <w:szCs w:val="32"/>
          <w:lang w:bidi="ar"/>
        </w:rPr>
      </w:pPr>
      <w:r>
        <w:rPr>
          <w:rFonts w:ascii="Times New Roman" w:hAnsi="Times New Roman" w:eastAsia="仿宋_GB2312" w:cs="Times New Roman"/>
          <w:sz w:val="32"/>
          <w:szCs w:val="32"/>
        </w:rPr>
        <w:t>中心工作职能是：</w:t>
      </w:r>
      <w:r>
        <w:rPr>
          <w:rFonts w:ascii="Times New Roman" w:hAnsi="Times New Roman" w:eastAsia="仿宋_GB2312" w:cs="Times New Roman"/>
          <w:sz w:val="32"/>
          <w:szCs w:val="32"/>
          <w:lang w:bidi="ar"/>
        </w:rPr>
        <w:t>组织实施全省价格监测工作，负责全省价格监测网络体系建设，协调指导市州价格监测业务；落实执行国家价格监测报告制度；负责监测关系国计民生的重要商品和服务价格变动，分析预测重要商品和服务价格走势，调查反馈国家重要经济政策在价格领域的反映，开展专项价格问题调查，实施价格预测、预警，及时提出政策建议；发布价格监测信息，适时引导市场预期；为社会提供相关信息服务；承担省发展改革委交办的其他相关价格工作。</w:t>
      </w:r>
    </w:p>
    <w:p>
      <w:pPr>
        <w:overflowPunct w:val="0"/>
        <w:spacing w:line="596" w:lineRule="exact"/>
        <w:ind w:firstLine="643" w:firstLineChars="200"/>
        <w:rPr>
          <w:rFonts w:ascii="Times New Roman" w:hAnsi="Times New Roman" w:eastAsia="楷体_GB2312" w:cs="Times New Roman"/>
          <w:b/>
          <w:color w:val="000000"/>
          <w:sz w:val="32"/>
          <w:szCs w:val="32"/>
        </w:rPr>
      </w:pPr>
      <w:r>
        <w:rPr>
          <w:rFonts w:ascii="Times New Roman" w:hAnsi="Times New Roman" w:eastAsia="楷体_GB2312" w:cs="Times New Roman"/>
          <w:b/>
          <w:sz w:val="32"/>
          <w:szCs w:val="32"/>
          <w:lang w:bidi="ar"/>
        </w:rPr>
        <w:t>（二）</w:t>
      </w:r>
      <w:r>
        <w:rPr>
          <w:rFonts w:ascii="Times New Roman" w:hAnsi="Times New Roman" w:eastAsia="楷体_GB2312" w:cs="Times New Roman"/>
          <w:b/>
          <w:color w:val="000000" w:themeColor="text1"/>
          <w:sz w:val="32"/>
          <w:szCs w:val="32"/>
          <w14:textFill>
            <w14:solidFill>
              <w14:schemeClr w14:val="tx1"/>
            </w14:solidFill>
          </w14:textFill>
        </w:rPr>
        <w:t>单位年度整体支出绩效目标目标完成情况</w:t>
      </w:r>
    </w:p>
    <w:p>
      <w:pPr>
        <w:overflowPunct w:val="0"/>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1、服务保障做好疫情防控。继续关注新冠疫情影响下的重要民生商品价格和复工复产后新动态，加强市场价格巡视和监测预警，及时掌握突发性市场价格波动情况，做好应急价格监测和稳价安民工作。</w:t>
      </w:r>
    </w:p>
    <w:p>
      <w:pPr>
        <w:overflowPunct w:val="0"/>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完善价格监测报告制度。认真梳理价格监测制度，剔除与时代脱节的监测品种。积极探索与行业协会及相邻省份的沟通合作，多渠道获取和验证监测数据。优化价格监测信息采集选点布网，通过全面设点与典型设点相结合，保障价格监测数据的真实性、准确性和及时性。</w:t>
      </w:r>
    </w:p>
    <w:p>
      <w:pPr>
        <w:overflowPunct w:val="0"/>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强化价格监测预警。增强在重大突发事件、自然灾害及供求关系严重失衡等关键时期的敏感性，密切关注市场价格动态，根据不同警情采取相应措施，必要时启动应急价格监测工作预案，开展应急价格监测，及时报告市场价格动态，为政府决策提供参考。</w:t>
      </w:r>
    </w:p>
    <w:p>
      <w:pPr>
        <w:overflowPunct w:val="0"/>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4、加强价格分析研判。着眼宏观经济及价格形势，跟踪分析重要商品和服务市场价格变化，加强对生产、储备和流通各环节分析研究。</w:t>
      </w:r>
    </w:p>
    <w:p>
      <w:pPr>
        <w:overflowPunct w:val="0"/>
        <w:spacing w:line="596"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5、开展重点价格问题调查研究。准确把握国内外经济形势变化和市场价格热点问题，适时开展专项市场价格调查，及时反馈市场价格情况，服务政府决策。围绕民生商品开展日常价格巡视调查，准确反映市场价格动态。密切关注主流媒体价格</w:t>
      </w:r>
      <w:r>
        <w:rPr>
          <w:rFonts w:ascii="Times New Roman" w:hAnsi="Times New Roman" w:eastAsia="宋体" w:cs="Times New Roman"/>
          <w:color w:val="000000"/>
          <w:sz w:val="32"/>
          <w:szCs w:val="32"/>
        </w:rPr>
        <w:t>與</w:t>
      </w:r>
      <w:r>
        <w:rPr>
          <w:rFonts w:ascii="Times New Roman" w:hAnsi="Times New Roman" w:eastAsia="仿宋_GB2312" w:cs="Times New Roman"/>
          <w:color w:val="000000"/>
          <w:sz w:val="32"/>
          <w:szCs w:val="32"/>
        </w:rPr>
        <w:t>情，必要时开展价格舆情调查，正确引导社会预期。根据线上交易持续增多情况，积极探索建立线上线下联合监测预警机制，及时反映线上线下价格动态。</w:t>
      </w:r>
    </w:p>
    <w:p>
      <w:pPr>
        <w:overflowPunct w:val="0"/>
        <w:spacing w:line="596" w:lineRule="exact"/>
        <w:ind w:firstLine="640" w:firstLineChars="200"/>
        <w:rPr>
          <w:rFonts w:ascii="Times New Roman" w:hAnsi="Times New Roman" w:cs="Times New Roman"/>
        </w:rPr>
      </w:pPr>
      <w:r>
        <w:rPr>
          <w:rFonts w:ascii="Times New Roman" w:hAnsi="Times New Roman" w:eastAsia="仿宋_GB2312" w:cs="Times New Roman"/>
          <w:color w:val="000000"/>
          <w:sz w:val="32"/>
          <w:szCs w:val="32"/>
        </w:rPr>
        <w:t>6、加强价格监测机构队伍建设。进一步加大协调力度，妥善处理机构改革与工作之间的关系，防止出现工作脱节，队伍断层。完善价格信息采集补助资金管理制度，落实价格监测经费保障。</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二、一般公共预算支出情况</w:t>
      </w:r>
    </w:p>
    <w:p>
      <w:pPr>
        <w:pStyle w:val="15"/>
        <w:overflowPunct w:val="0"/>
        <w:spacing w:line="596" w:lineRule="exact"/>
        <w:ind w:firstLine="643"/>
        <w:rPr>
          <w:rFonts w:ascii="Times New Roman" w:hAnsi="Times New Roman" w:eastAsia="楷体_GB2312" w:cs="Times New Roman"/>
          <w:b/>
          <w:sz w:val="32"/>
          <w:szCs w:val="32"/>
        </w:rPr>
      </w:pPr>
      <w:r>
        <w:rPr>
          <w:rFonts w:ascii="Times New Roman" w:hAnsi="Times New Roman" w:eastAsia="楷体_GB2312" w:cs="Times New Roman"/>
          <w:b/>
          <w:sz w:val="32"/>
          <w:szCs w:val="32"/>
        </w:rPr>
        <w:t>（一）基本支出情况</w:t>
      </w:r>
    </w:p>
    <w:p>
      <w:pPr>
        <w:pStyle w:val="14"/>
        <w:overflowPunct w:val="0"/>
        <w:spacing w:line="596"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2023年一般公共预算基本支出361.12万元，主要是为保障单位机构正常运转、完成日常工作任务而发生的各项支出，包括工资福利支出321.24万元，日常公用经费31.86万元，对个人和家庭的补助8.02万元。</w:t>
      </w:r>
    </w:p>
    <w:p>
      <w:pPr>
        <w:pStyle w:val="14"/>
        <w:overflowPunct w:val="0"/>
        <w:spacing w:line="596" w:lineRule="exact"/>
        <w:ind w:firstLine="643" w:firstLineChars="200"/>
        <w:jc w:val="both"/>
        <w:rPr>
          <w:rFonts w:ascii="Times New Roman" w:hAnsi="Times New Roman" w:eastAsia="仿宋_GB2312" w:cs="Times New Roman"/>
          <w:b/>
          <w:sz w:val="32"/>
          <w:szCs w:val="32"/>
        </w:rPr>
      </w:pPr>
      <w:r>
        <w:rPr>
          <w:rFonts w:ascii="Times New Roman" w:hAnsi="Times New Roman" w:eastAsia="仿宋_GB2312" w:cs="Times New Roman"/>
          <w:b/>
          <w:kern w:val="2"/>
          <w:sz w:val="32"/>
          <w:szCs w:val="32"/>
        </w:rPr>
        <w:t>（二）</w:t>
      </w:r>
      <w:r>
        <w:rPr>
          <w:rFonts w:ascii="Times New Roman" w:hAnsi="Times New Roman" w:eastAsia="仿宋_GB2312" w:cs="Times New Roman"/>
          <w:b/>
          <w:sz w:val="32"/>
          <w:szCs w:val="32"/>
        </w:rPr>
        <w:t>项目支出情况</w:t>
      </w:r>
    </w:p>
    <w:p>
      <w:pPr>
        <w:pStyle w:val="14"/>
        <w:overflowPunct w:val="0"/>
        <w:spacing w:line="596"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2023年一般公共预算支出项目支出13.18万元。</w:t>
      </w:r>
    </w:p>
    <w:p>
      <w:pPr>
        <w:pStyle w:val="14"/>
        <w:overflowPunct w:val="0"/>
        <w:spacing w:line="596" w:lineRule="exact"/>
        <w:ind w:firstLine="640" w:firstLineChars="200"/>
        <w:jc w:val="both"/>
        <w:rPr>
          <w:rFonts w:ascii="Times New Roman" w:hAnsi="Times New Roman" w:cs="Times New Roman"/>
          <w:sz w:val="32"/>
          <w:szCs w:val="32"/>
        </w:rPr>
      </w:pPr>
      <w:r>
        <w:rPr>
          <w:rFonts w:ascii="Times New Roman" w:hAnsi="Times New Roman" w:eastAsia="仿宋_GB2312" w:cs="Times New Roman"/>
          <w:kern w:val="2"/>
          <w:sz w:val="32"/>
          <w:szCs w:val="32"/>
        </w:rPr>
        <w:t>三、</w:t>
      </w:r>
      <w:r>
        <w:rPr>
          <w:rFonts w:ascii="Times New Roman" w:hAnsi="Times New Roman" w:cs="Times New Roman"/>
          <w:sz w:val="32"/>
          <w:szCs w:val="32"/>
        </w:rPr>
        <w:t>政府性基金预算支出情况</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无</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四、国有资本经营预算支出情况</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无</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五、社会保险基金预算支出情况</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无</w:t>
      </w:r>
    </w:p>
    <w:p>
      <w:pPr>
        <w:overflowPunct w:val="0"/>
        <w:spacing w:line="596" w:lineRule="exact"/>
        <w:ind w:firstLine="640" w:firstLineChars="200"/>
        <w:outlineLvl w:val="0"/>
        <w:rPr>
          <w:rFonts w:ascii="Times New Roman" w:hAnsi="Times New Roman" w:eastAsia="黑体" w:cs="Times New Roman"/>
          <w:sz w:val="32"/>
          <w:szCs w:val="32"/>
        </w:rPr>
      </w:pPr>
      <w:r>
        <w:rPr>
          <w:rFonts w:ascii="Times New Roman" w:hAnsi="Times New Roman" w:eastAsia="黑体" w:cs="Times New Roman"/>
          <w:sz w:val="32"/>
          <w:szCs w:val="32"/>
        </w:rPr>
        <w:t>六、部门整体支出绩效情况</w:t>
      </w:r>
    </w:p>
    <w:p>
      <w:pPr>
        <w:overflowPunct w:val="0"/>
        <w:spacing w:line="596" w:lineRule="exact"/>
        <w:ind w:firstLine="420" w:firstLineChars="200"/>
        <w:outlineLvl w:val="0"/>
        <w:rPr>
          <w:rFonts w:ascii="Times New Roman" w:hAnsi="Times New Roman" w:cs="Times New Roman"/>
        </w:rPr>
      </w:pPr>
      <w:r>
        <w:rPr>
          <w:rFonts w:ascii="Times New Roman" w:hAnsi="Times New Roman" w:cs="Times New Roman"/>
        </w:rPr>
        <w:t xml:space="preserve"> </w:t>
      </w:r>
      <w:r>
        <w:rPr>
          <w:rFonts w:ascii="Times New Roman" w:hAnsi="Times New Roman" w:eastAsia="仿宋_GB2312" w:cs="Times New Roman"/>
          <w:sz w:val="32"/>
          <w:szCs w:val="32"/>
        </w:rPr>
        <w:t>2023年，我省认真贯彻落实国家、省有关工作部署，不断强化服务宏观调控职能，紧盯价格形势变化，坚持常规监测与应急监测相结合、预测预警与分析研究相结合，较好地完成了各项价格监测任务，为我省保供稳价工作发挥了重要作用。</w:t>
      </w:r>
    </w:p>
    <w:p>
      <w:pPr>
        <w:overflowPunct w:val="0"/>
        <w:spacing w:line="596" w:lineRule="exact"/>
        <w:ind w:firstLine="643" w:firstLineChars="200"/>
        <w:rPr>
          <w:rFonts w:ascii="Times New Roman" w:hAnsi="Times New Roman" w:eastAsia="仿宋_GB2312" w:cs="Times New Roman"/>
          <w:sz w:val="32"/>
          <w:szCs w:val="32"/>
        </w:rPr>
      </w:pPr>
      <w:r>
        <w:rPr>
          <w:rFonts w:ascii="Times New Roman" w:hAnsi="Times New Roman" w:eastAsia="楷体" w:cs="Times New Roman"/>
          <w:b/>
          <w:bCs/>
          <w:sz w:val="32"/>
          <w:szCs w:val="32"/>
        </w:rPr>
        <w:t>1、扎实开展专项活动。</w:t>
      </w:r>
      <w:r>
        <w:rPr>
          <w:rFonts w:ascii="Times New Roman" w:hAnsi="Times New Roman" w:eastAsia="仿宋_GB2312" w:cs="Times New Roman"/>
          <w:b/>
          <w:sz w:val="32"/>
          <w:szCs w:val="32"/>
        </w:rPr>
        <w:t>一是扎实开展调查研究工作。</w:t>
      </w:r>
      <w:r>
        <w:rPr>
          <w:rFonts w:ascii="Times New Roman" w:hAnsi="Times New Roman" w:eastAsia="仿宋_GB2312" w:cs="Times New Roman"/>
          <w:sz w:val="32"/>
          <w:szCs w:val="32"/>
        </w:rPr>
        <w:t>为进一步提升价格监测工作水平，服务经济社会高质量发展。根据省发展和改革委大兴调查研究工作部署和“深入开展学习贯彻习近平新时代中国特色社会主义思想”主题教育活动，按照“以问题为导向”的要求，积极与国家价格监测中心对接、与其他省份沟通交流，学习先进经验做法，深入全省一线实地调查，准确掌握第一手材料。通过全面了解和掌握全省价格监测工作情况，分析研究当前全省价格监测存在问题和发展瓶颈，组织撰写了《创新价格监测工作方式方法的思路和建议》调研报告，就全省价格监测系统建设和新时期如何创新性开展价格监测工作提出了初步构想和建议。</w:t>
      </w:r>
      <w:r>
        <w:rPr>
          <w:rFonts w:ascii="Times New Roman" w:hAnsi="Times New Roman" w:eastAsia="仿宋_GB2312" w:cs="Times New Roman"/>
          <w:b/>
          <w:sz w:val="32"/>
          <w:szCs w:val="32"/>
        </w:rPr>
        <w:t>二是认真开展“三送三解三优”活动。</w:t>
      </w:r>
      <w:r>
        <w:rPr>
          <w:rFonts w:ascii="Times New Roman" w:hAnsi="Times New Roman" w:eastAsia="仿宋_GB2312" w:cs="Times New Roman"/>
          <w:sz w:val="32"/>
          <w:szCs w:val="32"/>
        </w:rPr>
        <w:t>根据委党组工作安排和部署，中心组织人员到监测网点单位进行走访调研，了解监测相关工作开展情况，帮助解决存在困难问题。协调解决原粮食中心批发市场因机构改革无法承担粮油价格周报监测任务的问题，进一步完善了价格监测的网点布局。</w:t>
      </w:r>
    </w:p>
    <w:p>
      <w:pPr>
        <w:overflowPunct w:val="0"/>
        <w:spacing w:line="596" w:lineRule="exact"/>
        <w:ind w:firstLine="643" w:firstLineChars="200"/>
        <w:rPr>
          <w:rFonts w:ascii="Times New Roman" w:hAnsi="Times New Roman" w:eastAsia="仿宋_GB2312" w:cs="Times New Roman"/>
          <w:sz w:val="32"/>
          <w:szCs w:val="32"/>
          <w:lang w:val="en"/>
        </w:rPr>
      </w:pPr>
      <w:r>
        <w:rPr>
          <w:rFonts w:ascii="Times New Roman" w:hAnsi="Times New Roman" w:eastAsia="楷体" w:cs="Times New Roman"/>
          <w:b/>
          <w:bCs/>
          <w:sz w:val="32"/>
          <w:szCs w:val="32"/>
        </w:rPr>
        <w:t>2、着力做好稻谷价格监测。</w:t>
      </w:r>
      <w:r>
        <w:rPr>
          <w:rFonts w:ascii="Times New Roman" w:hAnsi="Times New Roman" w:eastAsia="仿宋_GB2312" w:cs="Times New Roman"/>
          <w:sz w:val="32"/>
          <w:szCs w:val="32"/>
        </w:rPr>
        <w:t>将做好稻谷监测作为扛牢保障粮食安全的政治责任，进一步健全稻谷收购价格监测体系。</w:t>
      </w:r>
      <w:r>
        <w:rPr>
          <w:rFonts w:ascii="Times New Roman" w:hAnsi="Times New Roman" w:eastAsia="仿宋_GB2312" w:cs="Times New Roman"/>
          <w:kern w:val="0"/>
          <w:sz w:val="32"/>
          <w:szCs w:val="32"/>
          <w:shd w:val="clear" w:color="auto" w:fill="FFFFFF"/>
        </w:rPr>
        <w:t>印发了《关于做好2023年稻谷收购期价格监测工作的通知》（湘发改监测〔2023〕12号），</w:t>
      </w:r>
      <w:r>
        <w:rPr>
          <w:rFonts w:ascii="Times New Roman" w:hAnsi="Times New Roman" w:eastAsia="仿宋_GB2312" w:cs="Times New Roman"/>
          <w:sz w:val="32"/>
          <w:szCs w:val="32"/>
        </w:rPr>
        <w:t>严格执行稻谷收购期日监测制度和非收购期周监测制度，已完成今年早稻收购监测，日均到库价格约135元</w:t>
      </w:r>
      <w:r>
        <w:rPr>
          <w:rFonts w:ascii="Times New Roman" w:hAnsi="Times New Roman" w:eastAsia="仿宋_GB2312" w:cs="Times New Roman"/>
          <w:sz w:val="32"/>
          <w:szCs w:val="32"/>
          <w:lang w:val="en"/>
        </w:rPr>
        <w:t>/百斤；正在执行中晚稻收购监测，当前日均到库价格约</w:t>
      </w:r>
      <w:r>
        <w:rPr>
          <w:rFonts w:ascii="Times New Roman" w:hAnsi="Times New Roman" w:eastAsia="仿宋_GB2312" w:cs="Times New Roman"/>
          <w:sz w:val="32"/>
          <w:szCs w:val="32"/>
        </w:rPr>
        <w:t>139元</w:t>
      </w:r>
      <w:r>
        <w:rPr>
          <w:rFonts w:ascii="Times New Roman" w:hAnsi="Times New Roman" w:eastAsia="仿宋_GB2312" w:cs="Times New Roman"/>
          <w:sz w:val="32"/>
          <w:szCs w:val="32"/>
          <w:lang w:val="en"/>
        </w:rPr>
        <w:t>/百斤，今年收购价格均远高于最低收购价。</w:t>
      </w:r>
    </w:p>
    <w:p>
      <w:pPr>
        <w:overflowPunct w:val="0"/>
        <w:spacing w:line="596" w:lineRule="exact"/>
        <w:ind w:firstLine="640" w:firstLineChars="200"/>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sz w:val="32"/>
          <w:szCs w:val="32"/>
          <w:lang w:val="en"/>
        </w:rPr>
        <w:t>3、</w:t>
      </w:r>
      <w:r>
        <w:rPr>
          <w:rFonts w:ascii="Times New Roman" w:hAnsi="Times New Roman" w:eastAsia="楷体" w:cs="Times New Roman"/>
          <w:b/>
          <w:bCs/>
          <w:sz w:val="32"/>
          <w:szCs w:val="32"/>
        </w:rPr>
        <w:t>加强监测分析预警。</w:t>
      </w:r>
      <w:r>
        <w:rPr>
          <w:rFonts w:ascii="Times New Roman" w:hAnsi="Times New Roman" w:eastAsia="仿宋_GB2312" w:cs="Times New Roman"/>
          <w:kern w:val="0"/>
          <w:sz w:val="32"/>
          <w:szCs w:val="32"/>
          <w:shd w:val="clear" w:color="auto" w:fill="FFFFFF"/>
        </w:rPr>
        <w:t>每周对30种重要民生商品价格，每月对40种重要生活及生产资料价格、100种居民主要消费品价格情况进行汇总分析，全年编制上报《价格监测情况》73期。持续做好44种重要民生商品及防疫医药品价格应急监测。在重要节假日等重要时段和敏感时期，全省监测系统加强值班值守，加大市场价格巡视力度，做好节日价格监测分析报告。特别今年国庆假期期间，在10月5日收到国家中心要求临时加报一期节日价格监测情况的紧急通知后，各地反应迅速，及时、准确的收集上报了当日情况，体现了全省价格监测系统的应急反应能力。今年共收集整理41个市、县价格巡视报告52期；上报工作动态61篇次，其中19篇被国家发改委价格监测中心转载到门户网站。</w:t>
      </w:r>
    </w:p>
    <w:p>
      <w:pPr>
        <w:pStyle w:val="23"/>
        <w:overflowPunct w:val="0"/>
        <w:spacing w:after="0" w:line="596" w:lineRule="exact"/>
        <w:ind w:firstLine="643" w:firstLineChars="200"/>
        <w:rPr>
          <w:rFonts w:ascii="Times New Roman" w:hAnsi="Times New Roman" w:eastAsia="仿宋_GB2312"/>
          <w:sz w:val="32"/>
          <w:szCs w:val="32"/>
        </w:rPr>
      </w:pPr>
      <w:r>
        <w:rPr>
          <w:rFonts w:ascii="Times New Roman" w:hAnsi="Times New Roman" w:eastAsia="楷体"/>
          <w:b/>
          <w:bCs/>
          <w:sz w:val="32"/>
          <w:szCs w:val="32"/>
        </w:rPr>
        <w:t>4、快速反映市场情况。</w:t>
      </w:r>
      <w:r>
        <w:rPr>
          <w:rFonts w:ascii="Times New Roman" w:hAnsi="Times New Roman" w:eastAsia="仿宋_GB2312"/>
          <w:sz w:val="32"/>
          <w:szCs w:val="32"/>
        </w:rPr>
        <w:t>密切跟踪热点、敏感商品价格动态，在重要节日、会议期间组织监测人员深入市场一线开展调查巡视，今年共开展了10次现场价格调查。当市场价格出现异常波动时，迅速启动应急价格监测工作预案。今年如“天价月饼”、日本核污染废水排海引发食盐抢购等时期，各地监测机构及时预警，当地政府和价格主管部门立即采取有力措施，稳定了市场，平抑了价格。今年共15篇市场价格动态反映被国家价格监测中心采用。</w:t>
      </w:r>
    </w:p>
    <w:p>
      <w:pPr>
        <w:overflowPunct w:val="0"/>
        <w:spacing w:line="596" w:lineRule="exact"/>
        <w:ind w:firstLine="643" w:firstLineChars="200"/>
        <w:rPr>
          <w:rFonts w:ascii="Times New Roman" w:hAnsi="Times New Roman" w:eastAsia="仿宋_GB2312" w:cs="Times New Roman"/>
          <w:sz w:val="32"/>
          <w:szCs w:val="32"/>
        </w:rPr>
      </w:pPr>
      <w:r>
        <w:rPr>
          <w:rFonts w:ascii="Times New Roman" w:hAnsi="Times New Roman" w:eastAsia="楷体" w:cs="Times New Roman"/>
          <w:b/>
          <w:bCs/>
          <w:sz w:val="32"/>
          <w:szCs w:val="32"/>
        </w:rPr>
        <w:t>5、抓好重点问题调研。</w:t>
      </w:r>
      <w:r>
        <w:rPr>
          <w:rFonts w:ascii="Times New Roman" w:hAnsi="Times New Roman" w:eastAsia="仿宋_GB2312" w:cs="Times New Roman"/>
          <w:sz w:val="32"/>
          <w:szCs w:val="32"/>
        </w:rPr>
        <w:t>按照月度有综述、季度有研判的要求，关注国际国内宏观经济状况、货币政策环境以及价格改革动向，今年来，撰写月综述和季度、半年度分析材料共22篇。针对全国种子价格涨幅较大、我省生猪价格持续低迷、防止低价收购稻谷和房地产新调控政策出台等情况，开展了种子、生猪、粮食和房地产等专项调查，撰写了《湖南省种子市场情况调查报告》《今年生猪价格持续低位运行需警惕后期猪价超预期上涨》《2023年上半年湖南省猪肉价格监测分析及下半年价格走势研判情况》《湖南省生猪和猪肉市场价格情况分析》《湖南省2023年秋粮生产和市场情况调查报告》《2023年湖南省棉花成本效益分析》《2023年湖南省房地产市场情况调研报告》等多篇调研分析，向国家和省价格主管部门提出了保供稳价的意见建议。配合国家监测中心开展了煤钢、生猪和猪肉市场价格调研。</w:t>
      </w:r>
    </w:p>
    <w:p>
      <w:pPr>
        <w:overflowPunct w:val="0"/>
        <w:spacing w:line="596"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sz w:val="32"/>
          <w:szCs w:val="32"/>
        </w:rPr>
        <w:t>6、做好信息发布，积极引导消费预期。</w:t>
      </w:r>
      <w:r>
        <w:rPr>
          <w:rFonts w:ascii="Times New Roman" w:hAnsi="Times New Roman" w:eastAsia="仿宋_GB2312" w:cs="Times New Roman"/>
          <w:sz w:val="32"/>
          <w:szCs w:val="32"/>
        </w:rPr>
        <w:t>为积极引导消费预期，认真落实省《重要民生商品价格信息发布管理办法（暂行）》，每周在省发展和改革委员会互联网政府门户网站发布30种</w:t>
      </w:r>
      <w:r>
        <w:rPr>
          <w:rFonts w:ascii="Times New Roman" w:hAnsi="Times New Roman" w:eastAsia="仿宋_GB2312" w:cs="Times New Roman"/>
          <w:sz w:val="32"/>
          <w:szCs w:val="32"/>
          <w:lang w:val="en"/>
        </w:rPr>
        <w:t>重要民生商品价格信息，</w:t>
      </w:r>
      <w:r>
        <w:rPr>
          <w:rFonts w:ascii="Times New Roman" w:hAnsi="Times New Roman" w:eastAsia="仿宋_GB2312" w:cs="Times New Roman"/>
          <w:sz w:val="32"/>
          <w:szCs w:val="32"/>
        </w:rPr>
        <w:t>为社会提供了准确、及时的公共价格信息服务。今年共发布价格信息51期。</w:t>
      </w:r>
    </w:p>
    <w:p>
      <w:pPr>
        <w:overflowPunct w:val="0"/>
        <w:spacing w:line="596" w:lineRule="exact"/>
        <w:ind w:firstLine="643" w:firstLineChars="200"/>
        <w:rPr>
          <w:rFonts w:ascii="Times New Roman" w:hAnsi="Times New Roman" w:eastAsia="仿宋_GB2312" w:cs="Times New Roman"/>
          <w:color w:val="000000"/>
          <w:sz w:val="32"/>
          <w:szCs w:val="32"/>
        </w:rPr>
      </w:pPr>
      <w:r>
        <w:rPr>
          <w:rFonts w:ascii="Times New Roman" w:hAnsi="Times New Roman" w:eastAsia="楷体_GB2312" w:cs="Times New Roman"/>
          <w:b/>
          <w:bCs/>
          <w:sz w:val="32"/>
          <w:szCs w:val="32"/>
        </w:rPr>
        <w:t>7、加强价格监测质量考核。</w:t>
      </w:r>
      <w:r>
        <w:rPr>
          <w:rFonts w:ascii="Times New Roman" w:hAnsi="Times New Roman" w:eastAsia="仿宋_GB2312" w:cs="Times New Roman"/>
          <w:sz w:val="32"/>
          <w:szCs w:val="32"/>
        </w:rPr>
        <w:t>根据国家《价格监测质量管理暂行办法》和《价格监测质量监督考核办法》的规定，坚持价格监测质量季度和年度的考核制度，认真组织了价格监测质量考核，季度、年度考核情况都以省发改委文件进行了通报，对全省各级价格监测工作发挥了积极促进作用，价格监测质量有所提高。</w:t>
      </w:r>
    </w:p>
    <w:p>
      <w:pPr>
        <w:pStyle w:val="15"/>
        <w:overflowPunct w:val="0"/>
        <w:spacing w:line="596"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七、存在的问题及原因分析</w:t>
      </w:r>
    </w:p>
    <w:p>
      <w:pPr>
        <w:overflowPunct w:val="0"/>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项目经费执行率偏低。主要原因为：主要是上年度项目经费结转较大。</w:t>
      </w:r>
    </w:p>
    <w:p>
      <w:pPr>
        <w:overflowPunct w:val="0"/>
        <w:spacing w:line="596"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八、下一步改进措施</w:t>
      </w:r>
    </w:p>
    <w:p>
      <w:pPr>
        <w:pStyle w:val="24"/>
        <w:overflowPunct w:val="0"/>
        <w:spacing w:line="596" w:lineRule="exact"/>
        <w:ind w:firstLine="640"/>
        <w:rPr>
          <w:rFonts w:eastAsia="仿宋_GB2312"/>
          <w:sz w:val="32"/>
          <w:szCs w:val="32"/>
        </w:rPr>
      </w:pPr>
      <w:r>
        <w:rPr>
          <w:rFonts w:eastAsia="仿宋_GB2312"/>
          <w:sz w:val="32"/>
          <w:szCs w:val="32"/>
        </w:rPr>
        <w:t>我中心将加强预算编制管理，根据实事求是的原则，科学分析预算项目的必要性、可行性。同时，进一步加强对预算执行过程的监督管理，以确保预算有效执行，提高年度预算执行进度。</w:t>
      </w:r>
    </w:p>
    <w:p>
      <w:pPr>
        <w:pStyle w:val="24"/>
        <w:overflowPunct w:val="0"/>
        <w:spacing w:line="596" w:lineRule="exact"/>
        <w:ind w:firstLine="640"/>
        <w:rPr>
          <w:rFonts w:eastAsia="黑体"/>
          <w:sz w:val="32"/>
          <w:szCs w:val="32"/>
        </w:rPr>
      </w:pPr>
      <w:r>
        <w:rPr>
          <w:rFonts w:eastAsia="黑体"/>
          <w:sz w:val="32"/>
          <w:szCs w:val="32"/>
        </w:rPr>
        <w:t>九、部门整体支出绩效自评结果拟应用和公开情况</w:t>
      </w:r>
    </w:p>
    <w:p>
      <w:pPr>
        <w:overflowPunct w:val="0"/>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加强绩效评价结果应用。一是全面公开绩效自评报告，</w:t>
      </w:r>
      <w:r>
        <w:rPr>
          <w:rFonts w:ascii="Times New Roman" w:hAnsi="Times New Roman" w:eastAsia="仿宋_GB2312" w:cs="Times New Roman"/>
          <w:sz w:val="32"/>
          <w:szCs w:val="32"/>
        </w:rPr>
        <w:t>中心整体支出绩效评价结果由主管单位统一在发改委官网进行公开</w:t>
      </w:r>
      <w:r>
        <w:rPr>
          <w:rFonts w:ascii="Times New Roman" w:hAnsi="Times New Roman" w:eastAsia="仿宋_GB2312" w:cs="Times New Roman"/>
          <w:sz w:val="32"/>
          <w:szCs w:val="32"/>
          <w:lang w:bidi="ar"/>
        </w:rPr>
        <w:t>，接受社会监督；二是及时反馈整改，就绩效自评中发现的问题进行整改。</w:t>
      </w:r>
    </w:p>
    <w:sectPr>
      <w:pgSz w:w="11906" w:h="16838"/>
      <w:pgMar w:top="1871" w:right="1531" w:bottom="1531" w:left="1588" w:header="851" w:footer="1304" w:gutter="0"/>
      <w:pgNumType w:start="2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ascii="Times New Roman" w:hAnsi="Times New Roman" w:cs="Times New Roman"/>
        <w:sz w:val="28"/>
        <w:szCs w:val="28"/>
      </w:rPr>
    </w:pPr>
    <w:r>
      <w:rPr>
        <w:rFonts w:ascii="Times New Roman" w:hAnsi="Times New Roman" w:cs="Times New Roman"/>
        <w:sz w:val="28"/>
        <w:szCs w:val="28"/>
      </w:rPr>
      <w:t xml:space="preserve">— </w:t>
    </w:r>
    <w:sdt>
      <w:sdtPr>
        <w:rPr>
          <w:rFonts w:ascii="Times New Roman" w:hAnsi="Times New Roman" w:cs="Times New Roman"/>
          <w:sz w:val="28"/>
          <w:szCs w:val="28"/>
        </w:rPr>
        <w:id w:val="1794715133"/>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r>
      <w:rPr>
        <w:rFonts w:hint="eastAsia"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Times New Roman" w:hAnsi="Times New Roman" w:cs="Times New Roman"/>
        <w:sz w:val="28"/>
        <w:szCs w:val="28"/>
      </w:rPr>
      <w:t xml:space="preserve">— </w:t>
    </w:r>
    <w:sdt>
      <w:sdtPr>
        <w:rPr>
          <w:rFonts w:ascii="Times New Roman" w:hAnsi="Times New Roman" w:cs="Times New Roman"/>
          <w:sz w:val="28"/>
          <w:szCs w:val="28"/>
        </w:rPr>
        <w:id w:val="-77295449"/>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ascii="Times New Roman" w:hAnsi="Times New Roman" w:cs="Times New Roman"/>
        <w:sz w:val="28"/>
        <w:szCs w:val="28"/>
      </w:rPr>
    </w:pPr>
    <w:r>
      <w:rPr>
        <w:rFonts w:hint="eastAsia" w:ascii="Times New Roman" w:hAnsi="Times New Roman" w:cs="Times New Roman"/>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8"/>
        <w:szCs w:val="28"/>
      </w:rPr>
    </w:pPr>
    <w:r>
      <w:rPr>
        <w:rFonts w:ascii="Times New Roman" w:hAnsi="Times New Roman" w:cs="Times New Roman"/>
        <w:sz w:val="28"/>
        <w:szCs w:val="28"/>
      </w:rPr>
      <w:t xml:space="preserve">— </w:t>
    </w:r>
    <w:sdt>
      <w:sdtPr>
        <w:rPr>
          <w:rFonts w:ascii="Times New Roman" w:hAnsi="Times New Roman" w:cs="Times New Roman"/>
          <w:sz w:val="28"/>
          <w:szCs w:val="28"/>
        </w:rPr>
        <w:id w:val="-1071350840"/>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13</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Times New Roman" w:hAnsi="Times New Roman" w:cs="Times New Roman"/>
        <w:sz w:val="28"/>
        <w:szCs w:val="28"/>
      </w:rPr>
      <w:t xml:space="preserve">— </w:t>
    </w:r>
    <w:sdt>
      <w:sdtPr>
        <w:rPr>
          <w:rFonts w:ascii="Times New Roman" w:hAnsi="Times New Roman" w:cs="Times New Roman"/>
          <w:sz w:val="28"/>
          <w:szCs w:val="28"/>
        </w:rPr>
        <w:id w:val="1003241955"/>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12</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ascii="Times New Roman" w:hAnsi="Times New Roman" w:cs="Times New Roman"/>
        <w:sz w:val="28"/>
        <w:szCs w:val="28"/>
      </w:rPr>
    </w:pPr>
    <w:r>
      <w:rPr>
        <w:rFonts w:ascii="Times New Roman" w:hAnsi="Times New Roman" w:cs="Times New Roman"/>
        <w:sz w:val="28"/>
        <w:szCs w:val="28"/>
      </w:rPr>
      <w:t xml:space="preserve">— </w:t>
    </w:r>
    <w:sdt>
      <w:sdtPr>
        <w:rPr>
          <w:rFonts w:ascii="Times New Roman" w:hAnsi="Times New Roman" w:cs="Times New Roman"/>
          <w:sz w:val="28"/>
          <w:szCs w:val="28"/>
        </w:rPr>
        <w:id w:val="1557209514"/>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27</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r>
      <w:rPr>
        <w:rFonts w:hint="eastAsia" w:ascii="Times New Roman" w:hAnsi="Times New Roman" w:cs="Times New Roman"/>
        <w:sz w:val="28"/>
        <w:szCs w:val="28"/>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pPr>
    <w:r>
      <w:rPr>
        <w:rFonts w:ascii="Times New Roman" w:hAnsi="Times New Roman" w:cs="Times New Roman"/>
        <w:sz w:val="28"/>
        <w:szCs w:val="28"/>
      </w:rPr>
      <w:t xml:space="preserve">— </w:t>
    </w:r>
    <w:sdt>
      <w:sdtPr>
        <w:rPr>
          <w:rFonts w:ascii="Times New Roman" w:hAnsi="Times New Roman" w:cs="Times New Roman"/>
          <w:sz w:val="28"/>
          <w:szCs w:val="28"/>
        </w:rPr>
        <w:id w:val="-561101127"/>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26</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A9BF3D"/>
    <w:multiLevelType w:val="singleLevel"/>
    <w:tmpl w:val="FDA9BF3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DM4OTJhZGQxOGFhZmM1MWI0NWMwNmRjYThhMm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56572"/>
    <w:rsid w:val="00162D39"/>
    <w:rsid w:val="001678BD"/>
    <w:rsid w:val="00182373"/>
    <w:rsid w:val="001944E3"/>
    <w:rsid w:val="001A67DB"/>
    <w:rsid w:val="001C3C29"/>
    <w:rsid w:val="001D51E5"/>
    <w:rsid w:val="001E080D"/>
    <w:rsid w:val="001E53D0"/>
    <w:rsid w:val="001F0C3B"/>
    <w:rsid w:val="001F5D90"/>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470A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37A27"/>
    <w:rsid w:val="00787B42"/>
    <w:rsid w:val="007C4539"/>
    <w:rsid w:val="007F3657"/>
    <w:rsid w:val="00812ED5"/>
    <w:rsid w:val="008277D9"/>
    <w:rsid w:val="0084478C"/>
    <w:rsid w:val="0086638C"/>
    <w:rsid w:val="008A3E8D"/>
    <w:rsid w:val="009237C4"/>
    <w:rsid w:val="00944C48"/>
    <w:rsid w:val="00950252"/>
    <w:rsid w:val="00967F5D"/>
    <w:rsid w:val="00984454"/>
    <w:rsid w:val="009A0F95"/>
    <w:rsid w:val="009B3ADF"/>
    <w:rsid w:val="009C3B52"/>
    <w:rsid w:val="009E6817"/>
    <w:rsid w:val="009E6E9A"/>
    <w:rsid w:val="00A000E4"/>
    <w:rsid w:val="00A01D2B"/>
    <w:rsid w:val="00A42218"/>
    <w:rsid w:val="00A70249"/>
    <w:rsid w:val="00A70B02"/>
    <w:rsid w:val="00A71D9F"/>
    <w:rsid w:val="00A92E9F"/>
    <w:rsid w:val="00AB18FF"/>
    <w:rsid w:val="00B33BEA"/>
    <w:rsid w:val="00B57C9F"/>
    <w:rsid w:val="00B63390"/>
    <w:rsid w:val="00B63572"/>
    <w:rsid w:val="00B7493A"/>
    <w:rsid w:val="00B75648"/>
    <w:rsid w:val="00B845B3"/>
    <w:rsid w:val="00B85D8B"/>
    <w:rsid w:val="00BB4A40"/>
    <w:rsid w:val="00BD6C3E"/>
    <w:rsid w:val="00BE3674"/>
    <w:rsid w:val="00C10681"/>
    <w:rsid w:val="00C17FB8"/>
    <w:rsid w:val="00C3049A"/>
    <w:rsid w:val="00C31B1E"/>
    <w:rsid w:val="00C77645"/>
    <w:rsid w:val="00CA5AA7"/>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1116"/>
    <w:rsid w:val="00E8683C"/>
    <w:rsid w:val="00EA2B72"/>
    <w:rsid w:val="00EA5F34"/>
    <w:rsid w:val="00F74360"/>
    <w:rsid w:val="00FB462F"/>
    <w:rsid w:val="00FC433C"/>
    <w:rsid w:val="00FD4288"/>
    <w:rsid w:val="00FD5543"/>
    <w:rsid w:val="00FE16FA"/>
    <w:rsid w:val="00FE328A"/>
    <w:rsid w:val="00FE6269"/>
    <w:rsid w:val="00FF5CD6"/>
    <w:rsid w:val="0E940BE3"/>
    <w:rsid w:val="1CE94CF8"/>
    <w:rsid w:val="1D97DEFF"/>
    <w:rsid w:val="1DA427B3"/>
    <w:rsid w:val="1DFF72E5"/>
    <w:rsid w:val="1EFC6F07"/>
    <w:rsid w:val="1F11559C"/>
    <w:rsid w:val="28B34EB0"/>
    <w:rsid w:val="2FDF85B8"/>
    <w:rsid w:val="2FFFEE04"/>
    <w:rsid w:val="34DF85B0"/>
    <w:rsid w:val="3B8F36BC"/>
    <w:rsid w:val="42C4601A"/>
    <w:rsid w:val="491FF225"/>
    <w:rsid w:val="4B27099F"/>
    <w:rsid w:val="4FFD214C"/>
    <w:rsid w:val="5777D4F5"/>
    <w:rsid w:val="59DD8326"/>
    <w:rsid w:val="5DEF592A"/>
    <w:rsid w:val="5DF4376C"/>
    <w:rsid w:val="5FC6BB1E"/>
    <w:rsid w:val="5FF720F1"/>
    <w:rsid w:val="65843182"/>
    <w:rsid w:val="67FF5C0B"/>
    <w:rsid w:val="6EFC0924"/>
    <w:rsid w:val="6FB74722"/>
    <w:rsid w:val="6FEF8B7E"/>
    <w:rsid w:val="71A6591B"/>
    <w:rsid w:val="737D59BA"/>
    <w:rsid w:val="77C37683"/>
    <w:rsid w:val="79FF515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20"/>
    <w:qFormat/>
    <w:uiPriority w:val="0"/>
    <w:pPr>
      <w:widowControl/>
      <w:spacing w:after="120"/>
      <w:jc w:val="left"/>
    </w:pPr>
    <w:rPr>
      <w:rFonts w:hint="eastAsia" w:ascii="宋体" w:hAnsi="宋体" w:eastAsia="宋体" w:cs="Times New Roman"/>
      <w:kern w:val="0"/>
      <w:sz w:val="24"/>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6"/>
    <w:unhideWhenUsed/>
    <w:qFormat/>
    <w:uiPriority w:val="99"/>
    <w:rPr>
      <w:sz w:val="18"/>
      <w:szCs w:val="18"/>
    </w:r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Normal (Web)"/>
    <w:basedOn w:val="1"/>
    <w:unhideWhenUsed/>
    <w:qFormat/>
    <w:uiPriority w:val="99"/>
    <w:rPr>
      <w:sz w:val="24"/>
    </w:rPr>
  </w:style>
  <w:style w:type="character" w:customStyle="1" w:styleId="12">
    <w:name w:val="页眉 Char"/>
    <w:basedOn w:val="10"/>
    <w:link w:val="7"/>
    <w:qFormat/>
    <w:uiPriority w:val="99"/>
    <w:rPr>
      <w:sz w:val="18"/>
      <w:szCs w:val="18"/>
    </w:rPr>
  </w:style>
  <w:style w:type="character" w:customStyle="1" w:styleId="13">
    <w:name w:val="页脚 Char"/>
    <w:basedOn w:val="10"/>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5">
    <w:name w:val="List Paragraph"/>
    <w:basedOn w:val="1"/>
    <w:qFormat/>
    <w:uiPriority w:val="34"/>
    <w:pPr>
      <w:ind w:firstLine="420" w:firstLineChars="200"/>
    </w:pPr>
  </w:style>
  <w:style w:type="character" w:customStyle="1" w:styleId="16">
    <w:name w:val="批注框文本 Char"/>
    <w:basedOn w:val="10"/>
    <w:link w:val="5"/>
    <w:semiHidden/>
    <w:qFormat/>
    <w:uiPriority w:val="99"/>
    <w:rPr>
      <w:sz w:val="18"/>
      <w:szCs w:val="18"/>
    </w:rPr>
  </w:style>
  <w:style w:type="character" w:customStyle="1" w:styleId="17">
    <w:name w:val="font01"/>
    <w:basedOn w:val="10"/>
    <w:qFormat/>
    <w:uiPriority w:val="0"/>
    <w:rPr>
      <w:rFonts w:hint="eastAsia" w:ascii="宋体" w:hAnsi="宋体" w:eastAsia="宋体" w:cs="宋体"/>
      <w:color w:val="000000"/>
      <w:sz w:val="22"/>
      <w:szCs w:val="22"/>
      <w:u w:val="none"/>
    </w:rPr>
  </w:style>
  <w:style w:type="character" w:customStyle="1" w:styleId="18">
    <w:name w:val="font21"/>
    <w:basedOn w:val="10"/>
    <w:qFormat/>
    <w:uiPriority w:val="0"/>
    <w:rPr>
      <w:rFonts w:hint="eastAsia" w:ascii="宋体" w:hAnsi="宋体" w:eastAsia="宋体" w:cs="宋体"/>
      <w:color w:val="000000"/>
      <w:sz w:val="24"/>
      <w:szCs w:val="24"/>
      <w:u w:val="none"/>
    </w:rPr>
  </w:style>
  <w:style w:type="character" w:customStyle="1" w:styleId="19">
    <w:name w:val="font11"/>
    <w:basedOn w:val="10"/>
    <w:qFormat/>
    <w:uiPriority w:val="0"/>
    <w:rPr>
      <w:rFonts w:hint="eastAsia" w:ascii="宋体" w:hAnsi="宋体" w:eastAsia="宋体" w:cs="宋体"/>
      <w:color w:val="000000"/>
      <w:sz w:val="24"/>
      <w:szCs w:val="24"/>
      <w:u w:val="none"/>
    </w:rPr>
  </w:style>
  <w:style w:type="character" w:customStyle="1" w:styleId="20">
    <w:name w:val="正文文本 Char"/>
    <w:basedOn w:val="10"/>
    <w:link w:val="2"/>
    <w:qFormat/>
    <w:uiPriority w:val="0"/>
    <w:rPr>
      <w:kern w:val="2"/>
      <w:sz w:val="21"/>
      <w:szCs w:val="24"/>
    </w:rPr>
  </w:style>
  <w:style w:type="paragraph" w:customStyle="1" w:styleId="21">
    <w:name w:val="首行缩进"/>
    <w:basedOn w:val="1"/>
    <w:qFormat/>
    <w:uiPriority w:val="0"/>
    <w:pPr>
      <w:widowControl/>
      <w:ind w:firstLine="480" w:firstLineChars="200"/>
      <w:jc w:val="left"/>
    </w:pPr>
    <w:rPr>
      <w:rFonts w:hint="eastAsia" w:ascii="宋体" w:hAnsi="宋体" w:eastAsia="宋体" w:cs="Times New Roman"/>
      <w:kern w:val="0"/>
      <w:sz w:val="24"/>
      <w:szCs w:val="24"/>
    </w:rPr>
  </w:style>
  <w:style w:type="character" w:customStyle="1" w:styleId="22">
    <w:name w:val="页脚 Char1"/>
    <w:basedOn w:val="10"/>
    <w:link w:val="6"/>
    <w:qFormat/>
    <w:uiPriority w:val="0"/>
    <w:rPr>
      <w:kern w:val="2"/>
      <w:sz w:val="18"/>
      <w:szCs w:val="18"/>
    </w:rPr>
  </w:style>
  <w:style w:type="paragraph" w:customStyle="1" w:styleId="23">
    <w:name w:val="正文文字"/>
    <w:basedOn w:val="1"/>
    <w:next w:val="1"/>
    <w:qFormat/>
    <w:uiPriority w:val="0"/>
    <w:pPr>
      <w:spacing w:after="120"/>
    </w:pPr>
    <w:rPr>
      <w:rFonts w:ascii="Calibri" w:hAnsi="Calibri" w:eastAsia="宋体" w:cs="Times New Roman"/>
    </w:rPr>
  </w:style>
  <w:style w:type="paragraph" w:customStyle="1" w:styleId="24">
    <w:name w:val="列出段落2"/>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7BD18D-6979-4DBD-B3CA-E82235CC118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2262</Words>
  <Characters>12896</Characters>
  <Lines>107</Lines>
  <Paragraphs>30</Paragraphs>
  <TotalTime>0</TotalTime>
  <ScaleCrop>false</ScaleCrop>
  <LinksUpToDate>false</LinksUpToDate>
  <CharactersWithSpaces>15128</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陈婕</cp:lastModifiedBy>
  <cp:lastPrinted>2024-09-02T01:35:00Z</cp:lastPrinted>
  <dcterms:modified xsi:type="dcterms:W3CDTF">2024-09-05T03:16:45Z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5FCACC406BB5442A8D8A84D582CFB7C4_13</vt:lpwstr>
  </property>
</Properties>
</file>