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DB254"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 w14:paraId="57D9748D">
      <w:pPr>
        <w:widowControl/>
        <w:spacing w:line="600" w:lineRule="exact"/>
        <w:jc w:val="center"/>
        <w:rPr>
          <w:rFonts w:hint="eastAsia" w:ascii="方正仿宋_GB2312" w:hAnsi="方正仿宋_GB2312" w:eastAsia="方正仿宋_GB2312" w:cs="方正仿宋_GB2312"/>
          <w:b/>
          <w:bCs/>
          <w:kern w:val="0"/>
          <w:sz w:val="36"/>
          <w:szCs w:val="36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6"/>
          <w:szCs w:val="36"/>
        </w:rPr>
        <w:t xml:space="preserve"> 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6"/>
          <w:szCs w:val="36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6"/>
          <w:szCs w:val="36"/>
        </w:rPr>
        <w:t>年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6"/>
          <w:szCs w:val="36"/>
          <w:lang w:eastAsia="zh-CN"/>
        </w:rPr>
        <w:t>湖南省妇女儿童活动中心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6"/>
          <w:szCs w:val="36"/>
        </w:rPr>
        <w:t>部门预算</w:t>
      </w:r>
    </w:p>
    <w:p w14:paraId="02F6B8D5"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 w14:paraId="29554B42"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 w14:paraId="7E5A097D">
      <w:pPr>
        <w:widowControl/>
        <w:spacing w:line="600" w:lineRule="exact"/>
        <w:jc w:val="center"/>
        <w:rPr>
          <w:rFonts w:hint="eastAsia" w:ascii="方正仿宋_GB2312" w:hAnsi="方正仿宋_GB2312" w:eastAsia="方正仿宋_GB2312" w:cs="方正仿宋_GB2312"/>
          <w:bCs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kern w:val="0"/>
          <w:sz w:val="32"/>
          <w:szCs w:val="32"/>
        </w:rPr>
        <w:t>目 录</w:t>
      </w:r>
    </w:p>
    <w:p w14:paraId="47B082C4">
      <w:pPr>
        <w:widowControl/>
        <w:spacing w:line="600" w:lineRule="exact"/>
        <w:jc w:val="left"/>
        <w:rPr>
          <w:rFonts w:hint="eastAsia" w:ascii="方正仿宋_GB2312" w:hAnsi="方正仿宋_GB2312" w:eastAsia="方正仿宋_GB2312" w:cs="方正仿宋_GB2312"/>
          <w:bCs/>
          <w:kern w:val="0"/>
          <w:sz w:val="32"/>
          <w:szCs w:val="32"/>
        </w:rPr>
      </w:pPr>
    </w:p>
    <w:p w14:paraId="035B79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eastAsia" w:ascii="方正仿宋_GB2312" w:hAnsi="方正仿宋_GB2312" w:eastAsia="方正仿宋_GB2312" w:cs="方正仿宋_GB2312"/>
          <w:bCs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</w:rPr>
        <w:t>年部门预算说明</w:t>
      </w:r>
    </w:p>
    <w:p w14:paraId="5A154F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</w:rPr>
        <w:t>年部门预算表</w:t>
      </w:r>
    </w:p>
    <w:p w14:paraId="36331D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1、收支总表</w:t>
      </w:r>
    </w:p>
    <w:p w14:paraId="6D4E84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2、收入总表</w:t>
      </w:r>
    </w:p>
    <w:p w14:paraId="50523D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3、支出总表</w:t>
      </w:r>
    </w:p>
    <w:p w14:paraId="48A341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4、支出预算分类汇总表（按政府预算经济分类）</w:t>
      </w:r>
    </w:p>
    <w:p w14:paraId="3B19DE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5、支出预算分类汇总表（按部门预算经济分类）</w:t>
      </w:r>
    </w:p>
    <w:p w14:paraId="18601F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6、财政拨款收支总表</w:t>
      </w:r>
    </w:p>
    <w:p w14:paraId="36FBE3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7、一般公共预算支出表</w:t>
      </w:r>
    </w:p>
    <w:p w14:paraId="01E220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8、一般公共预算基本支出表-人员经费（工资福利支出）（按政府预算经济分类）</w:t>
      </w:r>
    </w:p>
    <w:p w14:paraId="5D933B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9、一般公共预算基本支出表-人员经费（工资福利支出）（按部门预算经济分类）</w:t>
      </w:r>
    </w:p>
    <w:p w14:paraId="07FC97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10、一般公共预算基本支出表-人员经费（对个人和家庭的补助）（按政府预算经济分类）</w:t>
      </w:r>
    </w:p>
    <w:p w14:paraId="61A09E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11、一般公共预算基本支出表-人员经费（对个人和家庭的补助）（按部门预算经济分类）</w:t>
      </w:r>
    </w:p>
    <w:p w14:paraId="19CEF2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12、一般公共预算基本支出表-公用经费（商品和服务支出）（按政府预算经济分类）</w:t>
      </w:r>
    </w:p>
    <w:p w14:paraId="5EC357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13、一般公共预算基本支出表-公用经费（商品和服务支出）（按部门预算经济分类）</w:t>
      </w:r>
    </w:p>
    <w:p w14:paraId="568346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14、一般公共预算“三公”经费支出表</w:t>
      </w:r>
    </w:p>
    <w:p w14:paraId="2ABADD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15、政府性基金预算支出表</w:t>
      </w:r>
    </w:p>
    <w:p w14:paraId="437483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16、政府性基金预算支出分类汇总表（按政府预算经济分类）</w:t>
      </w:r>
    </w:p>
    <w:p w14:paraId="59A924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17、政府性基金预算支出分类汇总表（按部门预算经济分类）</w:t>
      </w:r>
    </w:p>
    <w:p w14:paraId="471C55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18、国有资本经营预算支出表</w:t>
      </w:r>
    </w:p>
    <w:p w14:paraId="57F99A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19、财政专户管理资金预算支出表</w:t>
      </w:r>
    </w:p>
    <w:p w14:paraId="346893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20、省级专项资金预算汇总表</w:t>
      </w:r>
    </w:p>
    <w:p w14:paraId="4C0B18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21、省级专项资金绩效目标表</w:t>
      </w:r>
    </w:p>
    <w:p w14:paraId="10921C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22、其他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资金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绩效目标表</w:t>
      </w:r>
    </w:p>
    <w:p w14:paraId="02B208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23、部门整体支出绩效目标表</w:t>
      </w:r>
    </w:p>
    <w:p w14:paraId="3C372878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F6D0EC4"/>
    <w:p w14:paraId="758D6D01"/>
    <w:p w14:paraId="370C2033"/>
    <w:p w14:paraId="1C77B3DC"/>
    <w:p w14:paraId="599D4CC3"/>
    <w:p w14:paraId="2E515BF5"/>
    <w:p w14:paraId="6AAC3B54"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</w:p>
    <w:p w14:paraId="21009E4C">
      <w:pPr>
        <w:widowControl/>
        <w:spacing w:line="600" w:lineRule="exact"/>
        <w:jc w:val="both"/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</w:pPr>
    </w:p>
    <w:p w14:paraId="4EC5D6E0">
      <w:pPr>
        <w:widowControl/>
        <w:spacing w:line="600" w:lineRule="exact"/>
        <w:ind w:firstLine="1790" w:firstLineChars="500"/>
        <w:jc w:val="both"/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  <w:t xml:space="preserve">第一部分 </w:t>
      </w:r>
      <w:r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  <w:t>年部门预算说明</w:t>
      </w:r>
    </w:p>
    <w:p w14:paraId="3B134B2B">
      <w:pPr>
        <w:widowControl/>
        <w:spacing w:line="600" w:lineRule="exact"/>
        <w:jc w:val="left"/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</w:pPr>
    </w:p>
    <w:p w14:paraId="6E28A5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leftChars="0" w:firstLine="636" w:firstLineChars="200"/>
        <w:textAlignment w:val="auto"/>
        <w:rPr>
          <w:rFonts w:hint="eastAsia" w:ascii="方正仿宋_GB2312" w:hAnsi="方正仿宋_GB2312" w:eastAsia="方正仿宋_GB2312" w:cs="方正仿宋_GB2312"/>
          <w:b/>
          <w:bCs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sz w:val="32"/>
          <w:szCs w:val="32"/>
        </w:rPr>
        <w:t>一、</w:t>
      </w:r>
      <w:r>
        <w:rPr>
          <w:rFonts w:hint="eastAsia" w:ascii="方正仿宋_GB2312" w:hAnsi="方正仿宋_GB2312" w:eastAsia="方正仿宋_GB2312" w:cs="方正仿宋_GB2312"/>
          <w:b/>
          <w:bCs w:val="0"/>
          <w:sz w:val="32"/>
          <w:szCs w:val="32"/>
          <w:lang w:eastAsia="zh-CN"/>
        </w:rPr>
        <w:t>单位</w:t>
      </w:r>
      <w:r>
        <w:rPr>
          <w:rFonts w:hint="eastAsia" w:ascii="方正仿宋_GB2312" w:hAnsi="方正仿宋_GB2312" w:eastAsia="方正仿宋_GB2312" w:cs="方正仿宋_GB2312"/>
          <w:b/>
          <w:bCs w:val="0"/>
          <w:sz w:val="32"/>
          <w:szCs w:val="32"/>
        </w:rPr>
        <w:t>基本概况</w:t>
      </w:r>
    </w:p>
    <w:p w14:paraId="36C872F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left="420" w:right="0" w:firstLine="0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 w:val="0"/>
          <w:w w:val="95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w w:val="95"/>
          <w:sz w:val="32"/>
          <w:szCs w:val="32"/>
        </w:rPr>
        <w:t>（一）职能职责</w:t>
      </w:r>
    </w:p>
    <w:p w14:paraId="06B2233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420" w:right="0" w:firstLine="604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  <w:t>湖南省妇女儿童活动中心(以下简称“活动中心”）系财政全额拨款的公益一类事业单位。成立于1985年3月，位于长沙市开福区东风路19号。“活动中心”以“服务妇女儿童、服务家庭、服务社会”为宗旨，定位为妇联工作的服务窗口和实体，是集交流活动、互动体验、实践研究、宣传展示、培训指导为一体的公益性综合阵地，为妇女儿童及家庭提供共建共治共享的发展空间。“活动中心”将继续以儿童校外教育、妇女实用技能培训、家庭家政服务，多种形式的竞技演赛和文化交流活动为主要内容，为女性、儿童及家庭相关社会组织提供场馆、培育、活动开展等综合服务，形成以教育培训为主干，以活动和服务为两翼，以研发和指导为补充的五大功能，全面促进我省妇女儿童事业的健康发展。</w:t>
      </w:r>
    </w:p>
    <w:p w14:paraId="0FF6CA0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420" w:right="0" w:firstLine="0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 w:val="0"/>
          <w:w w:val="95"/>
          <w:sz w:val="32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w w:val="95"/>
          <w:sz w:val="32"/>
        </w:rPr>
        <w:t>（二）机构设置</w:t>
      </w:r>
    </w:p>
    <w:p w14:paraId="3BCEA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“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活动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中心”是省妇联的直属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全额拨款公益一类事业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单位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,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下设办公室、组织联络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部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、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  <w:t>社会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  <w:lang w:eastAsia="zh-CN"/>
        </w:rPr>
        <w:t>服务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  <w:t>部、少儿培训部、妇女活动部、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  <w:lang w:eastAsia="zh-CN"/>
        </w:rPr>
        <w:t>家庭工作部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  <w:t>等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  <w:t>个部门。有事业编36人，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  <w:lang w:eastAsia="zh-CN"/>
        </w:rPr>
        <w:t>实有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  <w:t>在职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  <w:lang w:eastAsia="zh-CN"/>
        </w:rPr>
        <w:t>人员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</w:rPr>
        <w:t>人</w:t>
      </w:r>
      <w:r>
        <w:rPr>
          <w:rFonts w:hint="eastAsia" w:ascii="方正仿宋_GB2312" w:hAnsi="方正仿宋_GB2312" w:eastAsia="方正仿宋_GB2312" w:cs="方正仿宋_GB2312"/>
          <w:b w:val="0"/>
          <w:bCs/>
          <w:w w:val="95"/>
          <w:sz w:val="32"/>
          <w:szCs w:val="32"/>
          <w:lang w:eastAsia="zh-CN"/>
        </w:rPr>
        <w:t>（其中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工勤人员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，聘用人员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人，退休人员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21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人。</w:t>
      </w:r>
    </w:p>
    <w:p w14:paraId="72B23E0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right="268" w:rightChars="0" w:firstLine="636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lang w:val="en-US" w:eastAsia="zh-CN"/>
        </w:rPr>
        <w:t>二、单位预算单位构成</w:t>
      </w:r>
    </w:p>
    <w:p w14:paraId="22CDA5F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36" w:firstLineChars="200"/>
        <w:textAlignment w:val="auto"/>
        <w:rPr>
          <w:rFonts w:hint="eastAsia" w:ascii="方正仿宋_GB2312" w:hAnsi="方正仿宋_GB2312" w:eastAsia="方正仿宋_GB2312" w:cs="方正仿宋_GB231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lang w:val="en-US" w:eastAsia="zh-CN"/>
        </w:rPr>
        <w:t>“活动中心”只有本级，没有其他预算单位，因此本单位预算仅含本级预算。</w:t>
      </w:r>
    </w:p>
    <w:p w14:paraId="2C4E417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36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</w:rPr>
      </w:pPr>
      <w:r>
        <w:rPr>
          <w:rFonts w:hint="eastAsia" w:ascii="方正仿宋_GB2312" w:hAnsi="方正仿宋_GB2312" w:eastAsia="方正仿宋_GB2312" w:cs="方正仿宋_GB2312"/>
          <w:b/>
          <w:bCs/>
          <w:lang w:eastAsia="zh-CN"/>
        </w:rPr>
        <w:t>三</w:t>
      </w:r>
      <w:r>
        <w:rPr>
          <w:rFonts w:hint="eastAsia" w:ascii="方正仿宋_GB2312" w:hAnsi="方正仿宋_GB2312" w:eastAsia="方正仿宋_GB2312" w:cs="方正仿宋_GB2312"/>
          <w:b/>
          <w:bCs/>
        </w:rPr>
        <w:t>、单位收支总体情况</w:t>
      </w:r>
    </w:p>
    <w:p w14:paraId="643823B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04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w w:val="95"/>
        </w:rPr>
        <w:t>（一）收入预算：</w:t>
      </w:r>
      <w:r>
        <w:rPr>
          <w:rFonts w:hint="eastAsia" w:ascii="方正仿宋_GB2312" w:hAnsi="方正仿宋_GB2312" w:eastAsia="方正仿宋_GB2312" w:cs="方正仿宋_GB2312"/>
          <w:w w:val="95"/>
        </w:rPr>
        <w:t>包括一般公共预算、政府性基金、国有资本</w:t>
      </w:r>
      <w:r>
        <w:rPr>
          <w:rFonts w:hint="eastAsia" w:ascii="方正仿宋_GB2312" w:hAnsi="方正仿宋_GB2312" w:eastAsia="方正仿宋_GB2312" w:cs="方正仿宋_GB2312"/>
        </w:rPr>
        <w:t>经营预算等财政拨款收入，以及经营收入、事业收入等单位</w:t>
      </w:r>
      <w:r>
        <w:rPr>
          <w:rFonts w:hint="eastAsia" w:ascii="方正仿宋_GB2312" w:hAnsi="方正仿宋_GB2312" w:eastAsia="方正仿宋_GB2312" w:cs="方正仿宋_GB2312"/>
          <w:lang w:eastAsia="zh-CN"/>
        </w:rPr>
        <w:t>资金。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2025年</w:t>
      </w:r>
      <w:r>
        <w:rPr>
          <w:rFonts w:hint="eastAsia" w:ascii="方正仿宋_GB2312" w:hAnsi="方正仿宋_GB2312" w:eastAsia="方正仿宋_GB2312" w:cs="方正仿宋_GB2312"/>
          <w:lang w:eastAsia="zh-CN"/>
        </w:rPr>
        <w:t>本</w:t>
      </w:r>
      <w:r>
        <w:rPr>
          <w:rFonts w:hint="eastAsia" w:ascii="方正仿宋_GB2312" w:hAnsi="方正仿宋_GB2312" w:eastAsia="方正仿宋_GB2312" w:cs="方正仿宋_GB2312"/>
        </w:rPr>
        <w:t>单位收入年初预算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840.98</w:t>
      </w:r>
      <w:r>
        <w:rPr>
          <w:rFonts w:hint="eastAsia" w:ascii="方正仿宋_GB2312" w:hAnsi="方正仿宋_GB2312" w:eastAsia="方正仿宋_GB2312" w:cs="方正仿宋_GB2312"/>
        </w:rPr>
        <w:t>万元，其中，一般</w:t>
      </w:r>
      <w:r>
        <w:rPr>
          <w:rFonts w:hint="eastAsia" w:ascii="方正仿宋_GB2312" w:hAnsi="方正仿宋_GB2312" w:eastAsia="方正仿宋_GB2312" w:cs="方正仿宋_GB2312"/>
          <w:spacing w:val="-16"/>
        </w:rPr>
        <w:t>公</w:t>
      </w:r>
      <w:r>
        <w:rPr>
          <w:rFonts w:hint="eastAsia" w:ascii="方正仿宋_GB2312" w:hAnsi="方正仿宋_GB2312" w:eastAsia="方正仿宋_GB2312" w:cs="方正仿宋_GB2312"/>
        </w:rPr>
        <w:t>共预算拨款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781.87</w:t>
      </w:r>
      <w:r>
        <w:rPr>
          <w:rFonts w:hint="eastAsia" w:ascii="方正仿宋_GB2312" w:hAnsi="方正仿宋_GB2312" w:eastAsia="方正仿宋_GB2312" w:cs="方正仿宋_GB2312"/>
        </w:rPr>
        <w:t>万元，政府性基金预算拨款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</w:rPr>
        <w:t>万元，</w:t>
      </w:r>
      <w:r>
        <w:rPr>
          <w:rFonts w:hint="eastAsia" w:ascii="方正仿宋_GB2312" w:hAnsi="方正仿宋_GB2312" w:eastAsia="方正仿宋_GB2312" w:cs="方正仿宋_GB2312"/>
          <w:spacing w:val="-17"/>
        </w:rPr>
        <w:t>国</w:t>
      </w:r>
      <w:r>
        <w:rPr>
          <w:rFonts w:hint="eastAsia" w:ascii="方正仿宋_GB2312" w:hAnsi="方正仿宋_GB2312" w:eastAsia="方正仿宋_GB2312" w:cs="方正仿宋_GB2312"/>
        </w:rPr>
        <w:t>有资本经营预算拨款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</w:rPr>
        <w:t>万元，纳入</w:t>
      </w:r>
      <w:r>
        <w:rPr>
          <w:rFonts w:hint="eastAsia" w:ascii="方正仿宋_GB2312" w:hAnsi="方正仿宋_GB2312" w:eastAsia="方正仿宋_GB2312" w:cs="方正仿宋_GB2312"/>
          <w:lang w:eastAsia="zh-CN"/>
        </w:rPr>
        <w:t>专户</w:t>
      </w:r>
      <w:r>
        <w:rPr>
          <w:rFonts w:hint="eastAsia" w:ascii="方正仿宋_GB2312" w:hAnsi="方正仿宋_GB2312" w:eastAsia="方正仿宋_GB2312" w:cs="方正仿宋_GB2312"/>
        </w:rPr>
        <w:t>管理的非税收</w:t>
      </w:r>
      <w:r>
        <w:rPr>
          <w:rFonts w:hint="eastAsia" w:ascii="方正仿宋_GB2312" w:hAnsi="方正仿宋_GB2312" w:eastAsia="方正仿宋_GB2312" w:cs="方正仿宋_GB2312"/>
          <w:lang w:eastAsia="zh-CN"/>
        </w:rPr>
        <w:t>入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spacing w:val="-19"/>
        </w:rPr>
        <w:t>万</w:t>
      </w:r>
      <w:r>
        <w:rPr>
          <w:rFonts w:hint="eastAsia" w:ascii="方正仿宋_GB2312" w:hAnsi="方正仿宋_GB2312" w:eastAsia="方正仿宋_GB2312" w:cs="方正仿宋_GB2312"/>
        </w:rPr>
        <w:t>元，</w:t>
      </w:r>
      <w:r>
        <w:rPr>
          <w:rFonts w:hint="eastAsia" w:ascii="方正仿宋_GB2312" w:hAnsi="方正仿宋_GB2312" w:eastAsia="方正仿宋_GB2312" w:cs="方正仿宋_GB2312"/>
          <w:lang w:eastAsia="zh-CN"/>
        </w:rPr>
        <w:t>其他收入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0万元，</w:t>
      </w:r>
      <w:r>
        <w:rPr>
          <w:rFonts w:hint="eastAsia" w:ascii="方正仿宋_GB2312" w:hAnsi="方正仿宋_GB2312" w:eastAsia="方正仿宋_GB2312" w:cs="方正仿宋_GB2312"/>
        </w:rPr>
        <w:t>上年结余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59.11</w:t>
      </w:r>
      <w:r>
        <w:rPr>
          <w:rFonts w:hint="eastAsia" w:ascii="方正仿宋_GB2312" w:hAnsi="方正仿宋_GB2312" w:eastAsia="方正仿宋_GB2312" w:cs="方正仿宋_GB2312"/>
        </w:rPr>
        <w:t>万元</w:t>
      </w:r>
      <w:r>
        <w:rPr>
          <w:rFonts w:hint="eastAsia" w:ascii="方正仿宋_GB2312" w:hAnsi="方正仿宋_GB2312" w:eastAsia="方正仿宋_GB2312" w:cs="方正仿宋_GB2312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b w:val="0"/>
          <w:bCs/>
        </w:rPr>
        <w:t>收入较去年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减少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167.77</w:t>
      </w:r>
      <w:r>
        <w:rPr>
          <w:rFonts w:hint="eastAsia" w:ascii="方正仿宋_GB2312" w:hAnsi="方正仿宋_GB2312" w:eastAsia="方正仿宋_GB2312" w:cs="方正仿宋_GB2312"/>
          <w:b w:val="0"/>
          <w:bCs/>
        </w:rPr>
        <w:t>万元，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其原因：在汇缴国有资产有偿使用非税收入与上年不变的情况下，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2024年的结余比上年减少93.38万元，一般公共预算拨款也较上年减少74.39万元。</w:t>
      </w:r>
    </w:p>
    <w:p w14:paraId="12C9E2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36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lang w:val="en-US" w:eastAsia="zh-CN"/>
        </w:rPr>
        <w:t>（二）支出预算：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年本单位支出预算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840.98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万元，其中，一般公共服务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695.51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万元，公共安全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万元，教育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2.35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万元，科学技术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万元，社会保障和就业支出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109.64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万元，卫生健康支出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33.48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万元。支出较去年减少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167.77</w:t>
      </w:r>
      <w:r>
        <w:rPr>
          <w:rFonts w:hint="eastAsia" w:ascii="方正仿宋_GB2312" w:hAnsi="方正仿宋_GB2312" w:eastAsia="方正仿宋_GB2312" w:cs="方正仿宋_GB2312"/>
          <w:b w:val="0"/>
          <w:bCs/>
          <w:lang w:eastAsia="zh-CN"/>
        </w:rPr>
        <w:t>万元，其原因：在汇缴国有资产有偿使用非税收入与上年不变的情况下，</w:t>
      </w:r>
      <w:r>
        <w:rPr>
          <w:rFonts w:hint="eastAsia" w:ascii="方正仿宋_GB2312" w:hAnsi="方正仿宋_GB2312" w:eastAsia="方正仿宋_GB2312" w:cs="方正仿宋_GB2312"/>
          <w:b w:val="0"/>
          <w:bCs/>
          <w:lang w:val="en-US" w:eastAsia="zh-CN"/>
        </w:rPr>
        <w:t>2024年的结余比上年减少93.38万元，一般公共预算拨款也较上年减少74.39万元。</w:t>
      </w:r>
    </w:p>
    <w:p w14:paraId="4AA0524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318" w:firstLineChars="100"/>
        <w:textAlignment w:val="auto"/>
        <w:rPr>
          <w:rFonts w:hint="eastAsia" w:ascii="方正仿宋_GB2312" w:hAnsi="方正仿宋_GB2312" w:eastAsia="方正仿宋_GB2312" w:cs="方正仿宋_GB2312"/>
          <w:b/>
          <w:bCs/>
        </w:rPr>
      </w:pPr>
      <w:r>
        <w:rPr>
          <w:rFonts w:hint="eastAsia" w:ascii="方正仿宋_GB2312" w:hAnsi="方正仿宋_GB2312" w:eastAsia="方正仿宋_GB2312" w:cs="方正仿宋_GB2312"/>
          <w:b/>
          <w:bCs/>
          <w:lang w:eastAsia="zh-CN"/>
        </w:rPr>
        <w:t>四</w:t>
      </w:r>
      <w:r>
        <w:rPr>
          <w:rFonts w:hint="eastAsia" w:ascii="方正仿宋_GB2312" w:hAnsi="方正仿宋_GB2312" w:eastAsia="方正仿宋_GB2312" w:cs="方正仿宋_GB2312"/>
          <w:b/>
          <w:bCs/>
        </w:rPr>
        <w:t>、一般公共预算拨款支出</w:t>
      </w:r>
    </w:p>
    <w:p w14:paraId="25F086A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3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年本单位一般公共预算拨款支出预算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 xml:space="preserve"> 840.98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万元，其中，一般公共服务支出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695.51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万元，占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82.7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%；公共安全支出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万元，占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 xml:space="preserve"> 0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%；社会保障和就业支出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109.64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万元，占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13.04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%，卫生健康支出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 xml:space="preserve"> 33.48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万元，占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%。具体安排情况如下：</w:t>
      </w:r>
    </w:p>
    <w:p w14:paraId="5C98600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3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sz w:val="32"/>
          <w:szCs w:val="32"/>
          <w:lang w:eastAsia="zh-CN"/>
        </w:rPr>
        <w:t>（一）基本支出：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年本单位基本支出预算数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637.49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万元，主要是为保障单位机构正常运转、完成日常工作任务而发生的各项支出，包括用于基本工资、绩效工资、津贴补贴等人员经费以及办公费、差旅费、福利费、三公经费、办公设备购置等公用经费。</w:t>
      </w:r>
    </w:p>
    <w:p w14:paraId="6D31556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36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sz w:val="32"/>
          <w:szCs w:val="32"/>
          <w:lang w:eastAsia="zh-CN"/>
        </w:rPr>
        <w:t>（二）项目支出：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202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年本单位项目支出预算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203.49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万元，主要是单位为完成特定行政工作任务以及事业发展目标而发生支出，包括妇女儿童事业发展专项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62万元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（其中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少儿公益培训支出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11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万元，主要用于少儿公益培训授课费。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未成年人思想道德建设项目支出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21万元，主要开展未成年人的公益培训及活动。3.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妇女儿童社会组织服务项目支出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 xml:space="preserve"> 5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万元，主要用于建设社会组织服务阵地，引进优秀女性社会组织入驻。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4.开展文化群众文化项目支出5万元，主要通过开展群众文化艺术课堂为女性提供一个赋能机会和平台，提升女性文艺素养和生活品味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。5.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eastAsia="zh-CN"/>
        </w:rPr>
        <w:t>维权阵地建设项目支出</w:t>
      </w: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  <w:lang w:val="en-US" w:eastAsia="zh-CN"/>
        </w:rPr>
        <w:t>20万元，主要用于建立省级12338维权服务中心，为妇女儿童提供综合维权服务）。其他事业发展资金支出项目82.38万元，（含阵地维护项目支出82.38万元，主要是维护“中心阵地”临聘人员工资，电费，电话费，维修费等费用）。上年结余业务工作经费58.78万元用于建设家庭教育指导服务中心三期工程。此外，上年正常项目结余0.33万元。</w:t>
      </w:r>
    </w:p>
    <w:p w14:paraId="65CC9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五、政府性基金预算支出</w:t>
      </w:r>
    </w:p>
    <w:p w14:paraId="56FC1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年本部门政府性基金支出预算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万元，其中，科学技术支出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万元，占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%；文化旅游体育与传媒支出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万元，占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%。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本单位无政府性基金安排的支出。</w:t>
      </w:r>
    </w:p>
    <w:p w14:paraId="0E1FC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六、其他重要事项的情况说明</w:t>
      </w:r>
    </w:p>
    <w:p w14:paraId="61307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32"/>
          <w:szCs w:val="32"/>
        </w:rPr>
        <w:t>（一）运行经费：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本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单位的运行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公用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经费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40.94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，与上年基本持平。</w:t>
      </w:r>
    </w:p>
    <w:p w14:paraId="643A8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32"/>
          <w:szCs w:val="32"/>
        </w:rPr>
        <w:t>（二）“三公”经费预算：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年本单位“三公”经费预算数为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3.5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万元，其中，公务接待费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0.5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万元，公务用车购置及运行费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万元（其中，公务用车购置费 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万元，公务用车运行费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万元），因公出国（境）费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万元。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年“三公”经费预算较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年持平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 w14:paraId="473F9E30">
      <w:pPr>
        <w:keepNext w:val="0"/>
        <w:keepLines w:val="0"/>
        <w:pageBreakBefore w:val="0"/>
        <w:widowControl w:val="0"/>
        <w:tabs>
          <w:tab w:val="left" w:pos="84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32"/>
          <w:szCs w:val="32"/>
        </w:rPr>
        <w:t>（三）一般性支出情况：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年本部门会议费预算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  <w:t>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元，拟召开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会议，人数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人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培训费预算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2.35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万元，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拟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在湖南省事业单位工作人员培训管理平台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开</w:t>
      </w:r>
      <w:r>
        <w:rPr>
          <w:rFonts w:hint="eastAsia" w:ascii="方正仿宋_GB2312" w:hAnsi="方正仿宋_GB2312" w:eastAsia="方正仿宋_GB2312" w:cs="方正仿宋_GB2312"/>
          <w:spacing w:val="-15"/>
          <w:sz w:val="32"/>
          <w:szCs w:val="32"/>
        </w:rPr>
        <w:t>展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培训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学习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每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人90个学时，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数26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。具体内容为：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公共知识学习30个学时，专业知识学习60个学时。</w:t>
      </w:r>
    </w:p>
    <w:p w14:paraId="55B75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年本部门政府采购预算总额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万元，其中，货物类采购预算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万元；工程类采购预算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万元；服务类采购预算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 w14:paraId="2464E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年12月底，本部门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共有公务用车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单位价值100万元以上设备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（不含车辆）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年拟新增配置公务用车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辆，执法执勤用车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辆；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新增配备单位价值100万元以上设备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lang w:eastAsia="zh-CN"/>
        </w:rPr>
        <w:t>（不含车辆）</w:t>
      </w:r>
      <w:r>
        <w:rPr>
          <w:rFonts w:hint="eastAsia" w:ascii="方正仿宋_GB2312" w:hAnsi="方正仿宋_GB2312" w:eastAsia="方正仿宋_GB2312" w:cs="方正仿宋_GB2312"/>
          <w:bCs/>
          <w:kern w:val="0"/>
          <w:sz w:val="32"/>
          <w:szCs w:val="32"/>
          <w:highlight w:val="none"/>
          <w:lang w:val="en-US" w:eastAsia="zh-CN"/>
        </w:rPr>
        <w:t>。</w:t>
      </w:r>
    </w:p>
    <w:p w14:paraId="774C2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本部门所有支出实行绩效目标管理。纳入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年部门整体支出绩效目标的金额为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840.98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637.49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203.49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 w14:paraId="10B742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七、名词解释</w:t>
      </w:r>
    </w:p>
    <w:p w14:paraId="67723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、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79EE6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14:paraId="7A9FD4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0"/>
          <w:sz w:val="32"/>
          <w:szCs w:val="32"/>
        </w:rPr>
      </w:pPr>
    </w:p>
    <w:p w14:paraId="5C2FE7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790" w:firstLineChars="500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  <w:lang w:eastAsia="zh-CN"/>
        </w:rPr>
      </w:pPr>
    </w:p>
    <w:p w14:paraId="4B3BBCC2">
      <w:pPr>
        <w:widowControl/>
        <w:spacing w:line="600" w:lineRule="exact"/>
        <w:ind w:firstLine="1790" w:firstLineChars="500"/>
        <w:jc w:val="left"/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  <w:lang w:eastAsia="zh-CN"/>
        </w:rPr>
      </w:pPr>
    </w:p>
    <w:p w14:paraId="4DF0CE2B">
      <w:pPr>
        <w:widowControl/>
        <w:spacing w:line="600" w:lineRule="exact"/>
        <w:ind w:firstLine="1432" w:firstLineChars="400"/>
        <w:jc w:val="left"/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</w:pPr>
      <w:r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  <w:lang w:eastAsia="zh-CN"/>
        </w:rPr>
        <w:t>第二部分</w:t>
      </w:r>
      <w:r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  <w:t>202</w:t>
      </w:r>
      <w:r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  <w:t>年部门预算表</w:t>
      </w:r>
    </w:p>
    <w:p w14:paraId="4A613086">
      <w:pPr>
        <w:widowControl/>
        <w:spacing w:line="600" w:lineRule="exact"/>
        <w:jc w:val="left"/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</w:pPr>
    </w:p>
    <w:p w14:paraId="5C07670E">
      <w:pPr>
        <w:widowControl/>
        <w:spacing w:line="600" w:lineRule="exact"/>
        <w:ind w:firstLine="1790" w:firstLineChars="500"/>
        <w:jc w:val="left"/>
        <w:rPr>
          <w:rFonts w:hint="eastAsia" w:ascii="方正仿宋_GB2312" w:hAnsi="方正仿宋_GB2312" w:eastAsia="方正仿宋_GB2312" w:cs="方正仿宋_GB2312"/>
          <w:b/>
          <w:bCs w:val="0"/>
          <w:kern w:val="0"/>
          <w:sz w:val="36"/>
          <w:szCs w:val="36"/>
        </w:rPr>
      </w:pPr>
    </w:p>
    <w:p w14:paraId="48604D5D">
      <w:pPr>
        <w:widowControl/>
        <w:spacing w:line="600" w:lineRule="exact"/>
        <w:ind w:firstLine="4296" w:firstLineChars="1200"/>
        <w:jc w:val="left"/>
        <w:rPr>
          <w:rFonts w:hint="eastAsia" w:ascii="方正仿宋_GB2312" w:hAnsi="方正仿宋_GB2312" w:eastAsia="方正仿宋_GB2312" w:cs="方正仿宋_GB2312"/>
          <w:b w:val="0"/>
          <w:bCs/>
          <w:kern w:val="0"/>
          <w:sz w:val="36"/>
          <w:szCs w:val="36"/>
          <w:lang w:eastAsia="zh-CN"/>
        </w:rPr>
      </w:pPr>
    </w:p>
    <w:p w14:paraId="6C9815B8">
      <w:pPr>
        <w:widowControl/>
        <w:spacing w:line="600" w:lineRule="exact"/>
        <w:ind w:firstLine="4296" w:firstLineChars="1200"/>
        <w:jc w:val="left"/>
        <w:rPr>
          <w:rFonts w:hint="eastAsia" w:ascii="方正仿宋_GB2312" w:hAnsi="方正仿宋_GB2312" w:eastAsia="方正仿宋_GB2312" w:cs="方正仿宋_GB2312"/>
          <w:b w:val="0"/>
          <w:bCs/>
          <w:kern w:val="0"/>
          <w:sz w:val="36"/>
          <w:szCs w:val="36"/>
          <w:lang w:eastAsia="zh-CN"/>
        </w:rPr>
      </w:pPr>
    </w:p>
    <w:p w14:paraId="3800B2FD">
      <w:pPr>
        <w:widowControl/>
        <w:spacing w:line="600" w:lineRule="exact"/>
        <w:ind w:firstLine="4296" w:firstLineChars="1200"/>
        <w:jc w:val="left"/>
        <w:rPr>
          <w:rFonts w:hint="eastAsia" w:ascii="方正仿宋_GB2312" w:hAnsi="方正仿宋_GB2312" w:eastAsia="方正仿宋_GB2312" w:cs="方正仿宋_GB2312"/>
          <w:b w:val="0"/>
          <w:bCs/>
          <w:kern w:val="0"/>
          <w:sz w:val="36"/>
          <w:szCs w:val="36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6"/>
          <w:szCs w:val="36"/>
          <w:lang w:eastAsia="zh-CN"/>
        </w:rPr>
        <w:t>湖南省妇女儿童活动中心</w:t>
      </w:r>
    </w:p>
    <w:p w14:paraId="0279B3D8">
      <w:pPr>
        <w:widowControl/>
        <w:spacing w:line="600" w:lineRule="exact"/>
        <w:ind w:firstLine="5012" w:firstLineChars="1400"/>
        <w:jc w:val="left"/>
        <w:rPr>
          <w:rFonts w:hint="default" w:ascii="方正仿宋_GB2312" w:hAnsi="方正仿宋_GB2312" w:eastAsia="方正仿宋_GB2312" w:cs="方正仿宋_GB2312"/>
          <w:b w:val="0"/>
          <w:bCs/>
          <w:kern w:val="0"/>
          <w:sz w:val="36"/>
          <w:szCs w:val="36"/>
          <w:lang w:val="en-US" w:eastAsia="zh-CN"/>
        </w:rPr>
        <w:sectPr>
          <w:footerReference r:id="rId3" w:type="default"/>
          <w:pgSz w:w="11907" w:h="16840"/>
          <w:pgMar w:top="1134" w:right="1797" w:bottom="1304" w:left="1797" w:header="851" w:footer="992" w:gutter="0"/>
          <w:cols w:space="720" w:num="1"/>
          <w:docGrid w:type="linesAndChars" w:linePitch="495" w:charSpace="-594"/>
        </w:sectPr>
      </w:pPr>
      <w:r>
        <w:rPr>
          <w:rFonts w:hint="eastAsia" w:ascii="方正仿宋_GB2312" w:hAnsi="方正仿宋_GB2312" w:eastAsia="方正仿宋_GB2312" w:cs="方正仿宋_GB2312"/>
          <w:b w:val="0"/>
          <w:bCs/>
          <w:kern w:val="0"/>
          <w:sz w:val="36"/>
          <w:szCs w:val="36"/>
          <w:lang w:val="en-US" w:eastAsia="zh-CN"/>
        </w:rPr>
        <w:t>2025年2月20日</w:t>
      </w:r>
    </w:p>
    <w:p w14:paraId="05EE2D9F"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894EFC22-33EC-4F91-8C77-4E2005E77181}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AA4EB631-88E0-46DB-9BBD-2137FFC8302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8CAA5C0-6388-4197-A257-B49392590EF0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7F429A45-5108-4642-8076-71587CFEEDE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5" w:fontKey="{F6521ADB-9424-4B34-BA9C-47802B27F1F9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2ADD04"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05B6879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149BB"/>
    <w:rsid w:val="024B77CB"/>
    <w:rsid w:val="1BD712B5"/>
    <w:rsid w:val="20A420AE"/>
    <w:rsid w:val="26E2748C"/>
    <w:rsid w:val="2B2E2565"/>
    <w:rsid w:val="346A0AC1"/>
    <w:rsid w:val="37834C2E"/>
    <w:rsid w:val="37C149BB"/>
    <w:rsid w:val="3B822B94"/>
    <w:rsid w:val="3F7647BE"/>
    <w:rsid w:val="40267F92"/>
    <w:rsid w:val="42BB5019"/>
    <w:rsid w:val="4A575EC9"/>
    <w:rsid w:val="52A6703C"/>
    <w:rsid w:val="58B2640F"/>
    <w:rsid w:val="5B397D7C"/>
    <w:rsid w:val="648669A1"/>
    <w:rsid w:val="66D4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842"/>
      <w:outlineLvl w:val="2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3053</Words>
  <Characters>3309</Characters>
  <Lines>0</Lines>
  <Paragraphs>0</Paragraphs>
  <TotalTime>39</TotalTime>
  <ScaleCrop>false</ScaleCrop>
  <LinksUpToDate>false</LinksUpToDate>
  <CharactersWithSpaces>3330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2025-02-11T02:55:00Z</dcterms:created>
  <dc:creator>阳阳妈</dc:creator>
  <cp:lastModifiedBy>阳阳妈</cp:lastModifiedBy>
  <cp:lastPrinted>2025-02-14T01:52:59Z</cp:lastPrinted>
  <dcterms:modified xsi:type="dcterms:W3CDTF">2025-02-14T01:55:39Z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2657208A0D374B3DB1AE925073F289C7_11</vt:lpwstr>
  </property>
  <property fmtid="{D5CDD505-2E9C-101B-9397-08002B2CF9AE}" pid="4" name="KSOTemplateDocerSaveRecord">
    <vt:lpwstr>eyJoZGlkIjoiM2U2YWU3ZTg2NjQ2MmQzNGMxMWM2YzcyODg5YWFhYmYiLCJ1c2VySWQiOiI0Mzg5NjQ3MjMifQ==</vt:lpwstr>
  </property>
</Properties>
</file>