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93F09" w14:textId="3DD3F118" w:rsidR="00D920A4" w:rsidRDefault="00D920A4"/>
    <w:p w14:paraId="7C9C9BF4" w14:textId="77777777" w:rsidR="00B83987" w:rsidRPr="00B83987" w:rsidRDefault="00B83987" w:rsidP="00B83987">
      <w:pPr>
        <w:widowControl/>
        <w:spacing w:before="100" w:beforeAutospacing="1" w:after="100" w:afterAutospacing="1"/>
        <w:jc w:val="center"/>
        <w:rPr>
          <w:rFonts w:ascii="宋体" w:eastAsia="宋体" w:hAnsi="宋体" w:cs="宋体"/>
          <w:kern w:val="0"/>
          <w:sz w:val="24"/>
          <w:szCs w:val="24"/>
        </w:rPr>
      </w:pPr>
      <w:bookmarkStart w:id="0" w:name="_GoBack"/>
      <w:bookmarkEnd w:id="0"/>
      <w:r w:rsidRPr="00B83987">
        <w:rPr>
          <w:rFonts w:ascii="仿宋" w:eastAsia="仿宋" w:hAnsi="仿宋" w:cs="宋体" w:hint="eastAsia"/>
          <w:color w:val="333333"/>
          <w:kern w:val="0"/>
          <w:sz w:val="32"/>
          <w:szCs w:val="32"/>
        </w:rPr>
        <w:t>目录</w:t>
      </w:r>
    </w:p>
    <w:p w14:paraId="1F17D79A" w14:textId="77777777" w:rsidR="00B83987" w:rsidRPr="00B83987" w:rsidRDefault="00B83987" w:rsidP="00B83987">
      <w:pPr>
        <w:widowControl/>
        <w:shd w:val="clear" w:color="auto" w:fill="FFFFFF"/>
        <w:spacing w:line="600" w:lineRule="atLeast"/>
        <w:jc w:val="left"/>
        <w:rPr>
          <w:rFonts w:ascii="等线" w:eastAsia="等线" w:hAnsi="等线" w:cs="宋体"/>
          <w:kern w:val="0"/>
          <w:szCs w:val="21"/>
        </w:rPr>
      </w:pPr>
      <w:r w:rsidRPr="00B83987">
        <w:rPr>
          <w:rFonts w:ascii="仿宋" w:eastAsia="仿宋" w:hAnsi="仿宋" w:cs="宋体" w:hint="eastAsia"/>
          <w:color w:val="333333"/>
          <w:kern w:val="0"/>
          <w:sz w:val="28"/>
          <w:szCs w:val="28"/>
        </w:rPr>
        <w:t> </w:t>
      </w:r>
    </w:p>
    <w:p w14:paraId="70B70170" w14:textId="77777777" w:rsidR="00B83987" w:rsidRPr="00B83987" w:rsidRDefault="00B83987" w:rsidP="00B83987">
      <w:pPr>
        <w:widowControl/>
        <w:shd w:val="clear" w:color="auto" w:fill="FFFFFF"/>
        <w:spacing w:line="600" w:lineRule="atLeast"/>
        <w:ind w:firstLine="643"/>
        <w:jc w:val="left"/>
        <w:rPr>
          <w:rFonts w:ascii="等线" w:eastAsia="等线" w:hAnsi="等线" w:cs="宋体"/>
          <w:kern w:val="0"/>
          <w:szCs w:val="21"/>
        </w:rPr>
      </w:pPr>
      <w:r w:rsidRPr="00B83987">
        <w:rPr>
          <w:rFonts w:ascii="仿宋" w:eastAsia="仿宋" w:hAnsi="仿宋" w:cs="宋体" w:hint="eastAsia"/>
          <w:b/>
          <w:bCs/>
          <w:color w:val="333333"/>
          <w:kern w:val="0"/>
          <w:sz w:val="28"/>
          <w:szCs w:val="28"/>
        </w:rPr>
        <w:t>第一部分</w:t>
      </w:r>
      <w:r w:rsidRPr="00B83987">
        <w:rPr>
          <w:rFonts w:ascii="Calibri" w:eastAsia="等线" w:hAnsi="Calibri" w:cs="宋体"/>
          <w:b/>
          <w:bCs/>
          <w:color w:val="333333"/>
          <w:kern w:val="0"/>
          <w:sz w:val="28"/>
          <w:szCs w:val="28"/>
        </w:rPr>
        <w:t> </w:t>
      </w:r>
      <w:r w:rsidRPr="00B83987">
        <w:rPr>
          <w:rFonts w:ascii="仿宋" w:eastAsia="仿宋" w:hAnsi="仿宋" w:cs="宋体" w:hint="eastAsia"/>
          <w:b/>
          <w:bCs/>
          <w:color w:val="333333"/>
          <w:kern w:val="0"/>
          <w:sz w:val="28"/>
          <w:szCs w:val="28"/>
        </w:rPr>
        <w:t>2019年部门预算说明</w:t>
      </w:r>
    </w:p>
    <w:p w14:paraId="37BF255E" w14:textId="77777777" w:rsidR="00B83987" w:rsidRPr="00B83987" w:rsidRDefault="00B83987" w:rsidP="00B83987">
      <w:pPr>
        <w:widowControl/>
        <w:shd w:val="clear" w:color="auto" w:fill="FFFFFF"/>
        <w:spacing w:line="480" w:lineRule="auto"/>
        <w:ind w:firstLine="643"/>
        <w:rPr>
          <w:rFonts w:ascii="等线" w:eastAsia="等线" w:hAnsi="等线" w:cs="宋体"/>
          <w:kern w:val="0"/>
          <w:szCs w:val="21"/>
        </w:rPr>
      </w:pPr>
      <w:r w:rsidRPr="00B83987">
        <w:rPr>
          <w:rFonts w:ascii="仿宋" w:eastAsia="仿宋" w:hAnsi="仿宋" w:cs="宋体" w:hint="eastAsia"/>
          <w:b/>
          <w:bCs/>
          <w:color w:val="333333"/>
          <w:kern w:val="0"/>
          <w:sz w:val="28"/>
          <w:szCs w:val="28"/>
        </w:rPr>
        <w:t>第二部分</w:t>
      </w:r>
      <w:r w:rsidRPr="00B83987">
        <w:rPr>
          <w:rFonts w:ascii="Calibri" w:eastAsia="等线" w:hAnsi="Calibri" w:cs="宋体"/>
          <w:b/>
          <w:bCs/>
          <w:color w:val="333333"/>
          <w:kern w:val="0"/>
          <w:sz w:val="28"/>
          <w:szCs w:val="28"/>
        </w:rPr>
        <w:t> </w:t>
      </w:r>
      <w:r w:rsidRPr="00B83987">
        <w:rPr>
          <w:rFonts w:ascii="仿宋" w:eastAsia="仿宋" w:hAnsi="仿宋" w:cs="宋体" w:hint="eastAsia"/>
          <w:b/>
          <w:bCs/>
          <w:color w:val="333333"/>
          <w:kern w:val="0"/>
          <w:sz w:val="28"/>
          <w:szCs w:val="28"/>
        </w:rPr>
        <w:t>部门预算公开的表格情况</w:t>
      </w:r>
      <w:r w:rsidRPr="00B83987">
        <w:rPr>
          <w:rFonts w:ascii="仿宋" w:eastAsia="仿宋" w:hAnsi="仿宋" w:cs="宋体" w:hint="eastAsia"/>
          <w:b/>
          <w:bCs/>
          <w:color w:val="333333"/>
          <w:kern w:val="0"/>
          <w:sz w:val="28"/>
          <w:szCs w:val="28"/>
        </w:rPr>
        <w:t> </w:t>
      </w:r>
    </w:p>
    <w:p w14:paraId="3B094E68"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1、部门收支总体情况表</w:t>
      </w:r>
      <w:r w:rsidRPr="00B83987">
        <w:rPr>
          <w:rFonts w:ascii="仿宋" w:eastAsia="仿宋" w:hAnsi="仿宋" w:cs="宋体" w:hint="eastAsia"/>
          <w:color w:val="333333"/>
          <w:kern w:val="0"/>
          <w:sz w:val="28"/>
          <w:szCs w:val="28"/>
          <w:shd w:val="clear" w:color="auto" w:fill="FFFFFF"/>
        </w:rPr>
        <w:t> </w:t>
      </w:r>
    </w:p>
    <w:p w14:paraId="6F11BBA7"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2、部门收入总体情况表</w:t>
      </w:r>
      <w:r w:rsidRPr="00B83987">
        <w:rPr>
          <w:rFonts w:ascii="仿宋" w:eastAsia="仿宋" w:hAnsi="仿宋" w:cs="宋体" w:hint="eastAsia"/>
          <w:color w:val="333333"/>
          <w:kern w:val="0"/>
          <w:sz w:val="28"/>
          <w:szCs w:val="28"/>
          <w:shd w:val="clear" w:color="auto" w:fill="FFFFFF"/>
        </w:rPr>
        <w:t> </w:t>
      </w:r>
    </w:p>
    <w:p w14:paraId="1658E7A3"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3、部门支出总体情况表</w:t>
      </w:r>
      <w:r w:rsidRPr="00B83987">
        <w:rPr>
          <w:rFonts w:ascii="仿宋" w:eastAsia="仿宋" w:hAnsi="仿宋" w:cs="宋体" w:hint="eastAsia"/>
          <w:color w:val="333333"/>
          <w:kern w:val="0"/>
          <w:sz w:val="28"/>
          <w:szCs w:val="28"/>
          <w:shd w:val="clear" w:color="auto" w:fill="FFFFFF"/>
        </w:rPr>
        <w:t> </w:t>
      </w:r>
    </w:p>
    <w:p w14:paraId="6BBB1654"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4、部门支出总表（按部门预算经济分类）</w:t>
      </w:r>
      <w:r w:rsidRPr="00B83987">
        <w:rPr>
          <w:rFonts w:ascii="仿宋" w:eastAsia="仿宋" w:hAnsi="仿宋" w:cs="宋体" w:hint="eastAsia"/>
          <w:color w:val="333333"/>
          <w:kern w:val="0"/>
          <w:sz w:val="28"/>
          <w:szCs w:val="28"/>
          <w:shd w:val="clear" w:color="auto" w:fill="FFFFFF"/>
        </w:rPr>
        <w:t> </w:t>
      </w:r>
    </w:p>
    <w:p w14:paraId="0354849D"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5、部门支出总表（按政府预算经济分类）</w:t>
      </w:r>
      <w:r w:rsidRPr="00B83987">
        <w:rPr>
          <w:rFonts w:ascii="仿宋" w:eastAsia="仿宋" w:hAnsi="仿宋" w:cs="宋体" w:hint="eastAsia"/>
          <w:color w:val="333333"/>
          <w:kern w:val="0"/>
          <w:sz w:val="28"/>
          <w:szCs w:val="28"/>
          <w:shd w:val="clear" w:color="auto" w:fill="FFFFFF"/>
        </w:rPr>
        <w:t> </w:t>
      </w:r>
    </w:p>
    <w:p w14:paraId="5C702452"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6、省级基本支出预算明细表-工资福利支出（按部门预算经济分类）</w:t>
      </w:r>
      <w:r w:rsidRPr="00B83987">
        <w:rPr>
          <w:rFonts w:ascii="仿宋" w:eastAsia="仿宋" w:hAnsi="仿宋" w:cs="宋体" w:hint="eastAsia"/>
          <w:color w:val="333333"/>
          <w:kern w:val="0"/>
          <w:sz w:val="28"/>
          <w:szCs w:val="28"/>
          <w:shd w:val="clear" w:color="auto" w:fill="FFFFFF"/>
        </w:rPr>
        <w:t> </w:t>
      </w:r>
    </w:p>
    <w:p w14:paraId="552E3ADA"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7、省级基本支出预算明细表-工资福利支出（按政府预算经济分类）</w:t>
      </w:r>
      <w:r w:rsidRPr="00B83987">
        <w:rPr>
          <w:rFonts w:ascii="仿宋" w:eastAsia="仿宋" w:hAnsi="仿宋" w:cs="宋体" w:hint="eastAsia"/>
          <w:color w:val="333333"/>
          <w:kern w:val="0"/>
          <w:sz w:val="28"/>
          <w:szCs w:val="28"/>
          <w:shd w:val="clear" w:color="auto" w:fill="FFFFFF"/>
        </w:rPr>
        <w:t> </w:t>
      </w:r>
    </w:p>
    <w:p w14:paraId="69949E9A"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8、省级基本支出预算明细表-商品和服务支出（按部门预算经济分类）</w:t>
      </w:r>
      <w:r w:rsidRPr="00B83987">
        <w:rPr>
          <w:rFonts w:ascii="仿宋" w:eastAsia="仿宋" w:hAnsi="仿宋" w:cs="宋体" w:hint="eastAsia"/>
          <w:color w:val="333333"/>
          <w:kern w:val="0"/>
          <w:sz w:val="28"/>
          <w:szCs w:val="28"/>
          <w:shd w:val="clear" w:color="auto" w:fill="FFFFFF"/>
        </w:rPr>
        <w:t> </w:t>
      </w:r>
    </w:p>
    <w:p w14:paraId="059558E2"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9、省级基本支出预算明细表-商品和服务支出（按政府预算经济分类）</w:t>
      </w:r>
      <w:r w:rsidRPr="00B83987">
        <w:rPr>
          <w:rFonts w:ascii="仿宋" w:eastAsia="仿宋" w:hAnsi="仿宋" w:cs="宋体" w:hint="eastAsia"/>
          <w:color w:val="333333"/>
          <w:kern w:val="0"/>
          <w:sz w:val="28"/>
          <w:szCs w:val="28"/>
          <w:shd w:val="clear" w:color="auto" w:fill="FFFFFF"/>
        </w:rPr>
        <w:t> </w:t>
      </w:r>
    </w:p>
    <w:p w14:paraId="4D7F8EE6"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10、省级基本支出预算明细表-对个人和家庭的补助（按部门预算经济分类）</w:t>
      </w:r>
      <w:r w:rsidRPr="00B83987">
        <w:rPr>
          <w:rFonts w:ascii="仿宋" w:eastAsia="仿宋" w:hAnsi="仿宋" w:cs="宋体" w:hint="eastAsia"/>
          <w:color w:val="333333"/>
          <w:kern w:val="0"/>
          <w:sz w:val="28"/>
          <w:szCs w:val="28"/>
          <w:shd w:val="clear" w:color="auto" w:fill="FFFFFF"/>
        </w:rPr>
        <w:t> </w:t>
      </w:r>
    </w:p>
    <w:p w14:paraId="3199DB42"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lastRenderedPageBreak/>
        <w:t>11、省级基本支出预算明细表-对个人和家庭的补助（按政府预算经济分类）</w:t>
      </w:r>
      <w:r w:rsidRPr="00B83987">
        <w:rPr>
          <w:rFonts w:ascii="仿宋" w:eastAsia="仿宋" w:hAnsi="仿宋" w:cs="宋体" w:hint="eastAsia"/>
          <w:color w:val="333333"/>
          <w:kern w:val="0"/>
          <w:sz w:val="28"/>
          <w:szCs w:val="28"/>
          <w:shd w:val="clear" w:color="auto" w:fill="FFFFFF"/>
        </w:rPr>
        <w:t> </w:t>
      </w:r>
    </w:p>
    <w:p w14:paraId="767D3450"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12、财政拨款收支总体情况表</w:t>
      </w:r>
      <w:r w:rsidRPr="00B83987">
        <w:rPr>
          <w:rFonts w:ascii="仿宋" w:eastAsia="仿宋" w:hAnsi="仿宋" w:cs="宋体" w:hint="eastAsia"/>
          <w:color w:val="333333"/>
          <w:kern w:val="0"/>
          <w:sz w:val="28"/>
          <w:szCs w:val="28"/>
          <w:shd w:val="clear" w:color="auto" w:fill="FFFFFF"/>
        </w:rPr>
        <w:t> </w:t>
      </w:r>
    </w:p>
    <w:p w14:paraId="3C4CC9E3"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13、一般公共预算支出情况表</w:t>
      </w:r>
      <w:r w:rsidRPr="00B83987">
        <w:rPr>
          <w:rFonts w:ascii="仿宋" w:eastAsia="仿宋" w:hAnsi="仿宋" w:cs="宋体" w:hint="eastAsia"/>
          <w:color w:val="333333"/>
          <w:kern w:val="0"/>
          <w:sz w:val="28"/>
          <w:szCs w:val="28"/>
          <w:shd w:val="clear" w:color="auto" w:fill="FFFFFF"/>
        </w:rPr>
        <w:t> </w:t>
      </w:r>
    </w:p>
    <w:p w14:paraId="68E9E7CC"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14、一般公共预算基本支出情况表</w:t>
      </w:r>
      <w:r w:rsidRPr="00B83987">
        <w:rPr>
          <w:rFonts w:ascii="仿宋" w:eastAsia="仿宋" w:hAnsi="仿宋" w:cs="宋体" w:hint="eastAsia"/>
          <w:color w:val="333333"/>
          <w:kern w:val="0"/>
          <w:sz w:val="28"/>
          <w:szCs w:val="28"/>
          <w:shd w:val="clear" w:color="auto" w:fill="FFFFFF"/>
        </w:rPr>
        <w:t> </w:t>
      </w:r>
    </w:p>
    <w:p w14:paraId="706E713F"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15、一般公共预算省级基本支出预算明细表-工资福利支出（按部门预算经济分类）</w:t>
      </w:r>
      <w:r w:rsidRPr="00B83987">
        <w:rPr>
          <w:rFonts w:ascii="仿宋" w:eastAsia="仿宋" w:hAnsi="仿宋" w:cs="宋体" w:hint="eastAsia"/>
          <w:color w:val="333333"/>
          <w:kern w:val="0"/>
          <w:sz w:val="28"/>
          <w:szCs w:val="28"/>
          <w:shd w:val="clear" w:color="auto" w:fill="FFFFFF"/>
        </w:rPr>
        <w:t> </w:t>
      </w:r>
    </w:p>
    <w:p w14:paraId="57FB6C8E"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16、一般公共预算省级基本支出预算明细表-工资福利支出（按政府预算经济分类）</w:t>
      </w:r>
      <w:r w:rsidRPr="00B83987">
        <w:rPr>
          <w:rFonts w:ascii="仿宋" w:eastAsia="仿宋" w:hAnsi="仿宋" w:cs="宋体" w:hint="eastAsia"/>
          <w:color w:val="333333"/>
          <w:kern w:val="0"/>
          <w:sz w:val="28"/>
          <w:szCs w:val="28"/>
          <w:shd w:val="clear" w:color="auto" w:fill="FFFFFF"/>
        </w:rPr>
        <w:t> </w:t>
      </w:r>
    </w:p>
    <w:p w14:paraId="6380685D"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17、一般公共预算省级基本支出预算明细表-商品和服务支出（按部门预算经济分类）</w:t>
      </w:r>
      <w:r w:rsidRPr="00B83987">
        <w:rPr>
          <w:rFonts w:ascii="仿宋" w:eastAsia="仿宋" w:hAnsi="仿宋" w:cs="宋体" w:hint="eastAsia"/>
          <w:color w:val="333333"/>
          <w:kern w:val="0"/>
          <w:sz w:val="28"/>
          <w:szCs w:val="28"/>
          <w:shd w:val="clear" w:color="auto" w:fill="FFFFFF"/>
        </w:rPr>
        <w:t> </w:t>
      </w:r>
    </w:p>
    <w:p w14:paraId="50309D63"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18、一般公共预算省级基本支出预算明细表-商品和服务支出（按政府预算经济分类）</w:t>
      </w:r>
      <w:r w:rsidRPr="00B83987">
        <w:rPr>
          <w:rFonts w:ascii="仿宋" w:eastAsia="仿宋" w:hAnsi="仿宋" w:cs="宋体" w:hint="eastAsia"/>
          <w:color w:val="333333"/>
          <w:kern w:val="0"/>
          <w:sz w:val="28"/>
          <w:szCs w:val="28"/>
          <w:shd w:val="clear" w:color="auto" w:fill="FFFFFF"/>
        </w:rPr>
        <w:t> </w:t>
      </w:r>
    </w:p>
    <w:p w14:paraId="7412C47D"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19、一般公共预算省级基本支出预算明细表-对个人和家庭的补助（按部门预算经济分类）</w:t>
      </w:r>
      <w:r w:rsidRPr="00B83987">
        <w:rPr>
          <w:rFonts w:ascii="仿宋" w:eastAsia="仿宋" w:hAnsi="仿宋" w:cs="宋体" w:hint="eastAsia"/>
          <w:color w:val="333333"/>
          <w:kern w:val="0"/>
          <w:sz w:val="28"/>
          <w:szCs w:val="28"/>
          <w:shd w:val="clear" w:color="auto" w:fill="FFFFFF"/>
        </w:rPr>
        <w:t> </w:t>
      </w:r>
    </w:p>
    <w:p w14:paraId="0F08F456"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20、一般公共预算省级基本支出预算明细表-对个人和家庭的补助（按政府预算经济分类）</w:t>
      </w:r>
      <w:r w:rsidRPr="00B83987">
        <w:rPr>
          <w:rFonts w:ascii="仿宋" w:eastAsia="仿宋" w:hAnsi="仿宋" w:cs="宋体" w:hint="eastAsia"/>
          <w:color w:val="333333"/>
          <w:kern w:val="0"/>
          <w:sz w:val="28"/>
          <w:szCs w:val="28"/>
          <w:shd w:val="clear" w:color="auto" w:fill="FFFFFF"/>
        </w:rPr>
        <w:t> </w:t>
      </w:r>
    </w:p>
    <w:p w14:paraId="659243B5"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21、政府性基金预算支出情况表（按部门预算经济分类）</w:t>
      </w:r>
      <w:r w:rsidRPr="00B83987">
        <w:rPr>
          <w:rFonts w:ascii="仿宋" w:eastAsia="仿宋" w:hAnsi="仿宋" w:cs="宋体" w:hint="eastAsia"/>
          <w:color w:val="333333"/>
          <w:kern w:val="0"/>
          <w:sz w:val="28"/>
          <w:szCs w:val="28"/>
          <w:shd w:val="clear" w:color="auto" w:fill="FFFFFF"/>
        </w:rPr>
        <w:t> </w:t>
      </w:r>
    </w:p>
    <w:p w14:paraId="373C66FF"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22、政府性基金预算支出情况表（按政府预算经济分类）</w:t>
      </w:r>
      <w:r w:rsidRPr="00B83987">
        <w:rPr>
          <w:rFonts w:ascii="仿宋" w:eastAsia="仿宋" w:hAnsi="仿宋" w:cs="宋体" w:hint="eastAsia"/>
          <w:color w:val="333333"/>
          <w:kern w:val="0"/>
          <w:sz w:val="28"/>
          <w:szCs w:val="28"/>
          <w:shd w:val="clear" w:color="auto" w:fill="FFFFFF"/>
        </w:rPr>
        <w:t> </w:t>
      </w:r>
    </w:p>
    <w:p w14:paraId="23482239"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23、纳入专户管理的非税收入拨款预算分类汇总表（按部门预算经济分类）</w:t>
      </w:r>
      <w:r w:rsidRPr="00B83987">
        <w:rPr>
          <w:rFonts w:ascii="仿宋" w:eastAsia="仿宋" w:hAnsi="仿宋" w:cs="宋体" w:hint="eastAsia"/>
          <w:color w:val="333333"/>
          <w:kern w:val="0"/>
          <w:sz w:val="28"/>
          <w:szCs w:val="28"/>
          <w:shd w:val="clear" w:color="auto" w:fill="FFFFFF"/>
        </w:rPr>
        <w:t> </w:t>
      </w:r>
    </w:p>
    <w:p w14:paraId="2155B987"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lastRenderedPageBreak/>
        <w:t>24、纳入专户管理的非税收入拨款预算分类汇总表（按政府预算经济分类）</w:t>
      </w:r>
      <w:r w:rsidRPr="00B83987">
        <w:rPr>
          <w:rFonts w:ascii="仿宋" w:eastAsia="仿宋" w:hAnsi="仿宋" w:cs="宋体" w:hint="eastAsia"/>
          <w:color w:val="333333"/>
          <w:kern w:val="0"/>
          <w:sz w:val="28"/>
          <w:szCs w:val="28"/>
          <w:shd w:val="clear" w:color="auto" w:fill="FFFFFF"/>
        </w:rPr>
        <w:t> </w:t>
      </w:r>
    </w:p>
    <w:p w14:paraId="70BB3B32"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25、一般公共预算拨款--经费拨款预算表（按部门预算经济分类）</w:t>
      </w:r>
    </w:p>
    <w:p w14:paraId="59DACE1F"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26、一般公共预算拨款--经费拨款预算表（按政府预算经济分类）</w:t>
      </w:r>
    </w:p>
    <w:p w14:paraId="3A2256E6"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27、省级专项资金清单</w:t>
      </w:r>
      <w:r w:rsidRPr="00B83987">
        <w:rPr>
          <w:rFonts w:ascii="仿宋" w:eastAsia="仿宋" w:hAnsi="仿宋" w:cs="宋体" w:hint="eastAsia"/>
          <w:color w:val="333333"/>
          <w:kern w:val="0"/>
          <w:sz w:val="28"/>
          <w:szCs w:val="28"/>
          <w:shd w:val="clear" w:color="auto" w:fill="FFFFFF"/>
        </w:rPr>
        <w:t> </w:t>
      </w:r>
    </w:p>
    <w:p w14:paraId="526C9503"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28、一般公共预算“三公”经费预算表</w:t>
      </w:r>
      <w:r w:rsidRPr="00B83987">
        <w:rPr>
          <w:rFonts w:ascii="仿宋" w:eastAsia="仿宋" w:hAnsi="仿宋" w:cs="宋体" w:hint="eastAsia"/>
          <w:color w:val="333333"/>
          <w:kern w:val="0"/>
          <w:sz w:val="28"/>
          <w:szCs w:val="28"/>
          <w:shd w:val="clear" w:color="auto" w:fill="FFFFFF"/>
        </w:rPr>
        <w:t> </w:t>
      </w:r>
    </w:p>
    <w:p w14:paraId="2A9D7DAA"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29、项目支出绩效目标表</w:t>
      </w:r>
      <w:r w:rsidRPr="00B83987">
        <w:rPr>
          <w:rFonts w:ascii="仿宋" w:eastAsia="仿宋" w:hAnsi="仿宋" w:cs="宋体" w:hint="eastAsia"/>
          <w:color w:val="333333"/>
          <w:kern w:val="0"/>
          <w:sz w:val="28"/>
          <w:szCs w:val="28"/>
          <w:shd w:val="clear" w:color="auto" w:fill="FFFFFF"/>
        </w:rPr>
        <w:t> </w:t>
      </w:r>
    </w:p>
    <w:p w14:paraId="76EAB9F9" w14:textId="77777777" w:rsidR="00B83987" w:rsidRPr="00B83987" w:rsidRDefault="00B83987" w:rsidP="00B83987">
      <w:pPr>
        <w:widowControl/>
        <w:shd w:val="clear" w:color="auto" w:fill="FFFFFF"/>
        <w:spacing w:line="480" w:lineRule="auto"/>
        <w:ind w:firstLine="561"/>
        <w:rPr>
          <w:rFonts w:ascii="等线" w:eastAsia="等线" w:hAnsi="等线" w:cs="宋体"/>
          <w:kern w:val="0"/>
          <w:szCs w:val="21"/>
        </w:rPr>
      </w:pPr>
      <w:r w:rsidRPr="00B83987">
        <w:rPr>
          <w:rFonts w:ascii="仿宋" w:eastAsia="仿宋" w:hAnsi="仿宋" w:cs="宋体" w:hint="eastAsia"/>
          <w:color w:val="333333"/>
          <w:kern w:val="0"/>
          <w:sz w:val="28"/>
          <w:szCs w:val="28"/>
          <w:shd w:val="clear" w:color="auto" w:fill="FFFFFF"/>
        </w:rPr>
        <w:t>30、整体支出绩效目标表</w:t>
      </w:r>
      <w:r w:rsidRPr="00B83987">
        <w:rPr>
          <w:rFonts w:ascii="仿宋" w:eastAsia="仿宋" w:hAnsi="仿宋" w:cs="宋体" w:hint="eastAsia"/>
          <w:color w:val="333333"/>
          <w:kern w:val="0"/>
          <w:sz w:val="28"/>
          <w:szCs w:val="28"/>
          <w:shd w:val="clear" w:color="auto" w:fill="FFFFFF"/>
        </w:rPr>
        <w:t> </w:t>
      </w:r>
    </w:p>
    <w:p w14:paraId="25ED6FC8" w14:textId="77777777" w:rsidR="00B83987" w:rsidRPr="00B83987" w:rsidRDefault="00B83987" w:rsidP="00B83987">
      <w:pPr>
        <w:widowControl/>
        <w:shd w:val="clear" w:color="auto" w:fill="FFFFFF"/>
        <w:spacing w:line="600" w:lineRule="atLeast"/>
        <w:ind w:firstLine="640"/>
        <w:jc w:val="left"/>
        <w:rPr>
          <w:rFonts w:ascii="等线" w:eastAsia="等线" w:hAnsi="等线" w:cs="宋体"/>
          <w:kern w:val="0"/>
          <w:szCs w:val="21"/>
        </w:rPr>
      </w:pPr>
      <w:r w:rsidRPr="00B83987">
        <w:rPr>
          <w:rFonts w:ascii="仿宋" w:eastAsia="仿宋" w:hAnsi="仿宋" w:cs="宋体" w:hint="eastAsia"/>
          <w:color w:val="333333"/>
          <w:kern w:val="0"/>
          <w:sz w:val="28"/>
          <w:szCs w:val="28"/>
        </w:rPr>
        <w:t>注：以上部门预算报表中，空表表示本部门无相关收支情况。</w:t>
      </w:r>
    </w:p>
    <w:p w14:paraId="20E61BE8" w14:textId="77777777" w:rsidR="00B83987" w:rsidRPr="00B83987" w:rsidRDefault="00B83987" w:rsidP="00B83987">
      <w:pPr>
        <w:widowControl/>
        <w:shd w:val="clear" w:color="auto" w:fill="FFFFFF"/>
        <w:spacing w:line="600" w:lineRule="atLeast"/>
        <w:ind w:firstLine="640"/>
        <w:jc w:val="left"/>
        <w:rPr>
          <w:rFonts w:ascii="等线" w:eastAsia="等线" w:hAnsi="等线" w:cs="宋体"/>
          <w:kern w:val="0"/>
          <w:szCs w:val="21"/>
        </w:rPr>
      </w:pPr>
    </w:p>
    <w:p w14:paraId="36C95B5D"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w:t>
      </w:r>
      <w:r w:rsidRPr="00B83987">
        <w:rPr>
          <w:rFonts w:ascii="宋体" w:eastAsia="宋体" w:hAnsi="宋体" w:cs="宋体"/>
          <w:kern w:val="0"/>
          <w:sz w:val="32"/>
          <w:szCs w:val="32"/>
        </w:rPr>
        <w:t> </w:t>
      </w:r>
      <w:r w:rsidRPr="00B83987">
        <w:rPr>
          <w:rFonts w:ascii="宋体" w:eastAsia="宋体" w:hAnsi="宋体" w:cs="宋体"/>
          <w:kern w:val="0"/>
          <w:sz w:val="32"/>
          <w:szCs w:val="32"/>
        </w:rPr>
        <w:t> </w:t>
      </w:r>
      <w:r w:rsidRPr="00B83987">
        <w:rPr>
          <w:rFonts w:ascii="宋体" w:eastAsia="宋体" w:hAnsi="宋体" w:cs="宋体"/>
          <w:kern w:val="0"/>
          <w:sz w:val="32"/>
          <w:szCs w:val="32"/>
        </w:rPr>
        <w:t> </w:t>
      </w:r>
      <w:r w:rsidRPr="00B83987">
        <w:rPr>
          <w:rFonts w:ascii="宋体" w:eastAsia="宋体" w:hAnsi="宋体" w:cs="宋体"/>
          <w:kern w:val="0"/>
          <w:sz w:val="32"/>
          <w:szCs w:val="32"/>
        </w:rPr>
        <w:t>第一部分:</w:t>
      </w:r>
    </w:p>
    <w:p w14:paraId="65C2CE95" w14:textId="77777777" w:rsidR="00B83987" w:rsidRPr="00B83987" w:rsidRDefault="00B83987" w:rsidP="00B83987">
      <w:pPr>
        <w:widowControl/>
        <w:jc w:val="center"/>
        <w:rPr>
          <w:rFonts w:ascii="宋体" w:eastAsia="宋体" w:hAnsi="宋体" w:cs="宋体"/>
          <w:kern w:val="0"/>
          <w:sz w:val="24"/>
          <w:szCs w:val="24"/>
        </w:rPr>
      </w:pPr>
      <w:r w:rsidRPr="00B83987">
        <w:rPr>
          <w:rFonts w:ascii="宋体" w:eastAsia="宋体" w:hAnsi="宋体" w:cs="宋体"/>
          <w:b/>
          <w:bCs/>
          <w:kern w:val="0"/>
          <w:sz w:val="32"/>
          <w:szCs w:val="32"/>
        </w:rPr>
        <w:t xml:space="preserve">　　</w:t>
      </w:r>
    </w:p>
    <w:p w14:paraId="7D7C1520" w14:textId="77777777" w:rsidR="00B83987" w:rsidRPr="00B83987" w:rsidRDefault="00B83987" w:rsidP="00B83987">
      <w:pPr>
        <w:widowControl/>
        <w:jc w:val="center"/>
        <w:rPr>
          <w:rFonts w:ascii="宋体" w:eastAsia="宋体" w:hAnsi="宋体" w:cs="宋体"/>
          <w:kern w:val="0"/>
          <w:sz w:val="24"/>
          <w:szCs w:val="24"/>
        </w:rPr>
      </w:pPr>
      <w:r w:rsidRPr="00B83987">
        <w:rPr>
          <w:rFonts w:ascii="宋体" w:eastAsia="宋体" w:hAnsi="宋体" w:cs="宋体"/>
          <w:b/>
          <w:bCs/>
          <w:kern w:val="0"/>
          <w:sz w:val="32"/>
          <w:szCs w:val="32"/>
        </w:rPr>
        <w:t xml:space="preserve">　　湖南省地方金融监督管理局2019年部门预算说明</w:t>
      </w:r>
      <w:r w:rsidRPr="00B83987">
        <w:rPr>
          <w:rFonts w:ascii="宋体" w:eastAsia="宋体" w:hAnsi="宋体" w:cs="宋体"/>
          <w:kern w:val="0"/>
          <w:sz w:val="32"/>
          <w:szCs w:val="32"/>
        </w:rPr>
        <w:t xml:space="preserve">　　</w:t>
      </w:r>
    </w:p>
    <w:p w14:paraId="1C435527"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w:t>
      </w:r>
    </w:p>
    <w:p w14:paraId="5E267BA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w:t>
      </w:r>
      <w:r w:rsidRPr="00B83987">
        <w:rPr>
          <w:rFonts w:ascii="宋体" w:eastAsia="宋体" w:hAnsi="宋体" w:cs="宋体"/>
          <w:b/>
          <w:bCs/>
          <w:kern w:val="0"/>
          <w:sz w:val="32"/>
          <w:szCs w:val="32"/>
        </w:rPr>
        <w:t xml:space="preserve">　一、部门基本概况</w:t>
      </w:r>
    </w:p>
    <w:p w14:paraId="0561ADC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b/>
          <w:bCs/>
          <w:kern w:val="0"/>
          <w:sz w:val="32"/>
          <w:szCs w:val="32"/>
        </w:rPr>
        <w:t xml:space="preserve">　　1、职能职责</w:t>
      </w:r>
    </w:p>
    <w:p w14:paraId="0F53658F"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省地方金融监督管理局的主要工作职责是：拟定金融业发展战略及中长期规划；分析全省金融运行情况，推进金融市场体系建设；负责辖区内融资性担保机构、小额贷款公司、典当行、融资租赁公司、</w:t>
      </w:r>
      <w:proofErr w:type="gramStart"/>
      <w:r w:rsidRPr="00B83987">
        <w:rPr>
          <w:rFonts w:ascii="宋体" w:eastAsia="宋体" w:hAnsi="宋体" w:cs="宋体"/>
          <w:kern w:val="0"/>
          <w:sz w:val="32"/>
          <w:szCs w:val="32"/>
        </w:rPr>
        <w:t>商业保理公司</w:t>
      </w:r>
      <w:proofErr w:type="gramEnd"/>
      <w:r w:rsidRPr="00B83987">
        <w:rPr>
          <w:rFonts w:ascii="宋体" w:eastAsia="宋体" w:hAnsi="宋体" w:cs="宋体"/>
          <w:kern w:val="0"/>
          <w:sz w:val="32"/>
          <w:szCs w:val="32"/>
        </w:rPr>
        <w:t>、区域性股权市场、地方资产管理类公司等7类地方金融机构监管，强化对辖区内投资公司、开展信用互助的农民专业合作社、社会众筹机</w:t>
      </w:r>
      <w:r w:rsidRPr="00B83987">
        <w:rPr>
          <w:rFonts w:ascii="宋体" w:eastAsia="宋体" w:hAnsi="宋体" w:cs="宋体"/>
          <w:kern w:val="0"/>
          <w:sz w:val="32"/>
          <w:szCs w:val="32"/>
        </w:rPr>
        <w:lastRenderedPageBreak/>
        <w:t>构、地方各类交易场所的监管；负责协调相关部门加强对互联网金融的监管；联系在湘金融机构做好协调服务和接待工作，引导各类金融机构加大对地方经济发展的支持并组织目标考核；推动地方金融机构改革、发展和重组；推动社会信用体系建设和金融安全区创建;拟定地方金融风险防范有关政策，会同金融监管机构和相关部门建立金融风险监测、预警和防范工作机制；组织制定金融风险处置工作预案，指导金融风险突发事件应急处置工作；引导民间融资规范发展，维护金融市场稳定；推进全省资本市场发展，做好企业上市、上市培育及协调指导发行地方政府债券等工作；建立与完善中小</w:t>
      </w:r>
      <w:proofErr w:type="gramStart"/>
      <w:r w:rsidRPr="00B83987">
        <w:rPr>
          <w:rFonts w:ascii="宋体" w:eastAsia="宋体" w:hAnsi="宋体" w:cs="宋体"/>
          <w:kern w:val="0"/>
          <w:sz w:val="32"/>
          <w:szCs w:val="32"/>
        </w:rPr>
        <w:t>微企业</w:t>
      </w:r>
      <w:proofErr w:type="gramEnd"/>
      <w:r w:rsidRPr="00B83987">
        <w:rPr>
          <w:rFonts w:ascii="宋体" w:eastAsia="宋体" w:hAnsi="宋体" w:cs="宋体"/>
          <w:kern w:val="0"/>
          <w:sz w:val="32"/>
          <w:szCs w:val="32"/>
        </w:rPr>
        <w:t>融资激励和风险补偿机制；指导地方性金融业协会的自律建设和管理。此外，按照省委省政府要求，还承担了吉祥人寿保险公司管理、</w:t>
      </w:r>
      <w:proofErr w:type="gramStart"/>
      <w:r w:rsidRPr="00B83987">
        <w:rPr>
          <w:rFonts w:ascii="宋体" w:eastAsia="宋体" w:hAnsi="宋体" w:cs="宋体"/>
          <w:kern w:val="0"/>
          <w:sz w:val="32"/>
          <w:szCs w:val="32"/>
        </w:rPr>
        <w:t>险资入</w:t>
      </w:r>
      <w:proofErr w:type="gramEnd"/>
      <w:r w:rsidRPr="00B83987">
        <w:rPr>
          <w:rFonts w:ascii="宋体" w:eastAsia="宋体" w:hAnsi="宋体" w:cs="宋体"/>
          <w:kern w:val="0"/>
          <w:sz w:val="32"/>
          <w:szCs w:val="32"/>
        </w:rPr>
        <w:t>湘、本土国有证券期货公司整合重组、地方金融征信与监管服务，以及指导、管理全省地方金融</w:t>
      </w:r>
      <w:proofErr w:type="gramStart"/>
      <w:r w:rsidRPr="00B83987">
        <w:rPr>
          <w:rFonts w:ascii="宋体" w:eastAsia="宋体" w:hAnsi="宋体" w:cs="宋体"/>
          <w:kern w:val="0"/>
          <w:sz w:val="32"/>
          <w:szCs w:val="32"/>
        </w:rPr>
        <w:t>机构党建</w:t>
      </w:r>
      <w:proofErr w:type="gramEnd"/>
      <w:r w:rsidRPr="00B83987">
        <w:rPr>
          <w:rFonts w:ascii="宋体" w:eastAsia="宋体" w:hAnsi="宋体" w:cs="宋体"/>
          <w:kern w:val="0"/>
          <w:sz w:val="32"/>
          <w:szCs w:val="32"/>
        </w:rPr>
        <w:t>及工会工作等职能。</w:t>
      </w:r>
    </w:p>
    <w:p w14:paraId="0D6BEB6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2、机构设置</w:t>
      </w:r>
    </w:p>
    <w:p w14:paraId="0031A635"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根据省委办公厅、省政府办公厅《关于湖南省地方金融监督管理局职责和机构编制调整的通知》，我局</w:t>
      </w:r>
      <w:proofErr w:type="gramStart"/>
      <w:r w:rsidRPr="00B83987">
        <w:rPr>
          <w:rFonts w:ascii="宋体" w:eastAsia="宋体" w:hAnsi="宋体" w:cs="宋体"/>
          <w:kern w:val="0"/>
          <w:sz w:val="32"/>
          <w:szCs w:val="32"/>
        </w:rPr>
        <w:t>系财政</w:t>
      </w:r>
      <w:proofErr w:type="gramEnd"/>
      <w:r w:rsidRPr="00B83987">
        <w:rPr>
          <w:rFonts w:ascii="宋体" w:eastAsia="宋体" w:hAnsi="宋体" w:cs="宋体"/>
          <w:kern w:val="0"/>
          <w:sz w:val="32"/>
          <w:szCs w:val="32"/>
        </w:rPr>
        <w:t>全额拨款的正厅级行政单位，下设9个内设机构，分别为综合处（人事处）、政策法规处、银行处、保险处、资本市场处、金融监管一处、金融监管二处、金融稳定处、机关党委。另</w:t>
      </w:r>
      <w:r w:rsidRPr="00B83987">
        <w:rPr>
          <w:rFonts w:ascii="宋体" w:eastAsia="宋体" w:hAnsi="宋体" w:cs="宋体"/>
          <w:kern w:val="0"/>
          <w:sz w:val="32"/>
          <w:szCs w:val="32"/>
        </w:rPr>
        <w:lastRenderedPageBreak/>
        <w:t>设正处级公益一类直属事业单位湖南省人民政府金融工作办公室信息中心。</w:t>
      </w:r>
    </w:p>
    <w:p w14:paraId="0BC1FB0D"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w:t>
      </w:r>
      <w:r w:rsidRPr="00B83987">
        <w:rPr>
          <w:rFonts w:ascii="宋体" w:eastAsia="宋体" w:hAnsi="宋体" w:cs="宋体"/>
          <w:b/>
          <w:bCs/>
          <w:kern w:val="0"/>
          <w:sz w:val="32"/>
          <w:szCs w:val="32"/>
        </w:rPr>
        <w:t>二、部门预算单位构成</w:t>
      </w:r>
    </w:p>
    <w:p w14:paraId="2BC8D34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纳入2019年湖南省地方金融监督管理局部门预算编制范围的二级预算单位包括：</w:t>
      </w:r>
    </w:p>
    <w:p w14:paraId="525D28F0"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1、湖南省地方金融监督管理局本级</w:t>
      </w:r>
    </w:p>
    <w:p w14:paraId="5AF862F4"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2、湖南省政府金融办信息中心</w:t>
      </w:r>
    </w:p>
    <w:p w14:paraId="05F9120C"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w:t>
      </w:r>
      <w:r w:rsidRPr="00B83987">
        <w:rPr>
          <w:rFonts w:ascii="宋体" w:eastAsia="宋体" w:hAnsi="宋体" w:cs="宋体"/>
          <w:b/>
          <w:bCs/>
          <w:kern w:val="0"/>
          <w:sz w:val="32"/>
          <w:szCs w:val="32"/>
        </w:rPr>
        <w:t>三、部门收支总体情况</w:t>
      </w:r>
    </w:p>
    <w:p w14:paraId="3F35FCF3"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2019年部门预算包括湖南省地方金融监督管理局本级预算及所属信息中心预算在内的汇总情况。收入主要是一般公共预算收入，无政府性基金收入、国有资本经营预算收入和纳入专户管理的非税收入，也无事业单位经营服务等收入；支出包括保障局本级及局属信息中心基本运行的经费。</w:t>
      </w:r>
    </w:p>
    <w:p w14:paraId="1535BEA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一）收入预算：2019年年初预算数2788.34万元，其中：一般公共预算拨款2788.34万元，政府性基本预算拨款0万元，国有资本经营预算拨款0万元，纳入专户管理的非税收入0万元。收入较去年减少1947.46万元，主要是由增加的4项内容和减少的5项内容组成。增加的4项内容包括：一是增加金融风险监管、防范与处置工作经费300万元，二是增人增资92.5万元；三是基本工资绩效工资提标38.4万元；四是增加信息中心平台建设经费尾款245.92万元。减少的5项内容主要包括：一是系统财务中2400万元融资创</w:t>
      </w:r>
      <w:r w:rsidRPr="00B83987">
        <w:rPr>
          <w:rFonts w:ascii="宋体" w:eastAsia="宋体" w:hAnsi="宋体" w:cs="宋体"/>
          <w:kern w:val="0"/>
          <w:sz w:val="32"/>
          <w:szCs w:val="32"/>
        </w:rPr>
        <w:lastRenderedPageBreak/>
        <w:t>新考评资金转为处室待编；二是减少金融干部培训2018年一次性130万元；三是减少湖南金融期刊2018年一次性50万元；四是减少一般性支出43.68万元；五是减少住房保障支出0.6万元。</w:t>
      </w:r>
    </w:p>
    <w:p w14:paraId="49E01EB4"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（二）支出预算：2019年年初预算数2788.34万元，其中，社会保障和就业支出105.56万元、金融支出2583.92万元、住房保障支出98.86万元。支出较去年减少1947.46万元，主要由</w:t>
      </w:r>
      <w:proofErr w:type="gramStart"/>
      <w:r w:rsidRPr="00B83987">
        <w:rPr>
          <w:rFonts w:ascii="宋体" w:eastAsia="宋体" w:hAnsi="宋体" w:cs="宋体"/>
          <w:kern w:val="0"/>
          <w:sz w:val="32"/>
          <w:szCs w:val="32"/>
        </w:rPr>
        <w:t>以下项</w:t>
      </w:r>
      <w:proofErr w:type="gramEnd"/>
      <w:r w:rsidRPr="00B83987">
        <w:rPr>
          <w:rFonts w:ascii="宋体" w:eastAsia="宋体" w:hAnsi="宋体" w:cs="宋体"/>
          <w:kern w:val="0"/>
          <w:sz w:val="32"/>
          <w:szCs w:val="32"/>
        </w:rPr>
        <w:t>组成：一是减少金融支出1954.47万元,二是增加住房保障支出1.76万元，三是增加社会保障和就业支出5.25万元。</w:t>
      </w:r>
    </w:p>
    <w:p w14:paraId="3606B9E8"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b/>
          <w:bCs/>
          <w:kern w:val="0"/>
          <w:sz w:val="32"/>
          <w:szCs w:val="32"/>
        </w:rPr>
        <w:t xml:space="preserve">　　四、一般公共预算拨款支出预算</w:t>
      </w:r>
    </w:p>
    <w:p w14:paraId="3B16BCF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2019年一般公共预算拨款收入2788.34万元，具体安排情况如下：</w:t>
      </w:r>
    </w:p>
    <w:p w14:paraId="725B4436"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一）基本支出：2019年基本支出年初预算数1697.42万元，是指为保障我局正常运转、完成日常工作任务而发生的各项支出，包括用于基本工资、津贴补贴等人员经费以及办公费、印刷费、水电费等、办公设备购置等日常公用经费。</w:t>
      </w:r>
    </w:p>
    <w:p w14:paraId="3254C394"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二）项目支出：2019年项目支出年初预算数为1090.92万元，是指我局为完成特定行政工作任务或事业发展目标而发生的支出，包括按项目管理的商品和服务支出、资本性支出（基本建设）和资本性支出。其中：按项目管理的商品和服务支出789.44万元，主要用于金融干部知识培训、融资</w:t>
      </w:r>
      <w:r w:rsidRPr="00B83987">
        <w:rPr>
          <w:rFonts w:ascii="宋体" w:eastAsia="宋体" w:hAnsi="宋体" w:cs="宋体"/>
          <w:kern w:val="0"/>
          <w:sz w:val="32"/>
          <w:szCs w:val="32"/>
        </w:rPr>
        <w:lastRenderedPageBreak/>
        <w:t>性担保及小</w:t>
      </w:r>
      <w:proofErr w:type="gramStart"/>
      <w:r w:rsidRPr="00B83987">
        <w:rPr>
          <w:rFonts w:ascii="宋体" w:eastAsia="宋体" w:hAnsi="宋体" w:cs="宋体"/>
          <w:kern w:val="0"/>
          <w:sz w:val="32"/>
          <w:szCs w:val="32"/>
        </w:rPr>
        <w:t>贷风险</w:t>
      </w:r>
      <w:proofErr w:type="gramEnd"/>
      <w:r w:rsidRPr="00B83987">
        <w:rPr>
          <w:rFonts w:ascii="宋体" w:eastAsia="宋体" w:hAnsi="宋体" w:cs="宋体"/>
          <w:kern w:val="0"/>
          <w:sz w:val="32"/>
          <w:szCs w:val="32"/>
        </w:rPr>
        <w:t>监管、协调服务金融机构、湖南金融宣传经费、地方金融风险防范、地方金融监管和金融发展专项工作经费等方面；资本性支出（基本建设）245.92万元，主要用于省政府金融办信息中心平台建设；资本性支出55.56万元，主要</w:t>
      </w:r>
      <w:proofErr w:type="gramStart"/>
      <w:r w:rsidRPr="00B83987">
        <w:rPr>
          <w:rFonts w:ascii="宋体" w:eastAsia="宋体" w:hAnsi="宋体" w:cs="宋体"/>
          <w:kern w:val="0"/>
          <w:sz w:val="32"/>
          <w:szCs w:val="32"/>
        </w:rPr>
        <w:t>用于局</w:t>
      </w:r>
      <w:proofErr w:type="gramEnd"/>
      <w:r w:rsidRPr="00B83987">
        <w:rPr>
          <w:rFonts w:ascii="宋体" w:eastAsia="宋体" w:hAnsi="宋体" w:cs="宋体"/>
          <w:kern w:val="0"/>
          <w:sz w:val="32"/>
          <w:szCs w:val="32"/>
        </w:rPr>
        <w:t>机关实行政府采购添置的办公设备和信息网络及软件购置更新。</w:t>
      </w:r>
    </w:p>
    <w:p w14:paraId="78DFD742"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w:t>
      </w:r>
      <w:r w:rsidRPr="00B83987">
        <w:rPr>
          <w:rFonts w:ascii="宋体" w:eastAsia="宋体" w:hAnsi="宋体" w:cs="宋体"/>
          <w:b/>
          <w:bCs/>
          <w:kern w:val="0"/>
          <w:sz w:val="32"/>
          <w:szCs w:val="32"/>
        </w:rPr>
        <w:t>五、其他重要事项的情况说明</w:t>
      </w:r>
    </w:p>
    <w:p w14:paraId="3E51FEA8"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1、机关运行经费</w:t>
      </w:r>
    </w:p>
    <w:p w14:paraId="6AA33A4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2019年局本级、省政府金融办信息中心等2家行政事业单位的机关运行经费当年一般公共预算拨款331.84万元，比2018年预算增加56.79万元，上升20.65%。</w:t>
      </w:r>
    </w:p>
    <w:p w14:paraId="12FFF8C2"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2、“三公”经费预算</w:t>
      </w:r>
    </w:p>
    <w:p w14:paraId="00F6F615"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2019年“三公”经费预算数为113万元，其中，公务接待费33万元，公务用车购置及运行维护费62万元（其中：公务用车购置费18万元，公务用车运行维护费44万元），因公出国（境）费18万元。2019年“三公”经费预算较2018年减少16万元，主要是：其一，公务接待费预算比上年减少13万元，下降28.26%。原因是进一步加强公务接待费管理。我局严格执行《湖南省党政机关国内公务接待管理办法》和《关于明确省直党政机关公务活动用餐有关事项的通知》等文件，全办公务接待支出必须是“三单齐全”，缺一不可，同时严格执行接待标准，从不搞任何超标准接待；其二，公</w:t>
      </w:r>
      <w:r w:rsidRPr="00B83987">
        <w:rPr>
          <w:rFonts w:ascii="宋体" w:eastAsia="宋体" w:hAnsi="宋体" w:cs="宋体"/>
          <w:kern w:val="0"/>
          <w:sz w:val="32"/>
          <w:szCs w:val="32"/>
        </w:rPr>
        <w:lastRenderedPageBreak/>
        <w:t>务用车购置及运行维护费预算比上年减少3万元，下降4.62%。原因是实施公务用车改革后，公务用车运行费随之降低。三是因公出国（境）费，与上年持平。</w:t>
      </w:r>
    </w:p>
    <w:p w14:paraId="1D4B41AC"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3、政府采购预算</w:t>
      </w:r>
    </w:p>
    <w:p w14:paraId="6B23263F"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2019年湖南省地方金融监督管理局政府采购预算总额55.56万元，其中：政府采购货物预算55.56万元、政府采购工程预算0万元、政府采购服务预算0万元。</w:t>
      </w:r>
    </w:p>
    <w:p w14:paraId="3E7F1E2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4、国有资产占用使用情况说明：截至2018年6月30日，我局共有车辆6辆，其中：领导干部用车1辆，一般公务用车5辆（包括信息中心1辆），一般执法执勤用车0辆，特种专业技术用车0辆，其他用车0辆。单位价值50万元以上通用设备0台，单位价值100万元以上专用设备0台。</w:t>
      </w:r>
    </w:p>
    <w:p w14:paraId="2DB4CFE8"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5、预算绩效目标说明：本部门整体支出和项目支出实行绩效目标管理，纳入2019年部门预算整体支出绩效目标的金额为2788.34万元，其中，基本支出1697.42万元，项目支出1090.92万元。</w:t>
      </w:r>
    </w:p>
    <w:p w14:paraId="0C98B5ED"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w:t>
      </w:r>
      <w:r w:rsidRPr="00B83987">
        <w:rPr>
          <w:rFonts w:ascii="宋体" w:eastAsia="宋体" w:hAnsi="宋体" w:cs="宋体"/>
          <w:b/>
          <w:bCs/>
          <w:kern w:val="0"/>
          <w:sz w:val="32"/>
          <w:szCs w:val="32"/>
        </w:rPr>
        <w:t xml:space="preserve">　六、名词解释</w:t>
      </w:r>
    </w:p>
    <w:p w14:paraId="5987F2E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4F7D7AE7"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lastRenderedPageBreak/>
        <w:t xml:space="preserve">　　2、“三公”经费：纳入省财政预算管理的</w:t>
      </w:r>
      <w:proofErr w:type="gramStart"/>
      <w:r w:rsidRPr="00B83987">
        <w:rPr>
          <w:rFonts w:ascii="宋体" w:eastAsia="宋体" w:hAnsi="宋体" w:cs="宋体"/>
          <w:kern w:val="0"/>
          <w:sz w:val="32"/>
          <w:szCs w:val="32"/>
        </w:rPr>
        <w:t>“</w:t>
      </w:r>
      <w:proofErr w:type="gramEnd"/>
      <w:r w:rsidRPr="00B83987">
        <w:rPr>
          <w:rFonts w:ascii="宋体" w:eastAsia="宋体" w:hAnsi="宋体" w:cs="宋体"/>
          <w:kern w:val="0"/>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sidRPr="00B83987">
        <w:rPr>
          <w:rFonts w:ascii="宋体" w:eastAsia="宋体" w:hAnsi="宋体" w:cs="宋体"/>
          <w:kern w:val="0"/>
          <w:sz w:val="32"/>
          <w:szCs w:val="32"/>
        </w:rPr>
        <w:t> </w:t>
      </w:r>
    </w:p>
    <w:p w14:paraId="1BE0CF9B"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w:t>
      </w:r>
    </w:p>
    <w:p w14:paraId="1A891F10"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xml:space="preserve">　　</w:t>
      </w:r>
    </w:p>
    <w:p w14:paraId="197973AB"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第二部分：</w:t>
      </w:r>
    </w:p>
    <w:p w14:paraId="63572C34"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w:t>
      </w:r>
    </w:p>
    <w:p w14:paraId="2247B2DD"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xml:space="preserve">　　</w:t>
      </w:r>
    </w:p>
    <w:p w14:paraId="33A5984F" w14:textId="77777777" w:rsidR="00B83987" w:rsidRPr="00B83987" w:rsidRDefault="00B83987" w:rsidP="00B83987">
      <w:pPr>
        <w:widowControl/>
        <w:jc w:val="center"/>
        <w:rPr>
          <w:rFonts w:ascii="宋体" w:eastAsia="宋体" w:hAnsi="宋体" w:cs="宋体"/>
          <w:kern w:val="0"/>
          <w:sz w:val="24"/>
          <w:szCs w:val="24"/>
        </w:rPr>
      </w:pPr>
      <w:r w:rsidRPr="00B83987">
        <w:rPr>
          <w:rFonts w:ascii="宋体" w:eastAsia="宋体" w:hAnsi="宋体" w:cs="宋体"/>
          <w:kern w:val="0"/>
          <w:sz w:val="32"/>
          <w:szCs w:val="32"/>
        </w:rPr>
        <w:t xml:space="preserve">　</w:t>
      </w:r>
      <w:r w:rsidRPr="00B83987">
        <w:rPr>
          <w:rFonts w:ascii="宋体" w:eastAsia="宋体" w:hAnsi="宋体" w:cs="宋体"/>
          <w:b/>
          <w:bCs/>
          <w:kern w:val="0"/>
          <w:sz w:val="32"/>
          <w:szCs w:val="32"/>
        </w:rPr>
        <w:t xml:space="preserve">　部门预算公开的表格情况</w:t>
      </w:r>
    </w:p>
    <w:p w14:paraId="72D0E83C"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w:t>
      </w:r>
      <w:r w:rsidRPr="00B83987">
        <w:rPr>
          <w:rFonts w:ascii="宋体" w:eastAsia="宋体" w:hAnsi="宋体" w:cs="宋体"/>
          <w:kern w:val="0"/>
          <w:sz w:val="24"/>
          <w:szCs w:val="24"/>
        </w:rPr>
        <w:t xml:space="preserve"> </w:t>
      </w:r>
    </w:p>
    <w:p w14:paraId="536A4852"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w:t>
      </w:r>
    </w:p>
    <w:p w14:paraId="2F655BD0"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xml:space="preserve">　　</w:t>
      </w:r>
    </w:p>
    <w:p w14:paraId="5E80153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1、部门收支总体情况表</w:t>
      </w:r>
    </w:p>
    <w:p w14:paraId="72BB23AA"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2、部门收入总体情况表</w:t>
      </w:r>
    </w:p>
    <w:p w14:paraId="1054298C"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3、部门支出总体情况表</w:t>
      </w:r>
    </w:p>
    <w:p w14:paraId="07CA8BD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4、部门支出总表（按部门预算经济分类）</w:t>
      </w:r>
    </w:p>
    <w:p w14:paraId="0063A8DA"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lastRenderedPageBreak/>
        <w:t xml:space="preserve">　　5、部门支出总表（按政府预算经济分类）</w:t>
      </w:r>
    </w:p>
    <w:p w14:paraId="0A515C56"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6、省级基本支出预算明细表-工资福利支出（按部门预算经济分类）</w:t>
      </w:r>
    </w:p>
    <w:p w14:paraId="6E4FF80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7、省级基本支出预算明细表-工资福利支出（按政府预算经济分类）</w:t>
      </w:r>
    </w:p>
    <w:p w14:paraId="0CEA1F64"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8、省级基本支出预算明细表-商品和服务支出（按部门预算经济分类）</w:t>
      </w:r>
    </w:p>
    <w:p w14:paraId="0CC2EC37"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9、省级基本支出预算明细表-商品和服务支出（按政府预算经济分类）</w:t>
      </w:r>
    </w:p>
    <w:p w14:paraId="2CECA5E4"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10、省级基本支出预算明细表-对个人和家庭的补助（按部门预算经济分类）</w:t>
      </w:r>
    </w:p>
    <w:p w14:paraId="0DA4E03E"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11、省级基本支出预算明细表-对个人和家庭的补助（按政府预算经济分类）</w:t>
      </w:r>
    </w:p>
    <w:p w14:paraId="093B57C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12、财政拨款收支总体情况表</w:t>
      </w:r>
    </w:p>
    <w:p w14:paraId="44A36268"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13、一般公共预算支出情况表</w:t>
      </w:r>
    </w:p>
    <w:p w14:paraId="4B0305F3"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14、一般公共预算基本支出情况表</w:t>
      </w:r>
    </w:p>
    <w:p w14:paraId="4E0810C5"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15、一般公共预算省级基本支出预算明细表-工资福利支出（按部门预算经济分类）</w:t>
      </w:r>
    </w:p>
    <w:p w14:paraId="26783913"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16、一般公共预算省级基本支出预算明细表-工资福利支出（按政府预算经济分类）</w:t>
      </w:r>
    </w:p>
    <w:p w14:paraId="6D3249C5"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17、一般公共预算省级基本支出预算明细表-商品和服务支出（按部门预算经济分类）</w:t>
      </w:r>
    </w:p>
    <w:p w14:paraId="3D44E96D"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lastRenderedPageBreak/>
        <w:t xml:space="preserve">　　18、一般公共预算省级基本支出预算明细表-商品和服务支出（按政府预算经济分类）</w:t>
      </w:r>
    </w:p>
    <w:p w14:paraId="17BBD2F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19、一般公共预算省级基本支出预算明细表-对个人和家庭的补助（按部门预算经济分类）</w:t>
      </w:r>
    </w:p>
    <w:p w14:paraId="1B9820F3"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20、一般公共预算省级基本支出预算明细表-对个人和家庭的补助（按政府预算经济分类）</w:t>
      </w:r>
    </w:p>
    <w:p w14:paraId="3634C300"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21、政府性基金预算支出情况表（按部门预算经济分类）</w:t>
      </w:r>
    </w:p>
    <w:p w14:paraId="21299DBC"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22、政府性基金预算支出情况表（按政府预算经济分类）</w:t>
      </w:r>
    </w:p>
    <w:p w14:paraId="5494FAC1"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23、纳入专户管理的非税收入拨款预算分类汇总表（按部门预算经济分类）</w:t>
      </w:r>
    </w:p>
    <w:p w14:paraId="7264A690"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24、纳入专户管理的非税收入拨款预算分类汇总表（按政府预算经济分类）</w:t>
      </w:r>
    </w:p>
    <w:p w14:paraId="1A56C419"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25、一般公共预算拨款--经费拨款预算表（按部门预算经济分类）</w:t>
      </w:r>
    </w:p>
    <w:p w14:paraId="0DADA836"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26、一般公共预算拨款--经费拨款预算表（按政府预算经济分类）</w:t>
      </w:r>
    </w:p>
    <w:p w14:paraId="5A1ACAC6"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27、省级专项资金清单</w:t>
      </w:r>
    </w:p>
    <w:p w14:paraId="50E1FFBF"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28、一般公共预算“三公”经费预算表</w:t>
      </w:r>
    </w:p>
    <w:p w14:paraId="091D18DC"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29、项目支出绩效目标表</w:t>
      </w:r>
    </w:p>
    <w:p w14:paraId="3C4F5490" w14:textId="77777777" w:rsidR="00B83987" w:rsidRPr="00B83987" w:rsidRDefault="00B83987" w:rsidP="00B83987">
      <w:pPr>
        <w:widowControl/>
        <w:jc w:val="left"/>
        <w:rPr>
          <w:rFonts w:ascii="宋体" w:eastAsia="宋体" w:hAnsi="宋体" w:cs="宋体"/>
          <w:kern w:val="0"/>
          <w:sz w:val="24"/>
          <w:szCs w:val="24"/>
        </w:rPr>
      </w:pPr>
      <w:r w:rsidRPr="00B83987">
        <w:rPr>
          <w:rFonts w:ascii="宋体" w:eastAsia="宋体" w:hAnsi="宋体" w:cs="宋体"/>
          <w:kern w:val="0"/>
          <w:sz w:val="32"/>
          <w:szCs w:val="32"/>
        </w:rPr>
        <w:t xml:space="preserve">　　30、整体支出绩效目标表</w:t>
      </w:r>
      <w:r w:rsidRPr="00B83987">
        <w:rPr>
          <w:rFonts w:ascii="宋体" w:eastAsia="宋体" w:hAnsi="宋体" w:cs="宋体"/>
          <w:kern w:val="0"/>
          <w:sz w:val="32"/>
          <w:szCs w:val="32"/>
        </w:rPr>
        <w:t> </w:t>
      </w:r>
    </w:p>
    <w:p w14:paraId="4A6BEB55"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w:t>
      </w:r>
    </w:p>
    <w:p w14:paraId="292FFF9C" w14:textId="77777777" w:rsidR="00B83987" w:rsidRPr="00B83987" w:rsidRDefault="00B83987" w:rsidP="00B83987">
      <w:pPr>
        <w:widowControl/>
        <w:spacing w:before="100" w:beforeAutospacing="1" w:after="100" w:afterAutospacing="1"/>
        <w:jc w:val="left"/>
        <w:rPr>
          <w:rFonts w:ascii="宋体" w:eastAsia="宋体" w:hAnsi="宋体" w:cs="宋体"/>
          <w:kern w:val="0"/>
          <w:sz w:val="24"/>
          <w:szCs w:val="24"/>
        </w:rPr>
      </w:pPr>
      <w:r w:rsidRPr="00B83987">
        <w:rPr>
          <w:rFonts w:ascii="宋体" w:eastAsia="宋体" w:hAnsi="宋体" w:cs="宋体"/>
          <w:kern w:val="0"/>
          <w:sz w:val="32"/>
          <w:szCs w:val="32"/>
        </w:rPr>
        <w:t xml:space="preserve">　　</w:t>
      </w:r>
    </w:p>
    <w:p w14:paraId="7BB1875A" w14:textId="77777777" w:rsidR="00B83987" w:rsidRPr="00D920A4" w:rsidRDefault="00B83987"/>
    <w:sectPr w:rsidR="00B83987" w:rsidRPr="00D92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8958C" w14:textId="77777777" w:rsidR="00D65F3C" w:rsidRDefault="00D65F3C" w:rsidP="00D65F3C">
      <w:r>
        <w:separator/>
      </w:r>
    </w:p>
  </w:endnote>
  <w:endnote w:type="continuationSeparator" w:id="0">
    <w:p w14:paraId="02E835F6" w14:textId="77777777" w:rsidR="00D65F3C" w:rsidRDefault="00D65F3C" w:rsidP="00D6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483AE" w14:textId="77777777" w:rsidR="00D65F3C" w:rsidRDefault="00D65F3C" w:rsidP="00D65F3C">
      <w:r>
        <w:separator/>
      </w:r>
    </w:p>
  </w:footnote>
  <w:footnote w:type="continuationSeparator" w:id="0">
    <w:p w14:paraId="500B16C8" w14:textId="77777777" w:rsidR="00D65F3C" w:rsidRDefault="00D65F3C" w:rsidP="00D65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CA"/>
    <w:rsid w:val="00AD20CF"/>
    <w:rsid w:val="00B83987"/>
    <w:rsid w:val="00C669CA"/>
    <w:rsid w:val="00C7358F"/>
    <w:rsid w:val="00D65F3C"/>
    <w:rsid w:val="00D9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6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0A4"/>
    <w:rPr>
      <w:color w:val="0563C1" w:themeColor="hyperlink"/>
      <w:u w:val="single"/>
    </w:rPr>
  </w:style>
  <w:style w:type="character" w:customStyle="1" w:styleId="UnresolvedMention">
    <w:name w:val="Unresolved Mention"/>
    <w:basedOn w:val="a0"/>
    <w:uiPriority w:val="99"/>
    <w:semiHidden/>
    <w:unhideWhenUsed/>
    <w:rsid w:val="00D920A4"/>
    <w:rPr>
      <w:color w:val="605E5C"/>
      <w:shd w:val="clear" w:color="auto" w:fill="E1DFDD"/>
    </w:rPr>
  </w:style>
  <w:style w:type="paragraph" w:styleId="a4">
    <w:name w:val="Normal (Web)"/>
    <w:basedOn w:val="a"/>
    <w:uiPriority w:val="99"/>
    <w:semiHidden/>
    <w:unhideWhenUsed/>
    <w:rsid w:val="00B8398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65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65F3C"/>
    <w:rPr>
      <w:sz w:val="18"/>
      <w:szCs w:val="18"/>
    </w:rPr>
  </w:style>
  <w:style w:type="paragraph" w:styleId="a6">
    <w:name w:val="footer"/>
    <w:basedOn w:val="a"/>
    <w:link w:val="Char0"/>
    <w:uiPriority w:val="99"/>
    <w:unhideWhenUsed/>
    <w:rsid w:val="00D65F3C"/>
    <w:pPr>
      <w:tabs>
        <w:tab w:val="center" w:pos="4153"/>
        <w:tab w:val="right" w:pos="8306"/>
      </w:tabs>
      <w:snapToGrid w:val="0"/>
      <w:jc w:val="left"/>
    </w:pPr>
    <w:rPr>
      <w:sz w:val="18"/>
      <w:szCs w:val="18"/>
    </w:rPr>
  </w:style>
  <w:style w:type="character" w:customStyle="1" w:styleId="Char0">
    <w:name w:val="页脚 Char"/>
    <w:basedOn w:val="a0"/>
    <w:link w:val="a6"/>
    <w:uiPriority w:val="99"/>
    <w:rsid w:val="00D65F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0A4"/>
    <w:rPr>
      <w:color w:val="0563C1" w:themeColor="hyperlink"/>
      <w:u w:val="single"/>
    </w:rPr>
  </w:style>
  <w:style w:type="character" w:customStyle="1" w:styleId="UnresolvedMention">
    <w:name w:val="Unresolved Mention"/>
    <w:basedOn w:val="a0"/>
    <w:uiPriority w:val="99"/>
    <w:semiHidden/>
    <w:unhideWhenUsed/>
    <w:rsid w:val="00D920A4"/>
    <w:rPr>
      <w:color w:val="605E5C"/>
      <w:shd w:val="clear" w:color="auto" w:fill="E1DFDD"/>
    </w:rPr>
  </w:style>
  <w:style w:type="paragraph" w:styleId="a4">
    <w:name w:val="Normal (Web)"/>
    <w:basedOn w:val="a"/>
    <w:uiPriority w:val="99"/>
    <w:semiHidden/>
    <w:unhideWhenUsed/>
    <w:rsid w:val="00B8398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D65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65F3C"/>
    <w:rPr>
      <w:sz w:val="18"/>
      <w:szCs w:val="18"/>
    </w:rPr>
  </w:style>
  <w:style w:type="paragraph" w:styleId="a6">
    <w:name w:val="footer"/>
    <w:basedOn w:val="a"/>
    <w:link w:val="Char0"/>
    <w:uiPriority w:val="99"/>
    <w:unhideWhenUsed/>
    <w:rsid w:val="00D65F3C"/>
    <w:pPr>
      <w:tabs>
        <w:tab w:val="center" w:pos="4153"/>
        <w:tab w:val="right" w:pos="8306"/>
      </w:tabs>
      <w:snapToGrid w:val="0"/>
      <w:jc w:val="left"/>
    </w:pPr>
    <w:rPr>
      <w:sz w:val="18"/>
      <w:szCs w:val="18"/>
    </w:rPr>
  </w:style>
  <w:style w:type="character" w:customStyle="1" w:styleId="Char0">
    <w:name w:val="页脚 Char"/>
    <w:basedOn w:val="a0"/>
    <w:link w:val="a6"/>
    <w:uiPriority w:val="99"/>
    <w:rsid w:val="00D65F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60453">
      <w:bodyDiv w:val="1"/>
      <w:marLeft w:val="0"/>
      <w:marRight w:val="0"/>
      <w:marTop w:val="0"/>
      <w:marBottom w:val="0"/>
      <w:divBdr>
        <w:top w:val="none" w:sz="0" w:space="0" w:color="auto"/>
        <w:left w:val="none" w:sz="0" w:space="0" w:color="auto"/>
        <w:bottom w:val="none" w:sz="0" w:space="0" w:color="auto"/>
        <w:right w:val="none" w:sz="0" w:space="0" w:color="auto"/>
      </w:divBdr>
      <w:divsChild>
        <w:div w:id="947354052">
          <w:marLeft w:val="0"/>
          <w:marRight w:val="0"/>
          <w:marTop w:val="0"/>
          <w:marBottom w:val="0"/>
          <w:divBdr>
            <w:top w:val="none" w:sz="0" w:space="0" w:color="auto"/>
            <w:left w:val="none" w:sz="0" w:space="0" w:color="auto"/>
            <w:bottom w:val="none" w:sz="0" w:space="0" w:color="auto"/>
            <w:right w:val="none" w:sz="0" w:space="0" w:color="auto"/>
          </w:divBdr>
        </w:div>
        <w:div w:id="251282861">
          <w:marLeft w:val="0"/>
          <w:marRight w:val="0"/>
          <w:marTop w:val="0"/>
          <w:marBottom w:val="0"/>
          <w:divBdr>
            <w:top w:val="none" w:sz="0" w:space="0" w:color="auto"/>
            <w:left w:val="none" w:sz="0" w:space="0" w:color="auto"/>
            <w:bottom w:val="none" w:sz="0" w:space="0" w:color="auto"/>
            <w:right w:val="none" w:sz="0" w:space="0" w:color="auto"/>
          </w:divBdr>
        </w:div>
        <w:div w:id="153574834">
          <w:marLeft w:val="0"/>
          <w:marRight w:val="0"/>
          <w:marTop w:val="0"/>
          <w:marBottom w:val="0"/>
          <w:divBdr>
            <w:top w:val="none" w:sz="0" w:space="0" w:color="auto"/>
            <w:left w:val="none" w:sz="0" w:space="0" w:color="auto"/>
            <w:bottom w:val="none" w:sz="0" w:space="0" w:color="auto"/>
            <w:right w:val="none" w:sz="0" w:space="0" w:color="auto"/>
          </w:divBdr>
        </w:div>
        <w:div w:id="305404420">
          <w:marLeft w:val="0"/>
          <w:marRight w:val="0"/>
          <w:marTop w:val="0"/>
          <w:marBottom w:val="0"/>
          <w:divBdr>
            <w:top w:val="none" w:sz="0" w:space="0" w:color="auto"/>
            <w:left w:val="none" w:sz="0" w:space="0" w:color="auto"/>
            <w:bottom w:val="none" w:sz="0" w:space="0" w:color="auto"/>
            <w:right w:val="none" w:sz="0" w:space="0" w:color="auto"/>
          </w:divBdr>
        </w:div>
        <w:div w:id="318265986">
          <w:marLeft w:val="0"/>
          <w:marRight w:val="0"/>
          <w:marTop w:val="0"/>
          <w:marBottom w:val="0"/>
          <w:divBdr>
            <w:top w:val="none" w:sz="0" w:space="0" w:color="auto"/>
            <w:left w:val="none" w:sz="0" w:space="0" w:color="auto"/>
            <w:bottom w:val="none" w:sz="0" w:space="0" w:color="auto"/>
            <w:right w:val="none" w:sz="0" w:space="0" w:color="auto"/>
          </w:divBdr>
        </w:div>
        <w:div w:id="1167016664">
          <w:marLeft w:val="0"/>
          <w:marRight w:val="0"/>
          <w:marTop w:val="0"/>
          <w:marBottom w:val="0"/>
          <w:divBdr>
            <w:top w:val="none" w:sz="0" w:space="0" w:color="auto"/>
            <w:left w:val="none" w:sz="0" w:space="0" w:color="auto"/>
            <w:bottom w:val="none" w:sz="0" w:space="0" w:color="auto"/>
            <w:right w:val="none" w:sz="0" w:space="0" w:color="auto"/>
          </w:divBdr>
        </w:div>
        <w:div w:id="1901363185">
          <w:marLeft w:val="0"/>
          <w:marRight w:val="0"/>
          <w:marTop w:val="0"/>
          <w:marBottom w:val="0"/>
          <w:divBdr>
            <w:top w:val="none" w:sz="0" w:space="0" w:color="auto"/>
            <w:left w:val="none" w:sz="0" w:space="0" w:color="auto"/>
            <w:bottom w:val="none" w:sz="0" w:space="0" w:color="auto"/>
            <w:right w:val="none" w:sz="0" w:space="0" w:color="auto"/>
          </w:divBdr>
        </w:div>
        <w:div w:id="1909993702">
          <w:marLeft w:val="0"/>
          <w:marRight w:val="0"/>
          <w:marTop w:val="0"/>
          <w:marBottom w:val="0"/>
          <w:divBdr>
            <w:top w:val="none" w:sz="0" w:space="0" w:color="auto"/>
            <w:left w:val="none" w:sz="0" w:space="0" w:color="auto"/>
            <w:bottom w:val="none" w:sz="0" w:space="0" w:color="auto"/>
            <w:right w:val="none" w:sz="0" w:space="0" w:color="auto"/>
          </w:divBdr>
        </w:div>
        <w:div w:id="133259849">
          <w:marLeft w:val="0"/>
          <w:marRight w:val="0"/>
          <w:marTop w:val="0"/>
          <w:marBottom w:val="0"/>
          <w:divBdr>
            <w:top w:val="none" w:sz="0" w:space="0" w:color="auto"/>
            <w:left w:val="none" w:sz="0" w:space="0" w:color="auto"/>
            <w:bottom w:val="none" w:sz="0" w:space="0" w:color="auto"/>
            <w:right w:val="none" w:sz="0" w:space="0" w:color="auto"/>
          </w:divBdr>
        </w:div>
        <w:div w:id="484057030">
          <w:marLeft w:val="0"/>
          <w:marRight w:val="0"/>
          <w:marTop w:val="0"/>
          <w:marBottom w:val="0"/>
          <w:divBdr>
            <w:top w:val="none" w:sz="0" w:space="0" w:color="auto"/>
            <w:left w:val="none" w:sz="0" w:space="0" w:color="auto"/>
            <w:bottom w:val="none" w:sz="0" w:space="0" w:color="auto"/>
            <w:right w:val="none" w:sz="0" w:space="0" w:color="auto"/>
          </w:divBdr>
        </w:div>
        <w:div w:id="158471075">
          <w:marLeft w:val="0"/>
          <w:marRight w:val="0"/>
          <w:marTop w:val="0"/>
          <w:marBottom w:val="0"/>
          <w:divBdr>
            <w:top w:val="none" w:sz="0" w:space="0" w:color="auto"/>
            <w:left w:val="none" w:sz="0" w:space="0" w:color="auto"/>
            <w:bottom w:val="none" w:sz="0" w:space="0" w:color="auto"/>
            <w:right w:val="none" w:sz="0" w:space="0" w:color="auto"/>
          </w:divBdr>
        </w:div>
        <w:div w:id="1523516646">
          <w:marLeft w:val="0"/>
          <w:marRight w:val="0"/>
          <w:marTop w:val="0"/>
          <w:marBottom w:val="0"/>
          <w:divBdr>
            <w:top w:val="none" w:sz="0" w:space="0" w:color="auto"/>
            <w:left w:val="none" w:sz="0" w:space="0" w:color="auto"/>
            <w:bottom w:val="none" w:sz="0" w:space="0" w:color="auto"/>
            <w:right w:val="none" w:sz="0" w:space="0" w:color="auto"/>
          </w:divBdr>
        </w:div>
        <w:div w:id="28190278">
          <w:marLeft w:val="0"/>
          <w:marRight w:val="0"/>
          <w:marTop w:val="0"/>
          <w:marBottom w:val="0"/>
          <w:divBdr>
            <w:top w:val="none" w:sz="0" w:space="0" w:color="auto"/>
            <w:left w:val="none" w:sz="0" w:space="0" w:color="auto"/>
            <w:bottom w:val="none" w:sz="0" w:space="0" w:color="auto"/>
            <w:right w:val="none" w:sz="0" w:space="0" w:color="auto"/>
          </w:divBdr>
        </w:div>
        <w:div w:id="1801454508">
          <w:marLeft w:val="0"/>
          <w:marRight w:val="0"/>
          <w:marTop w:val="0"/>
          <w:marBottom w:val="0"/>
          <w:divBdr>
            <w:top w:val="none" w:sz="0" w:space="0" w:color="auto"/>
            <w:left w:val="none" w:sz="0" w:space="0" w:color="auto"/>
            <w:bottom w:val="none" w:sz="0" w:space="0" w:color="auto"/>
            <w:right w:val="none" w:sz="0" w:space="0" w:color="auto"/>
          </w:divBdr>
        </w:div>
        <w:div w:id="1563634904">
          <w:marLeft w:val="0"/>
          <w:marRight w:val="0"/>
          <w:marTop w:val="0"/>
          <w:marBottom w:val="0"/>
          <w:divBdr>
            <w:top w:val="none" w:sz="0" w:space="0" w:color="auto"/>
            <w:left w:val="none" w:sz="0" w:space="0" w:color="auto"/>
            <w:bottom w:val="none" w:sz="0" w:space="0" w:color="auto"/>
            <w:right w:val="none" w:sz="0" w:space="0" w:color="auto"/>
          </w:divBdr>
        </w:div>
        <w:div w:id="2130198962">
          <w:marLeft w:val="0"/>
          <w:marRight w:val="0"/>
          <w:marTop w:val="0"/>
          <w:marBottom w:val="0"/>
          <w:divBdr>
            <w:top w:val="none" w:sz="0" w:space="0" w:color="auto"/>
            <w:left w:val="none" w:sz="0" w:space="0" w:color="auto"/>
            <w:bottom w:val="none" w:sz="0" w:space="0" w:color="auto"/>
            <w:right w:val="none" w:sz="0" w:space="0" w:color="auto"/>
          </w:divBdr>
        </w:div>
        <w:div w:id="1995911732">
          <w:marLeft w:val="0"/>
          <w:marRight w:val="0"/>
          <w:marTop w:val="0"/>
          <w:marBottom w:val="0"/>
          <w:divBdr>
            <w:top w:val="none" w:sz="0" w:space="0" w:color="auto"/>
            <w:left w:val="none" w:sz="0" w:space="0" w:color="auto"/>
            <w:bottom w:val="none" w:sz="0" w:space="0" w:color="auto"/>
            <w:right w:val="none" w:sz="0" w:space="0" w:color="auto"/>
          </w:divBdr>
        </w:div>
        <w:div w:id="498620844">
          <w:marLeft w:val="0"/>
          <w:marRight w:val="0"/>
          <w:marTop w:val="0"/>
          <w:marBottom w:val="0"/>
          <w:divBdr>
            <w:top w:val="none" w:sz="0" w:space="0" w:color="auto"/>
            <w:left w:val="none" w:sz="0" w:space="0" w:color="auto"/>
            <w:bottom w:val="none" w:sz="0" w:space="0" w:color="auto"/>
            <w:right w:val="none" w:sz="0" w:space="0" w:color="auto"/>
          </w:divBdr>
        </w:div>
        <w:div w:id="890925583">
          <w:marLeft w:val="0"/>
          <w:marRight w:val="0"/>
          <w:marTop w:val="0"/>
          <w:marBottom w:val="0"/>
          <w:divBdr>
            <w:top w:val="none" w:sz="0" w:space="0" w:color="auto"/>
            <w:left w:val="none" w:sz="0" w:space="0" w:color="auto"/>
            <w:bottom w:val="none" w:sz="0" w:space="0" w:color="auto"/>
            <w:right w:val="none" w:sz="0" w:space="0" w:color="auto"/>
          </w:divBdr>
        </w:div>
        <w:div w:id="1225331855">
          <w:marLeft w:val="0"/>
          <w:marRight w:val="0"/>
          <w:marTop w:val="0"/>
          <w:marBottom w:val="0"/>
          <w:divBdr>
            <w:top w:val="none" w:sz="0" w:space="0" w:color="auto"/>
            <w:left w:val="none" w:sz="0" w:space="0" w:color="auto"/>
            <w:bottom w:val="none" w:sz="0" w:space="0" w:color="auto"/>
            <w:right w:val="none" w:sz="0" w:space="0" w:color="auto"/>
          </w:divBdr>
        </w:div>
        <w:div w:id="974675126">
          <w:marLeft w:val="0"/>
          <w:marRight w:val="0"/>
          <w:marTop w:val="0"/>
          <w:marBottom w:val="0"/>
          <w:divBdr>
            <w:top w:val="none" w:sz="0" w:space="0" w:color="auto"/>
            <w:left w:val="none" w:sz="0" w:space="0" w:color="auto"/>
            <w:bottom w:val="none" w:sz="0" w:space="0" w:color="auto"/>
            <w:right w:val="none" w:sz="0" w:space="0" w:color="auto"/>
          </w:divBdr>
        </w:div>
        <w:div w:id="1631205060">
          <w:marLeft w:val="0"/>
          <w:marRight w:val="0"/>
          <w:marTop w:val="0"/>
          <w:marBottom w:val="0"/>
          <w:divBdr>
            <w:top w:val="none" w:sz="0" w:space="0" w:color="auto"/>
            <w:left w:val="none" w:sz="0" w:space="0" w:color="auto"/>
            <w:bottom w:val="none" w:sz="0" w:space="0" w:color="auto"/>
            <w:right w:val="none" w:sz="0" w:space="0" w:color="auto"/>
          </w:divBdr>
        </w:div>
        <w:div w:id="51926693">
          <w:marLeft w:val="0"/>
          <w:marRight w:val="0"/>
          <w:marTop w:val="0"/>
          <w:marBottom w:val="0"/>
          <w:divBdr>
            <w:top w:val="none" w:sz="0" w:space="0" w:color="auto"/>
            <w:left w:val="none" w:sz="0" w:space="0" w:color="auto"/>
            <w:bottom w:val="none" w:sz="0" w:space="0" w:color="auto"/>
            <w:right w:val="none" w:sz="0" w:space="0" w:color="auto"/>
          </w:divBdr>
        </w:div>
        <w:div w:id="589044659">
          <w:marLeft w:val="0"/>
          <w:marRight w:val="0"/>
          <w:marTop w:val="0"/>
          <w:marBottom w:val="0"/>
          <w:divBdr>
            <w:top w:val="none" w:sz="0" w:space="0" w:color="auto"/>
            <w:left w:val="none" w:sz="0" w:space="0" w:color="auto"/>
            <w:bottom w:val="none" w:sz="0" w:space="0" w:color="auto"/>
            <w:right w:val="none" w:sz="0" w:space="0" w:color="auto"/>
          </w:divBdr>
        </w:div>
        <w:div w:id="744650463">
          <w:marLeft w:val="0"/>
          <w:marRight w:val="0"/>
          <w:marTop w:val="0"/>
          <w:marBottom w:val="0"/>
          <w:divBdr>
            <w:top w:val="none" w:sz="0" w:space="0" w:color="auto"/>
            <w:left w:val="none" w:sz="0" w:space="0" w:color="auto"/>
            <w:bottom w:val="none" w:sz="0" w:space="0" w:color="auto"/>
            <w:right w:val="none" w:sz="0" w:space="0" w:color="auto"/>
          </w:divBdr>
        </w:div>
        <w:div w:id="2063139184">
          <w:marLeft w:val="0"/>
          <w:marRight w:val="0"/>
          <w:marTop w:val="0"/>
          <w:marBottom w:val="0"/>
          <w:divBdr>
            <w:top w:val="none" w:sz="0" w:space="0" w:color="auto"/>
            <w:left w:val="none" w:sz="0" w:space="0" w:color="auto"/>
            <w:bottom w:val="none" w:sz="0" w:space="0" w:color="auto"/>
            <w:right w:val="none" w:sz="0" w:space="0" w:color="auto"/>
          </w:divBdr>
        </w:div>
        <w:div w:id="825125301">
          <w:marLeft w:val="0"/>
          <w:marRight w:val="0"/>
          <w:marTop w:val="0"/>
          <w:marBottom w:val="0"/>
          <w:divBdr>
            <w:top w:val="none" w:sz="0" w:space="0" w:color="auto"/>
            <w:left w:val="none" w:sz="0" w:space="0" w:color="auto"/>
            <w:bottom w:val="none" w:sz="0" w:space="0" w:color="auto"/>
            <w:right w:val="none" w:sz="0" w:space="0" w:color="auto"/>
          </w:divBdr>
        </w:div>
        <w:div w:id="1575116464">
          <w:marLeft w:val="0"/>
          <w:marRight w:val="0"/>
          <w:marTop w:val="0"/>
          <w:marBottom w:val="0"/>
          <w:divBdr>
            <w:top w:val="none" w:sz="0" w:space="0" w:color="auto"/>
            <w:left w:val="none" w:sz="0" w:space="0" w:color="auto"/>
            <w:bottom w:val="none" w:sz="0" w:space="0" w:color="auto"/>
            <w:right w:val="none" w:sz="0" w:space="0" w:color="auto"/>
          </w:divBdr>
        </w:div>
        <w:div w:id="927543383">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878519251">
          <w:marLeft w:val="0"/>
          <w:marRight w:val="0"/>
          <w:marTop w:val="0"/>
          <w:marBottom w:val="0"/>
          <w:divBdr>
            <w:top w:val="none" w:sz="0" w:space="0" w:color="auto"/>
            <w:left w:val="none" w:sz="0" w:space="0" w:color="auto"/>
            <w:bottom w:val="none" w:sz="0" w:space="0" w:color="auto"/>
            <w:right w:val="none" w:sz="0" w:space="0" w:color="auto"/>
          </w:divBdr>
        </w:div>
        <w:div w:id="1741976021">
          <w:marLeft w:val="0"/>
          <w:marRight w:val="0"/>
          <w:marTop w:val="0"/>
          <w:marBottom w:val="0"/>
          <w:divBdr>
            <w:top w:val="none" w:sz="0" w:space="0" w:color="auto"/>
            <w:left w:val="none" w:sz="0" w:space="0" w:color="auto"/>
            <w:bottom w:val="none" w:sz="0" w:space="0" w:color="auto"/>
            <w:right w:val="none" w:sz="0" w:space="0" w:color="auto"/>
          </w:divBdr>
        </w:div>
        <w:div w:id="699281016">
          <w:marLeft w:val="0"/>
          <w:marRight w:val="0"/>
          <w:marTop w:val="0"/>
          <w:marBottom w:val="0"/>
          <w:divBdr>
            <w:top w:val="none" w:sz="0" w:space="0" w:color="auto"/>
            <w:left w:val="none" w:sz="0" w:space="0" w:color="auto"/>
            <w:bottom w:val="none" w:sz="0" w:space="0" w:color="auto"/>
            <w:right w:val="none" w:sz="0" w:space="0" w:color="auto"/>
          </w:divBdr>
        </w:div>
        <w:div w:id="1362901399">
          <w:marLeft w:val="0"/>
          <w:marRight w:val="0"/>
          <w:marTop w:val="0"/>
          <w:marBottom w:val="0"/>
          <w:divBdr>
            <w:top w:val="none" w:sz="0" w:space="0" w:color="auto"/>
            <w:left w:val="none" w:sz="0" w:space="0" w:color="auto"/>
            <w:bottom w:val="none" w:sz="0" w:space="0" w:color="auto"/>
            <w:right w:val="none" w:sz="0" w:space="0" w:color="auto"/>
          </w:divBdr>
        </w:div>
        <w:div w:id="2129353106">
          <w:marLeft w:val="0"/>
          <w:marRight w:val="0"/>
          <w:marTop w:val="0"/>
          <w:marBottom w:val="0"/>
          <w:divBdr>
            <w:top w:val="none" w:sz="0" w:space="0" w:color="auto"/>
            <w:left w:val="none" w:sz="0" w:space="0" w:color="auto"/>
            <w:bottom w:val="none" w:sz="0" w:space="0" w:color="auto"/>
            <w:right w:val="none" w:sz="0" w:space="0" w:color="auto"/>
          </w:divBdr>
        </w:div>
        <w:div w:id="1625237840">
          <w:marLeft w:val="0"/>
          <w:marRight w:val="0"/>
          <w:marTop w:val="0"/>
          <w:marBottom w:val="0"/>
          <w:divBdr>
            <w:top w:val="none" w:sz="0" w:space="0" w:color="auto"/>
            <w:left w:val="none" w:sz="0" w:space="0" w:color="auto"/>
            <w:bottom w:val="none" w:sz="0" w:space="0" w:color="auto"/>
            <w:right w:val="none" w:sz="0" w:space="0" w:color="auto"/>
          </w:divBdr>
        </w:div>
        <w:div w:id="2141536367">
          <w:marLeft w:val="0"/>
          <w:marRight w:val="0"/>
          <w:marTop w:val="0"/>
          <w:marBottom w:val="0"/>
          <w:divBdr>
            <w:top w:val="none" w:sz="0" w:space="0" w:color="auto"/>
            <w:left w:val="none" w:sz="0" w:space="0" w:color="auto"/>
            <w:bottom w:val="none" w:sz="0" w:space="0" w:color="auto"/>
            <w:right w:val="none" w:sz="0" w:space="0" w:color="auto"/>
          </w:divBdr>
        </w:div>
        <w:div w:id="58095902">
          <w:marLeft w:val="0"/>
          <w:marRight w:val="0"/>
          <w:marTop w:val="0"/>
          <w:marBottom w:val="0"/>
          <w:divBdr>
            <w:top w:val="none" w:sz="0" w:space="0" w:color="auto"/>
            <w:left w:val="none" w:sz="0" w:space="0" w:color="auto"/>
            <w:bottom w:val="none" w:sz="0" w:space="0" w:color="auto"/>
            <w:right w:val="none" w:sz="0" w:space="0" w:color="auto"/>
          </w:divBdr>
        </w:div>
        <w:div w:id="523252878">
          <w:marLeft w:val="0"/>
          <w:marRight w:val="0"/>
          <w:marTop w:val="0"/>
          <w:marBottom w:val="0"/>
          <w:divBdr>
            <w:top w:val="none" w:sz="0" w:space="0" w:color="auto"/>
            <w:left w:val="none" w:sz="0" w:space="0" w:color="auto"/>
            <w:bottom w:val="none" w:sz="0" w:space="0" w:color="auto"/>
            <w:right w:val="none" w:sz="0" w:space="0" w:color="auto"/>
          </w:divBdr>
        </w:div>
        <w:div w:id="1013192532">
          <w:marLeft w:val="0"/>
          <w:marRight w:val="0"/>
          <w:marTop w:val="0"/>
          <w:marBottom w:val="0"/>
          <w:divBdr>
            <w:top w:val="none" w:sz="0" w:space="0" w:color="auto"/>
            <w:left w:val="none" w:sz="0" w:space="0" w:color="auto"/>
            <w:bottom w:val="none" w:sz="0" w:space="0" w:color="auto"/>
            <w:right w:val="none" w:sz="0" w:space="0" w:color="auto"/>
          </w:divBdr>
        </w:div>
        <w:div w:id="1995526906">
          <w:marLeft w:val="0"/>
          <w:marRight w:val="0"/>
          <w:marTop w:val="0"/>
          <w:marBottom w:val="0"/>
          <w:divBdr>
            <w:top w:val="none" w:sz="0" w:space="0" w:color="auto"/>
            <w:left w:val="none" w:sz="0" w:space="0" w:color="auto"/>
            <w:bottom w:val="none" w:sz="0" w:space="0" w:color="auto"/>
            <w:right w:val="none" w:sz="0" w:space="0" w:color="auto"/>
          </w:divBdr>
        </w:div>
        <w:div w:id="1947732286">
          <w:marLeft w:val="0"/>
          <w:marRight w:val="0"/>
          <w:marTop w:val="0"/>
          <w:marBottom w:val="0"/>
          <w:divBdr>
            <w:top w:val="none" w:sz="0" w:space="0" w:color="auto"/>
            <w:left w:val="none" w:sz="0" w:space="0" w:color="auto"/>
            <w:bottom w:val="none" w:sz="0" w:space="0" w:color="auto"/>
            <w:right w:val="none" w:sz="0" w:space="0" w:color="auto"/>
          </w:divBdr>
        </w:div>
        <w:div w:id="546995520">
          <w:marLeft w:val="0"/>
          <w:marRight w:val="0"/>
          <w:marTop w:val="0"/>
          <w:marBottom w:val="0"/>
          <w:divBdr>
            <w:top w:val="none" w:sz="0" w:space="0" w:color="auto"/>
            <w:left w:val="none" w:sz="0" w:space="0" w:color="auto"/>
            <w:bottom w:val="none" w:sz="0" w:space="0" w:color="auto"/>
            <w:right w:val="none" w:sz="0" w:space="0" w:color="auto"/>
          </w:divBdr>
        </w:div>
        <w:div w:id="456682095">
          <w:marLeft w:val="0"/>
          <w:marRight w:val="0"/>
          <w:marTop w:val="0"/>
          <w:marBottom w:val="0"/>
          <w:divBdr>
            <w:top w:val="none" w:sz="0" w:space="0" w:color="auto"/>
            <w:left w:val="none" w:sz="0" w:space="0" w:color="auto"/>
            <w:bottom w:val="none" w:sz="0" w:space="0" w:color="auto"/>
            <w:right w:val="none" w:sz="0" w:space="0" w:color="auto"/>
          </w:divBdr>
        </w:div>
        <w:div w:id="1286887792">
          <w:marLeft w:val="0"/>
          <w:marRight w:val="0"/>
          <w:marTop w:val="0"/>
          <w:marBottom w:val="0"/>
          <w:divBdr>
            <w:top w:val="none" w:sz="0" w:space="0" w:color="auto"/>
            <w:left w:val="none" w:sz="0" w:space="0" w:color="auto"/>
            <w:bottom w:val="none" w:sz="0" w:space="0" w:color="auto"/>
            <w:right w:val="none" w:sz="0" w:space="0" w:color="auto"/>
          </w:divBdr>
        </w:div>
        <w:div w:id="1304120748">
          <w:marLeft w:val="0"/>
          <w:marRight w:val="0"/>
          <w:marTop w:val="0"/>
          <w:marBottom w:val="0"/>
          <w:divBdr>
            <w:top w:val="none" w:sz="0" w:space="0" w:color="auto"/>
            <w:left w:val="none" w:sz="0" w:space="0" w:color="auto"/>
            <w:bottom w:val="none" w:sz="0" w:space="0" w:color="auto"/>
            <w:right w:val="none" w:sz="0" w:space="0" w:color="auto"/>
          </w:divBdr>
        </w:div>
        <w:div w:id="1785032912">
          <w:marLeft w:val="0"/>
          <w:marRight w:val="0"/>
          <w:marTop w:val="0"/>
          <w:marBottom w:val="0"/>
          <w:divBdr>
            <w:top w:val="none" w:sz="0" w:space="0" w:color="auto"/>
            <w:left w:val="none" w:sz="0" w:space="0" w:color="auto"/>
            <w:bottom w:val="none" w:sz="0" w:space="0" w:color="auto"/>
            <w:right w:val="none" w:sz="0" w:space="0" w:color="auto"/>
          </w:divBdr>
        </w:div>
        <w:div w:id="2143844793">
          <w:marLeft w:val="0"/>
          <w:marRight w:val="0"/>
          <w:marTop w:val="0"/>
          <w:marBottom w:val="0"/>
          <w:divBdr>
            <w:top w:val="none" w:sz="0" w:space="0" w:color="auto"/>
            <w:left w:val="none" w:sz="0" w:space="0" w:color="auto"/>
            <w:bottom w:val="none" w:sz="0" w:space="0" w:color="auto"/>
            <w:right w:val="none" w:sz="0" w:space="0" w:color="auto"/>
          </w:divBdr>
        </w:div>
        <w:div w:id="1751805257">
          <w:marLeft w:val="0"/>
          <w:marRight w:val="0"/>
          <w:marTop w:val="0"/>
          <w:marBottom w:val="0"/>
          <w:divBdr>
            <w:top w:val="none" w:sz="0" w:space="0" w:color="auto"/>
            <w:left w:val="none" w:sz="0" w:space="0" w:color="auto"/>
            <w:bottom w:val="none" w:sz="0" w:space="0" w:color="auto"/>
            <w:right w:val="none" w:sz="0" w:space="0" w:color="auto"/>
          </w:divBdr>
        </w:div>
        <w:div w:id="1120104378">
          <w:marLeft w:val="0"/>
          <w:marRight w:val="0"/>
          <w:marTop w:val="0"/>
          <w:marBottom w:val="0"/>
          <w:divBdr>
            <w:top w:val="none" w:sz="0" w:space="0" w:color="auto"/>
            <w:left w:val="none" w:sz="0" w:space="0" w:color="auto"/>
            <w:bottom w:val="none" w:sz="0" w:space="0" w:color="auto"/>
            <w:right w:val="none" w:sz="0" w:space="0" w:color="auto"/>
          </w:divBdr>
        </w:div>
        <w:div w:id="1622884733">
          <w:marLeft w:val="0"/>
          <w:marRight w:val="0"/>
          <w:marTop w:val="0"/>
          <w:marBottom w:val="0"/>
          <w:divBdr>
            <w:top w:val="none" w:sz="0" w:space="0" w:color="auto"/>
            <w:left w:val="none" w:sz="0" w:space="0" w:color="auto"/>
            <w:bottom w:val="none" w:sz="0" w:space="0" w:color="auto"/>
            <w:right w:val="none" w:sz="0" w:space="0" w:color="auto"/>
          </w:divBdr>
        </w:div>
        <w:div w:id="2109040771">
          <w:marLeft w:val="0"/>
          <w:marRight w:val="0"/>
          <w:marTop w:val="0"/>
          <w:marBottom w:val="0"/>
          <w:divBdr>
            <w:top w:val="none" w:sz="0" w:space="0" w:color="auto"/>
            <w:left w:val="none" w:sz="0" w:space="0" w:color="auto"/>
            <w:bottom w:val="none" w:sz="0" w:space="0" w:color="auto"/>
            <w:right w:val="none" w:sz="0" w:space="0" w:color="auto"/>
          </w:divBdr>
        </w:div>
        <w:div w:id="2135824254">
          <w:marLeft w:val="0"/>
          <w:marRight w:val="0"/>
          <w:marTop w:val="0"/>
          <w:marBottom w:val="0"/>
          <w:divBdr>
            <w:top w:val="none" w:sz="0" w:space="0" w:color="auto"/>
            <w:left w:val="none" w:sz="0" w:space="0" w:color="auto"/>
            <w:bottom w:val="none" w:sz="0" w:space="0" w:color="auto"/>
            <w:right w:val="none" w:sz="0" w:space="0" w:color="auto"/>
          </w:divBdr>
        </w:div>
        <w:div w:id="1295215386">
          <w:marLeft w:val="0"/>
          <w:marRight w:val="0"/>
          <w:marTop w:val="0"/>
          <w:marBottom w:val="0"/>
          <w:divBdr>
            <w:top w:val="none" w:sz="0" w:space="0" w:color="auto"/>
            <w:left w:val="none" w:sz="0" w:space="0" w:color="auto"/>
            <w:bottom w:val="none" w:sz="0" w:space="0" w:color="auto"/>
            <w:right w:val="none" w:sz="0" w:space="0" w:color="auto"/>
          </w:divBdr>
        </w:div>
        <w:div w:id="1632397090">
          <w:marLeft w:val="0"/>
          <w:marRight w:val="0"/>
          <w:marTop w:val="0"/>
          <w:marBottom w:val="0"/>
          <w:divBdr>
            <w:top w:val="none" w:sz="0" w:space="0" w:color="auto"/>
            <w:left w:val="none" w:sz="0" w:space="0" w:color="auto"/>
            <w:bottom w:val="none" w:sz="0" w:space="0" w:color="auto"/>
            <w:right w:val="none" w:sz="0" w:space="0" w:color="auto"/>
          </w:divBdr>
        </w:div>
        <w:div w:id="975570355">
          <w:marLeft w:val="0"/>
          <w:marRight w:val="0"/>
          <w:marTop w:val="0"/>
          <w:marBottom w:val="0"/>
          <w:divBdr>
            <w:top w:val="none" w:sz="0" w:space="0" w:color="auto"/>
            <w:left w:val="none" w:sz="0" w:space="0" w:color="auto"/>
            <w:bottom w:val="none" w:sz="0" w:space="0" w:color="auto"/>
            <w:right w:val="none" w:sz="0" w:space="0" w:color="auto"/>
          </w:divBdr>
        </w:div>
        <w:div w:id="1055355322">
          <w:marLeft w:val="0"/>
          <w:marRight w:val="0"/>
          <w:marTop w:val="0"/>
          <w:marBottom w:val="0"/>
          <w:divBdr>
            <w:top w:val="none" w:sz="0" w:space="0" w:color="auto"/>
            <w:left w:val="none" w:sz="0" w:space="0" w:color="auto"/>
            <w:bottom w:val="none" w:sz="0" w:space="0" w:color="auto"/>
            <w:right w:val="none" w:sz="0" w:space="0" w:color="auto"/>
          </w:divBdr>
        </w:div>
        <w:div w:id="529416346">
          <w:marLeft w:val="0"/>
          <w:marRight w:val="0"/>
          <w:marTop w:val="0"/>
          <w:marBottom w:val="0"/>
          <w:divBdr>
            <w:top w:val="none" w:sz="0" w:space="0" w:color="auto"/>
            <w:left w:val="none" w:sz="0" w:space="0" w:color="auto"/>
            <w:bottom w:val="none" w:sz="0" w:space="0" w:color="auto"/>
            <w:right w:val="none" w:sz="0" w:space="0" w:color="auto"/>
          </w:divBdr>
        </w:div>
        <w:div w:id="1605650327">
          <w:marLeft w:val="0"/>
          <w:marRight w:val="0"/>
          <w:marTop w:val="0"/>
          <w:marBottom w:val="0"/>
          <w:divBdr>
            <w:top w:val="none" w:sz="0" w:space="0" w:color="auto"/>
            <w:left w:val="none" w:sz="0" w:space="0" w:color="auto"/>
            <w:bottom w:val="none" w:sz="0" w:space="0" w:color="auto"/>
            <w:right w:val="none" w:sz="0" w:space="0" w:color="auto"/>
          </w:divBdr>
        </w:div>
        <w:div w:id="15040511">
          <w:marLeft w:val="0"/>
          <w:marRight w:val="0"/>
          <w:marTop w:val="0"/>
          <w:marBottom w:val="0"/>
          <w:divBdr>
            <w:top w:val="none" w:sz="0" w:space="0" w:color="auto"/>
            <w:left w:val="none" w:sz="0" w:space="0" w:color="auto"/>
            <w:bottom w:val="none" w:sz="0" w:space="0" w:color="auto"/>
            <w:right w:val="none" w:sz="0" w:space="0" w:color="auto"/>
          </w:divBdr>
        </w:div>
        <w:div w:id="393163492">
          <w:marLeft w:val="0"/>
          <w:marRight w:val="0"/>
          <w:marTop w:val="0"/>
          <w:marBottom w:val="0"/>
          <w:divBdr>
            <w:top w:val="none" w:sz="0" w:space="0" w:color="auto"/>
            <w:left w:val="none" w:sz="0" w:space="0" w:color="auto"/>
            <w:bottom w:val="none" w:sz="0" w:space="0" w:color="auto"/>
            <w:right w:val="none" w:sz="0" w:space="0" w:color="auto"/>
          </w:divBdr>
        </w:div>
        <w:div w:id="2109692517">
          <w:marLeft w:val="0"/>
          <w:marRight w:val="0"/>
          <w:marTop w:val="0"/>
          <w:marBottom w:val="0"/>
          <w:divBdr>
            <w:top w:val="none" w:sz="0" w:space="0" w:color="auto"/>
            <w:left w:val="none" w:sz="0" w:space="0" w:color="auto"/>
            <w:bottom w:val="none" w:sz="0" w:space="0" w:color="auto"/>
            <w:right w:val="none" w:sz="0" w:space="0" w:color="auto"/>
          </w:divBdr>
        </w:div>
        <w:div w:id="1863015332">
          <w:marLeft w:val="0"/>
          <w:marRight w:val="0"/>
          <w:marTop w:val="0"/>
          <w:marBottom w:val="0"/>
          <w:divBdr>
            <w:top w:val="none" w:sz="0" w:space="0" w:color="auto"/>
            <w:left w:val="none" w:sz="0" w:space="0" w:color="auto"/>
            <w:bottom w:val="none" w:sz="0" w:space="0" w:color="auto"/>
            <w:right w:val="none" w:sz="0" w:space="0" w:color="auto"/>
          </w:divBdr>
        </w:div>
        <w:div w:id="1095052572">
          <w:marLeft w:val="0"/>
          <w:marRight w:val="0"/>
          <w:marTop w:val="0"/>
          <w:marBottom w:val="0"/>
          <w:divBdr>
            <w:top w:val="none" w:sz="0" w:space="0" w:color="auto"/>
            <w:left w:val="none" w:sz="0" w:space="0" w:color="auto"/>
            <w:bottom w:val="none" w:sz="0" w:space="0" w:color="auto"/>
            <w:right w:val="none" w:sz="0" w:space="0" w:color="auto"/>
          </w:divBdr>
        </w:div>
        <w:div w:id="72865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jrc</dc:creator>
  <cp:keywords/>
  <dc:description/>
  <cp:lastModifiedBy>曹雪平[综合岗位] null</cp:lastModifiedBy>
  <cp:revision>5</cp:revision>
  <dcterms:created xsi:type="dcterms:W3CDTF">2021-06-29T02:23:00Z</dcterms:created>
  <dcterms:modified xsi:type="dcterms:W3CDTF">2021-06-29T02:42:00Z</dcterms:modified>
</cp:coreProperties>
</file>