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《湖南省省直单位政府投资信息化项目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eastAsia="zh-CN"/>
        </w:rPr>
        <w:t>预算编制与财政评审工作指南（试行）》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56"/>
          <w:szCs w:val="5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56"/>
          <w:szCs w:val="56"/>
          <w:lang w:eastAsia="zh-CN"/>
        </w:rPr>
        <w:t>案</w:t>
      </w:r>
      <w:r>
        <w:rPr>
          <w:rFonts w:hint="eastAsia" w:ascii="方正大标宋简体" w:hAnsi="方正大标宋简体" w:eastAsia="方正大标宋简体" w:cs="方正大标宋简体"/>
          <w:color w:val="auto"/>
          <w:sz w:val="56"/>
          <w:szCs w:val="56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color w:val="auto"/>
          <w:sz w:val="56"/>
          <w:szCs w:val="56"/>
          <w:lang w:eastAsia="zh-CN"/>
        </w:rPr>
        <w:t>例</w:t>
      </w:r>
    </w:p>
    <w:p>
      <w:pPr>
        <w:rPr>
          <w:rFonts w:hint="eastAsia"/>
          <w:color w:val="auto"/>
          <w:lang w:eastAsia="zh-CN"/>
        </w:rPr>
      </w:pPr>
      <w:bookmarkStart w:id="35" w:name="_GoBack"/>
      <w:bookmarkEnd w:id="35"/>
    </w:p>
    <w:p>
      <w:pPr>
        <w:pStyle w:val="3"/>
        <w:bidi w:val="0"/>
        <w:jc w:val="center"/>
        <w:rPr>
          <w:rFonts w:hint="eastAsia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6"/>
          <w:szCs w:val="36"/>
          <w:lang w:eastAsia="zh-CN"/>
        </w:rPr>
        <w:t>案</w:t>
      </w:r>
      <w:r>
        <w:rPr>
          <w:rFonts w:hint="eastAsia"/>
          <w:b w:val="0"/>
          <w:bCs w:val="0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36"/>
          <w:szCs w:val="36"/>
          <w:lang w:eastAsia="zh-CN"/>
        </w:rPr>
        <w:t>例</w:t>
      </w:r>
      <w:r>
        <w:rPr>
          <w:rFonts w:hint="eastAsia"/>
          <w:b w:val="0"/>
          <w:bCs w:val="0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sz w:val="36"/>
          <w:szCs w:val="36"/>
          <w:lang w:eastAsia="zh-CN"/>
        </w:rPr>
        <w:t>一</w:t>
      </w:r>
    </w:p>
    <w:p>
      <w:pPr>
        <w:pStyle w:val="3"/>
        <w:bidi w:val="0"/>
        <w:jc w:val="center"/>
        <w:rPr>
          <w:rFonts w:hint="eastAsia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/>
          <w:b w:val="0"/>
          <w:bCs w:val="0"/>
          <w:color w:val="auto"/>
          <w:sz w:val="44"/>
          <w:szCs w:val="44"/>
          <w:lang w:eastAsia="zh-CN"/>
        </w:rPr>
        <w:t>项目建设费用预算编制</w:t>
      </w:r>
    </w:p>
    <w:p>
      <w:pPr>
        <w:rPr>
          <w:rFonts w:hint="eastAsia"/>
          <w:color w:val="auto"/>
          <w:lang w:eastAsia="zh-CN"/>
        </w:rPr>
      </w:pPr>
    </w:p>
    <w:p>
      <w:pPr>
        <w:overflowPunct w:val="0"/>
        <w:spacing w:beforeLines="0" w:afterLines="0" w:line="600" w:lineRule="exact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44"/>
          <w:szCs w:val="44"/>
          <w:lang w:eastAsia="zh-CN"/>
        </w:rPr>
        <w:t>一、项目送审内容</w:t>
      </w:r>
    </w:p>
    <w:p>
      <w:pPr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（一）项目基本概况</w:t>
      </w:r>
    </w:p>
    <w:p>
      <w:pPr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某省直单位信息化项目建设，包含设备购置、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成品软件购置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、软件定制开发、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省级标准规范编制等内容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，项目目前处于预算阶段。</w:t>
      </w:r>
    </w:p>
    <w:p>
      <w:pPr>
        <w:overflowPunct w:val="0"/>
        <w:spacing w:beforeLines="0" w:afterLines="0" w:line="600" w:lineRule="exact"/>
        <w:ind w:firstLine="642" w:firstLineChars="200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（二）软件定制开发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功能</w:t>
      </w:r>
    </w:p>
    <w:p>
      <w:pPr>
        <w:overflowPunct w:val="0"/>
        <w:spacing w:beforeLines="0" w:afterLines="0"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软件定制开发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内容主要由若干“功能模块”构成，功能模块内容主要由“该类项目常用功能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+项目单位其他需求”构成。</w:t>
      </w:r>
    </w:p>
    <w:p>
      <w:pPr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模块一：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领导日程安排</w:t>
      </w:r>
    </w:p>
    <w:p>
      <w:pPr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主要包括：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领导日程的建立、修改、删除、查询、提醒功能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当前时间之前的日程可以选择进行“备案”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备案后不允许修改、删除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过授权的用户可以通过该子系统查看领导的日程安排。</w:t>
      </w:r>
    </w:p>
    <w:p>
      <w:pPr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模块二：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领导专栏</w:t>
      </w:r>
    </w:p>
    <w:p>
      <w:pPr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系统管理员可以创建、删除、修改“领导专栏”的栏目及子栏目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删除时需要检查专题新闻是否已经全部删除，如果栏目下仍然有专题新闻则不予删除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可以将领导关注的信息以专题新闻的方式发布到指定的子栏目，提供给领导阅览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专题新闻可以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有建立、删除、修改、查看的功能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；⑤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领导专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栏信息查看的权限按照领导具体分管的处室和业务进行设置。</w:t>
      </w:r>
    </w:p>
    <w:p>
      <w:pPr>
        <w:pStyle w:val="14"/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模块三：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××管理</w:t>
      </w:r>
    </w:p>
    <w:p>
      <w:pPr>
        <w:pStyle w:val="14"/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...</w:t>
      </w:r>
    </w:p>
    <w:p>
      <w:pPr>
        <w:pStyle w:val="14"/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模块四：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××管理</w:t>
      </w:r>
    </w:p>
    <w:p>
      <w:pPr>
        <w:pStyle w:val="14"/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...</w:t>
      </w:r>
    </w:p>
    <w:p>
      <w:pPr>
        <w:pStyle w:val="14"/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为满足用户移动办公需求，需要开发移动端APP，采用H5页面技术开发，功能模块包含领导日程安排等功能模块。</w:t>
      </w:r>
    </w:p>
    <w:p>
      <w:pPr>
        <w:pStyle w:val="14"/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成品软件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购置</w:t>
      </w:r>
    </w:p>
    <w:p>
      <w:pPr>
        <w:pStyle w:val="14"/>
        <w:overflowPunct w:val="0"/>
        <w:spacing w:beforeLines="0" w:afterLines="0"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根据单位需求，项目需购置成品软件，包含数据库软件2套、WPS办公软件20套、防病毒软件100套等，在省本级部署安装。</w:t>
      </w:r>
    </w:p>
    <w:p>
      <w:pPr>
        <w:pStyle w:val="14"/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（四）设备购置</w:t>
      </w:r>
    </w:p>
    <w:p>
      <w:pPr>
        <w:pStyle w:val="14"/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本项目需采购手持打印机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、执法仪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等其他设备。</w:t>
      </w:r>
    </w:p>
    <w:p>
      <w:pPr>
        <w:pStyle w:val="14"/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（五）标准规范编制</w:t>
      </w:r>
    </w:p>
    <w:p>
      <w:pPr>
        <w:pStyle w:val="14"/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本项目需制定业务标准规范，覆盖范围本省。</w:t>
      </w:r>
    </w:p>
    <w:p>
      <w:pPr>
        <w:pStyle w:val="14"/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（六）相关技术指标及要求</w:t>
      </w:r>
    </w:p>
    <w:p>
      <w:pPr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本系统为单机部署的Web应用系统，按照等保三级的要求进行建设，建成后使用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政务云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的存储资源、计算资源和网络资源支撑服务运行；</w:t>
      </w:r>
    </w:p>
    <w:p>
      <w:pPr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系统有大量的视频数据上传，且用户范围广，对系统响应时间、吞吐量要求较高，同时需保证系统符合相关要求的安全性；</w:t>
      </w:r>
    </w:p>
    <w:p>
      <w:pPr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系统能兼容主流的Windows、Linux操作系统运行；</w:t>
      </w:r>
    </w:p>
    <w:p>
      <w:pPr>
        <w:overflowPunct w:val="0"/>
        <w:spacing w:beforeLines="0" w:afterLines="0" w:line="60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项目验收后服务方提供1年免费运维服务。</w:t>
      </w:r>
    </w:p>
    <w:p>
      <w:pPr>
        <w:pStyle w:val="14"/>
        <w:overflowPunct w:val="0"/>
        <w:spacing w:beforeLines="0" w:afterLines="0" w:line="600" w:lineRule="exact"/>
        <w:ind w:firstLine="642" w:firstLineChars="200"/>
        <w:textAlignment w:val="baseline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（七）项目可行性研究报告批复总投资金额为350万元。</w:t>
      </w:r>
    </w:p>
    <w:p>
      <w:pPr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bookmarkStart w:id="0" w:name="_Toc295418170"/>
      <w:bookmarkStart w:id="1" w:name="_Toc792"/>
      <w:bookmarkStart w:id="2" w:name="_Toc287"/>
      <w:bookmarkStart w:id="3" w:name="_Toc325526518"/>
      <w:bookmarkStart w:id="4" w:name="_Toc1874700183"/>
      <w:bookmarkStart w:id="5" w:name="_Toc684954793_WPSOffice_Level2"/>
      <w:bookmarkStart w:id="6" w:name="_Toc2061378450"/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br w:type="page"/>
      </w:r>
    </w:p>
    <w:p>
      <w:pPr>
        <w:pStyle w:val="4"/>
        <w:overflowPunct w:val="0"/>
        <w:spacing w:beforeAutospacing="0" w:afterAutospacing="0" w:line="600" w:lineRule="exact"/>
        <w:jc w:val="center"/>
        <w:textAlignment w:val="baseline"/>
        <w:rPr>
          <w:rFonts w:hint="eastAsia" w:ascii="Times New Roman" w:hAnsi="Times New Roman" w:eastAsia="楷体_GB2312" w:cs="Times New Roman"/>
          <w:color w:val="auto"/>
          <w:sz w:val="44"/>
          <w:szCs w:val="44"/>
          <w:lang w:eastAsia="zh-CN"/>
        </w:rPr>
      </w:pPr>
      <w:bookmarkStart w:id="7" w:name="_Toc112145598"/>
      <w:bookmarkStart w:id="8" w:name="_Toc160537658"/>
      <w:bookmarkStart w:id="9" w:name="_Toc1644281702"/>
      <w:bookmarkStart w:id="10" w:name="_Toc285622885"/>
      <w:bookmarkStart w:id="11" w:name="_Toc611202880"/>
      <w:bookmarkStart w:id="12" w:name="_Toc1605358993"/>
      <w:bookmarkStart w:id="13" w:name="_Toc1293987952"/>
      <w:bookmarkStart w:id="14" w:name="_Toc381154718"/>
      <w:bookmarkStart w:id="15" w:name="_Toc1462863749"/>
      <w:bookmarkStart w:id="16" w:name="_Toc716570982"/>
      <w:r>
        <w:rPr>
          <w:rFonts w:hint="eastAsia" w:ascii="Times New Roman" w:hAnsi="Times New Roman" w:eastAsia="楷体_GB2312" w:cs="Times New Roman"/>
          <w:color w:val="auto"/>
          <w:sz w:val="44"/>
          <w:szCs w:val="44"/>
          <w:lang w:eastAsia="zh-CN"/>
        </w:rPr>
        <w:t>二、</w:t>
      </w:r>
      <w:r>
        <w:rPr>
          <w:rFonts w:hint="default" w:ascii="Times New Roman" w:hAnsi="Times New Roman" w:eastAsia="楷体_GB2312" w:cs="Times New Roman"/>
          <w:color w:val="auto"/>
          <w:sz w:val="44"/>
          <w:szCs w:val="44"/>
        </w:rPr>
        <w:t>项目建设费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eastAsia="楷体_GB2312" w:cs="Times New Roman"/>
          <w:color w:val="auto"/>
          <w:sz w:val="44"/>
          <w:szCs w:val="44"/>
          <w:lang w:eastAsia="zh-CN"/>
        </w:rPr>
        <w:t>预算构成</w:t>
      </w:r>
    </w:p>
    <w:p>
      <w:pPr>
        <w:pStyle w:val="5"/>
        <w:keepNext w:val="0"/>
        <w:keepLines w:val="0"/>
        <w:numPr>
          <w:ilvl w:val="-1"/>
          <w:numId w:val="0"/>
        </w:numPr>
        <w:overflowPunct w:val="0"/>
        <w:spacing w:before="0" w:after="0" w:line="600" w:lineRule="exact"/>
        <w:jc w:val="center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single"/>
          <w:lang w:eastAsia="zh-CN"/>
        </w:rPr>
      </w:pPr>
      <w:bookmarkStart w:id="17" w:name="_Toc1002072117_WPSOffice_Level2"/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eastAsia="zh-CN"/>
        </w:rPr>
        <w:t>费用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singl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single"/>
        </w:rPr>
        <w:t>软件开发费</w:t>
      </w:r>
      <w:bookmarkEnd w:id="17"/>
    </w:p>
    <w:p>
      <w:pPr>
        <w:pStyle w:val="5"/>
        <w:keepNext w:val="0"/>
        <w:keepLines w:val="0"/>
        <w:numPr>
          <w:ilvl w:val="-1"/>
          <w:numId w:val="0"/>
        </w:numPr>
        <w:overflowPunct w:val="0"/>
        <w:spacing w:before="0" w:after="0"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规模评估</w:t>
      </w:r>
    </w:p>
    <w:p>
      <w:pPr>
        <w:numPr>
          <w:ilvl w:val="255"/>
          <w:numId w:val="0"/>
        </w:numPr>
        <w:overflowPunct w:val="0"/>
        <w:spacing w:line="556" w:lineRule="exact"/>
        <w:ind w:left="2100" w:firstLine="420"/>
        <w:textAlignment w:val="baseline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表1：规模评估过程分析表</w:t>
      </w:r>
    </w:p>
    <w:tbl>
      <w:tblPr>
        <w:tblStyle w:val="12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72"/>
        <w:gridCol w:w="937"/>
        <w:gridCol w:w="5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编号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名称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文件类型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领导日程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ILF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明确在计数范围内进行修改、增加等操作，因此识别为ILF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日程建立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对日程数据文件进行修改维护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日程修改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对日程数据文件进行修改维护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日程删除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对日程数据文件进行修改维护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日程查询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EO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查询时显示规模不是固定的，所以被计为EO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领导信息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EIF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需要使用领导信息，但是没有在计数范围内维护，因此判断其为EIF；此处假设领导和用户是逻辑独立的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74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提醒功能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ILF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此处没有说明提醒的进一步信息，需要进一步澄清需求；假设提醒有逻辑独立的数据存储，且可以通过日程的到期形成提醒数据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9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加入提醒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对提醒文件进行修改维护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提醒列表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EO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显示条数规模不确定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提醒查看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EQ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显示出某一条提醒信息，无数学计算公式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日程加入备案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修改日程数据文件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备案日程查看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EQ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查看备案日程信息，无数据计算公式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用户信息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EIF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本系统将获取用户信息进行验证，但是并不在计数范围内维护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查看领导日程月度统计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EO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统计月度数据需要计算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查看单条日程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EQ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查看某条日程，不维护，且无计算过程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专栏与子栏目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ILF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在计数范围维护的逻辑文件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栏目创建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对栏目数据文件进行维护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栏目删除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对栏目数据文件进行维护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栏目修改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对栏目数据文件进行维护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栏目列表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EO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返回数量规模不确定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专题新闻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ILF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在计数范围维护的逻辑文件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新闻建立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对新闻数据文件进行维护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新闻删除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对新闻数据文件进行维护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新闻修改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对新闻数据文件进行维护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新闻查看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EQ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对新闻数据文件进行查看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新闻专栏选择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EO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新闻发布时，提供的新闻栏目列表下拉框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73" w:hRule="atLeast"/>
          <w:jc w:val="center"/>
        </w:trPr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部门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EIF</w:t>
            </w:r>
          </w:p>
        </w:tc>
        <w:tc>
          <w:tcPr>
            <w:tcW w:w="58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需要引用部门信息，但是不在计数范围内进行维护</w:t>
            </w:r>
          </w:p>
        </w:tc>
      </w:tr>
    </w:tbl>
    <w:p>
      <w:pPr>
        <w:rPr>
          <w:rFonts w:ascii="Times New Roman" w:hAnsi="Times New Roman" w:eastAsia="仿宋_GB2312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  <w:t>说明：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ILF、EIF、EI、EO、EQ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是软件成本评估中功能点估算法的相关术语，具体指以下五种功能点类型：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ILF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-内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部逻辑文件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EIF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外部接口文件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EI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外部输入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EO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外部输出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EQ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外部查询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根据《湖南省省直单位政府投资信息化项目预算编制与财政评审工 作 指 南（试行）》（以下简称《指南》）“1.1 定制软件开发费”中关于功能点估算法的有关规定，可得出功能点数各构成因素：</w:t>
      </w:r>
    </w:p>
    <w:p>
      <w:pPr>
        <w:numPr>
          <w:ilvl w:val="255"/>
          <w:numId w:val="0"/>
        </w:numPr>
        <w:overflowPunct w:val="0"/>
        <w:spacing w:line="556" w:lineRule="exact"/>
        <w:ind w:left="0" w:firstLine="0"/>
        <w:jc w:val="center"/>
        <w:textAlignment w:val="baseline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表2：定制软件开发费（功能点法）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明细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表</w:t>
      </w:r>
    </w:p>
    <w:tbl>
      <w:tblPr>
        <w:tblStyle w:val="12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93"/>
        <w:gridCol w:w="1392"/>
        <w:gridCol w:w="1387"/>
        <w:gridCol w:w="608"/>
        <w:gridCol w:w="578"/>
        <w:gridCol w:w="1028"/>
        <w:gridCol w:w="913"/>
        <w:gridCol w:w="693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9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规模估算方法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估算功能点</w:t>
            </w:r>
          </w:p>
        </w:tc>
        <w:tc>
          <w:tcPr>
            <w:tcW w:w="4567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9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未调整软件规模总和（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US）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2800</w:t>
            </w:r>
          </w:p>
        </w:tc>
        <w:tc>
          <w:tcPr>
            <w:tcW w:w="4567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单位：FP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系统名称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一级模块名称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功能描述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UFP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重用程度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修改类型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US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新OA系统</w:t>
            </w:r>
          </w:p>
        </w:tc>
        <w:tc>
          <w:tcPr>
            <w:tcW w:w="13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领导日程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领导日程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ILF　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　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提醒信息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ILF　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　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领导信息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EIF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用户信息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EIF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2.33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日程建立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日程修改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日程删除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加入提醒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9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日程加入备案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日程列表查询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EO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3.33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11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提醒列表查询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EO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3.33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12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查看领导日程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EO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13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提醒查看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EQ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14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备案日程查看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EQ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15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查看单条日程　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EQ　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中　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2.67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16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专栏与子栏目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ILF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低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17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移动端（H5）</w:t>
            </w:r>
          </w:p>
        </w:tc>
        <w:tc>
          <w:tcPr>
            <w:tcW w:w="13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领导日程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日程建立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0.67</w:t>
            </w:r>
          </w:p>
        </w:tc>
        <w:tc>
          <w:tcPr>
            <w:tcW w:w="74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该功能模块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为“移动终端”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PC端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EI/EO/EQ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），重用程度为超高级，因此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RE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按1/6计取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18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日程修改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0.67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19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日程删除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0.67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20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加入提醒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0.67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21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日程加入备案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EI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0.67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22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日程列表查询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EO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0.83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23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提醒列表查询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EO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0.83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24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提醒查看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EQ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0.67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25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备案日程查看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EQ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0.67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26</w:t>
            </w: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查看单条日程　　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EQ　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新增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0.67</w:t>
            </w:r>
          </w:p>
        </w:tc>
        <w:tc>
          <w:tcPr>
            <w:tcW w:w="74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2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tabs>
                <w:tab w:val="center" w:pos="4303"/>
                <w:tab w:val="left" w:pos="5105"/>
              </w:tabs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ab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...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479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4300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2800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pStyle w:val="5"/>
        <w:keepNext w:val="0"/>
        <w:keepLines w:val="0"/>
        <w:overflowPunct/>
        <w:spacing w:before="0" w:after="0" w:line="640" w:lineRule="exact"/>
        <w:ind w:left="638" w:leftChars="304" w:firstLine="14" w:firstLineChars="6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4"/>
          <w:u w:val="singl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  <w:t>说明：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4"/>
          <w:lang w:val="en-US" w:eastAsia="zh-CN"/>
        </w:rPr>
        <w:t>UFP-未调整的功能点数； US-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4"/>
          <w:lang w:eastAsia="zh-CN"/>
        </w:rPr>
        <w:t>未调整软件规模</w:t>
      </w:r>
    </w:p>
    <w:p>
      <w:pPr>
        <w:pStyle w:val="5"/>
        <w:keepNext w:val="0"/>
        <w:keepLines w:val="0"/>
        <w:overflowPunct/>
        <w:spacing w:before="0" w:after="0" w:line="640" w:lineRule="exact"/>
        <w:ind w:left="638" w:leftChars="304" w:firstLine="14" w:firstLineChars="6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zh-CN"/>
        </w:rPr>
        <w:t>注意：移动终端的数据功能（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>ILF/EIF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eastAsia="zh-CN"/>
        </w:rPr>
        <w:t>）不可重复计取功能点。</w:t>
      </w:r>
    </w:p>
    <w:p>
      <w:pPr>
        <w:pStyle w:val="5"/>
        <w:keepNext w:val="0"/>
        <w:keepLines w:val="0"/>
        <w:overflowPunct/>
        <w:spacing w:before="0" w:after="0" w:line="640" w:lineRule="exact"/>
        <w:ind w:left="638" w:leftChars="304" w:firstLine="19" w:firstLineChars="6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二、费用评估</w:t>
      </w:r>
    </w:p>
    <w:p>
      <w:pPr>
        <w:pStyle w:val="10"/>
        <w:widowControl w:val="0"/>
        <w:overflowPunct w:val="0"/>
        <w:spacing w:line="6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根据《指南》“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1.1定制软件开发费”中功能点估算法的计费方式，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软件开发费=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未调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</w:rPr>
        <w:t>整软件规模总和（US）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②规模变更调整因子×③软件类别调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整因子×④软件质量特性调整系数×⑤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</w:rPr>
        <w:t>软件开发基准生产率/⑥人月折算系数×⑦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开发人月费用单价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</w:rPr>
        <w:t>+⑧直接非人力成本</w:t>
      </w:r>
    </w:p>
    <w:p>
      <w:pPr>
        <w:numPr>
          <w:ilvl w:val="0"/>
          <w:numId w:val="0"/>
        </w:numPr>
        <w:overflowPunct w:val="0"/>
        <w:spacing w:line="640" w:lineRule="exact"/>
        <w:ind w:firstLine="608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  <w:lang w:eastAsia="zh-CN"/>
        </w:rPr>
        <w:t>①未调整软件规模总和（US）。根据表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  <w:lang w:val="en-US" w:eastAsia="zh-CN"/>
        </w:rPr>
        <w:t>2可计算出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</w:rPr>
        <w:t>未调整软件规模总和（US）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为2800FP；</w:t>
      </w:r>
    </w:p>
    <w:p>
      <w:pPr>
        <w:numPr>
          <w:ilvl w:val="0"/>
          <w:numId w:val="0"/>
        </w:numPr>
        <w:overflowPunct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②规模变更调整因子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项目处于预算阶段，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根据《指南》相关约定，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规模变更调整因子取值1.21；</w:t>
      </w:r>
    </w:p>
    <w:p>
      <w:pPr>
        <w:numPr>
          <w:ilvl w:val="0"/>
          <w:numId w:val="0"/>
        </w:numPr>
        <w:overflowPunct w:val="0"/>
        <w:spacing w:line="6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③软件类别调整因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该软件为OA办公系统，软件类别为业务处理软件，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根据《指南》中《软件类别调整因子参考表》可得出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软件类别调整因子取值为1.0；</w:t>
      </w:r>
    </w:p>
    <w:p>
      <w:pPr>
        <w:numPr>
          <w:ilvl w:val="0"/>
          <w:numId w:val="0"/>
        </w:numPr>
        <w:overflowPunct w:val="0"/>
        <w:spacing w:line="6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④软件质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量特性调整系数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本系统满足GB/T25000.10-2016的标准，质量特性调整系数综合取值为1.1（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计算过程：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（1+1+1+1）×0.025+1）；</w:t>
      </w:r>
    </w:p>
    <w:p>
      <w:pPr>
        <w:numPr>
          <w:ilvl w:val="0"/>
          <w:numId w:val="0"/>
        </w:numPr>
        <w:overflowPunct w:val="0"/>
        <w:spacing w:line="6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⑤软件开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发基准生产率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按照2023年中国软件行业基准数据（CSBMK®202310），取全行业基准生产率中值（P50）6.96；</w:t>
      </w:r>
    </w:p>
    <w:p>
      <w:pPr>
        <w:numPr>
          <w:ilvl w:val="0"/>
          <w:numId w:val="0"/>
        </w:numPr>
        <w:overflowPunct w:val="0"/>
        <w:spacing w:line="6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⑥人月折算系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单位为人时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月，取值为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固定值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176人时/月；</w:t>
      </w:r>
    </w:p>
    <w:p>
      <w:pPr>
        <w:numPr>
          <w:ilvl w:val="0"/>
          <w:numId w:val="0"/>
        </w:numPr>
        <w:overflowPunct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⑦开发人月费用单价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。计价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单位为元/月。根据我省实际情况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取值为15000元/月；</w:t>
      </w:r>
    </w:p>
    <w:p>
      <w:pPr>
        <w:numPr>
          <w:ilvl w:val="0"/>
          <w:numId w:val="0"/>
        </w:numPr>
        <w:overflowPunct w:val="0"/>
        <w:spacing w:line="6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⑧直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接非人力成本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本项目无直接非人力成本支出，取值为0。</w:t>
      </w:r>
    </w:p>
    <w:p>
      <w:pPr>
        <w:pStyle w:val="14"/>
        <w:overflowPunct w:val="0"/>
        <w:spacing w:line="640" w:lineRule="exact"/>
        <w:ind w:left="0" w:leftChars="0" w:firstLine="640" w:firstLineChars="200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依据上述公式，可计算出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该项目定制软件开发费用=2800×1.21×1.1×6.96/176×15000+0=2210670.00元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表3：定制软件开发费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功能点法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估算表</w:t>
      </w:r>
    </w:p>
    <w:tbl>
      <w:tblPr>
        <w:tblStyle w:val="12"/>
        <w:tblW w:w="8718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30"/>
        <w:gridCol w:w="1827"/>
        <w:gridCol w:w="1425"/>
        <w:gridCol w:w="165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bookmarkStart w:id="18" w:name="_Toc1127441996_WPSOffice_Level2"/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数值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①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未调整软件规模总和（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US）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（单位：功能点）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2800.00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详见表2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②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规模变更调整因子取值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1.21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③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调整后规模（单位：功能点）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3388.00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=①*②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④</w:t>
            </w:r>
          </w:p>
        </w:tc>
        <w:tc>
          <w:tcPr>
            <w:tcW w:w="30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软件开发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基准生产率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（单位：人时/功能点）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3.92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下限（P25）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⑤</w:t>
            </w:r>
          </w:p>
        </w:tc>
        <w:tc>
          <w:tcPr>
            <w:tcW w:w="30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6.96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中值（P50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建议值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⑥</w:t>
            </w:r>
          </w:p>
        </w:tc>
        <w:tc>
          <w:tcPr>
            <w:tcW w:w="30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12.44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上限（P75）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⑦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调整因子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软件类别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1.00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⑧</w:t>
            </w: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质量特性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1.10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⑨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人月折算系数（单位：时/月）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176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.00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⑩</w:t>
            </w:r>
          </w:p>
        </w:tc>
        <w:tc>
          <w:tcPr>
            <w:tcW w:w="30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调整后工作量（单位：人月）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83.01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下限（P25）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=③*④*⑦*⑧/⑨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⑪</w:t>
            </w:r>
          </w:p>
        </w:tc>
        <w:tc>
          <w:tcPr>
            <w:tcW w:w="30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147.38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中值（P50）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=③*⑤*⑦*⑧/⑨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⑫</w:t>
            </w:r>
          </w:p>
        </w:tc>
        <w:tc>
          <w:tcPr>
            <w:tcW w:w="30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263.42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上限（P75）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=③*⑥*⑦*⑧/⑨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⑬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人月费用单价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（单位：元/人月）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15000.00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⑭</w:t>
            </w:r>
          </w:p>
        </w:tc>
        <w:tc>
          <w:tcPr>
            <w:tcW w:w="30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合计（单位：元）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（不包含直接非人力成本）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1245090.00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下限（P25）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=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⑩*</w:t>
            </w:r>
            <w:r>
              <w:rPr>
                <w:rFonts w:hint="default" w:ascii="Times New Roman" w:hAnsi="Times New Roman" w:eastAsia="MS Gothic" w:cs="Times New Roman"/>
                <w:color w:val="auto"/>
                <w:sz w:val="20"/>
                <w:szCs w:val="20"/>
              </w:rPr>
              <w:t>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⑮</w:t>
            </w:r>
          </w:p>
        </w:tc>
        <w:tc>
          <w:tcPr>
            <w:tcW w:w="30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2210670.00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中值（建议值）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=</w:t>
            </w:r>
            <w:r>
              <w:rPr>
                <w:rFonts w:hint="default" w:ascii="Times New Roman" w:hAnsi="Times New Roman" w:eastAsia="MS Gothic" w:cs="Times New Roman"/>
                <w:color w:val="auto"/>
                <w:sz w:val="20"/>
                <w:szCs w:val="20"/>
              </w:rPr>
              <w:t>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*</w:t>
            </w:r>
            <w:r>
              <w:rPr>
                <w:rFonts w:hint="default" w:ascii="Times New Roman" w:hAnsi="Times New Roman" w:eastAsia="MS Gothic" w:cs="Times New Roman"/>
                <w:color w:val="auto"/>
                <w:sz w:val="20"/>
                <w:szCs w:val="20"/>
              </w:rPr>
              <w:t>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⑯</w:t>
            </w:r>
          </w:p>
        </w:tc>
        <w:tc>
          <w:tcPr>
            <w:tcW w:w="305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3951255.00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上限（P75）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=</w:t>
            </w:r>
            <w:r>
              <w:rPr>
                <w:rFonts w:hint="default" w:ascii="Times New Roman" w:hAnsi="Times New Roman" w:eastAsia="MS Gothic" w:cs="Times New Roman"/>
                <w:color w:val="auto"/>
                <w:sz w:val="20"/>
                <w:szCs w:val="20"/>
              </w:rPr>
              <w:t>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*</w:t>
            </w:r>
            <w:r>
              <w:rPr>
                <w:rFonts w:hint="default" w:ascii="Times New Roman" w:hAnsi="Times New Roman" w:eastAsia="MS Gothic" w:cs="Times New Roman"/>
                <w:color w:val="auto"/>
                <w:sz w:val="20"/>
                <w:szCs w:val="20"/>
              </w:rPr>
              <w:t>⑬</w:t>
            </w:r>
          </w:p>
        </w:tc>
      </w:tr>
    </w:tbl>
    <w:p>
      <w:pPr>
        <w:widowControl/>
        <w:spacing w:after="120" w:line="600" w:lineRule="exact"/>
        <w:jc w:val="center"/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</w:pPr>
    </w:p>
    <w:p>
      <w:pPr>
        <w:rPr>
          <w:rFonts w:hint="eastAsia"/>
          <w:color w:val="auto"/>
          <w:lang w:eastAsia="zh-CN"/>
        </w:rPr>
      </w:pPr>
    </w:p>
    <w:p>
      <w:pPr>
        <w:pStyle w:val="5"/>
        <w:keepNext w:val="0"/>
        <w:keepLines w:val="0"/>
        <w:overflowPunct w:val="0"/>
        <w:spacing w:before="0" w:beforeLines="0" w:after="0" w:afterLines="0" w:line="600" w:lineRule="exact"/>
        <w:ind w:firstLine="722" w:firstLineChars="200"/>
        <w:jc w:val="center"/>
        <w:textAlignment w:val="baseline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eastAsia="zh-CN"/>
        </w:rPr>
        <w:t>费用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val="en-US" w:eastAsia="zh-CN"/>
        </w:rPr>
        <w:t>2：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single"/>
        </w:rPr>
        <w:t>成品软件购置费</w:t>
      </w:r>
    </w:p>
    <w:p>
      <w:pPr>
        <w:pStyle w:val="5"/>
        <w:keepNext w:val="0"/>
        <w:keepLines w:val="0"/>
        <w:overflowPunct w:val="0"/>
        <w:spacing w:before="0" w:beforeLines="0" w:after="0" w:afterLines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根据市场询价，按照数据库软件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20000元/套，WPS办公软件400元/套，WPS办公软件需要30套，根据《指南》“1.2成品软件购置费”中相关规定以及实际情况，调整系数取值0.85。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表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：成品软件购置费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汇总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表</w:t>
      </w:r>
    </w:p>
    <w:tbl>
      <w:tblPr>
        <w:tblStyle w:val="1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22"/>
        <w:gridCol w:w="1045"/>
        <w:gridCol w:w="674"/>
        <w:gridCol w:w="606"/>
        <w:gridCol w:w="1298"/>
        <w:gridCol w:w="1080"/>
        <w:gridCol w:w="1557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主要参数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单价（元）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调整系数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金额（元）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一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基础软件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数据库软件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套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20000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40000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应用软件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WPS办公软件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套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0.85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10200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20000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pStyle w:val="5"/>
        <w:keepNext w:val="0"/>
        <w:keepLines w:val="0"/>
        <w:overflowPunct w:val="0"/>
        <w:spacing w:before="0" w:after="0" w:line="600" w:lineRule="exact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eastAsia="zh-CN"/>
        </w:rPr>
      </w:pPr>
    </w:p>
    <w:p>
      <w:pPr>
        <w:pStyle w:val="5"/>
        <w:keepNext w:val="0"/>
        <w:keepLines w:val="0"/>
        <w:overflowPunct w:val="0"/>
        <w:spacing w:before="0" w:after="0"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6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eastAsia="zh-CN"/>
        </w:rPr>
        <w:t>费用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val="en-US" w:eastAsia="zh-CN"/>
        </w:rPr>
        <w:t>3：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single"/>
        </w:rPr>
        <w:t>设备购置费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根据市场询价，按照手持打印机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500元/台，需80台，根据《指南》“1.3设备购置费”中相关规定以及实际情况，调整系数取值0.8；执法仪800元/台，需30台，调整系数取值0.9。</w:t>
      </w:r>
    </w:p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表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：设备购置费分项汇总表</w:t>
      </w:r>
    </w:p>
    <w:tbl>
      <w:tblPr>
        <w:tblStyle w:val="12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96"/>
        <w:gridCol w:w="941"/>
        <w:gridCol w:w="2592"/>
        <w:gridCol w:w="518"/>
        <w:gridCol w:w="532"/>
        <w:gridCol w:w="804"/>
        <w:gridCol w:w="661"/>
        <w:gridCol w:w="927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用途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规格参数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单位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单价（元）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调整系数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金额（元）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一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其他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设备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　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　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　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　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　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　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手持</w:t>
            </w:r>
          </w:p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打印机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现场执法，单据打印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打印方式：行式热敏；打印纸宽：42mm-110mm之间；打印速度：大于等于80mm/s；打印寿命：100km；无线通讯：蓝牙2.1和4.0、wifi。</w:t>
            </w:r>
          </w:p>
          <w:p>
            <w:pPr>
              <w:spacing w:line="24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台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80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500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80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32000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执法仪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台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30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800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21600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Lines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台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...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..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二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　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　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　</w:t>
            </w:r>
          </w:p>
        </w:tc>
        <w:tc>
          <w:tcPr>
            <w:tcW w:w="53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　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　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80000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　</w:t>
            </w:r>
          </w:p>
        </w:tc>
      </w:tr>
    </w:tbl>
    <w:p>
      <w:pPr>
        <w:pStyle w:val="5"/>
        <w:keepNext w:val="0"/>
        <w:keepLines w:val="0"/>
        <w:overflowPunct w:val="0"/>
        <w:spacing w:before="0" w:beforeLines="0" w:after="0" w:afterLines="0" w:line="600" w:lineRule="exact"/>
        <w:jc w:val="center"/>
        <w:textAlignment w:val="baseline"/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eastAsia="zh-CN"/>
        </w:rPr>
      </w:pPr>
    </w:p>
    <w:p>
      <w:pPr>
        <w:pStyle w:val="5"/>
        <w:keepNext w:val="0"/>
        <w:keepLines w:val="0"/>
        <w:overflowPunct w:val="0"/>
        <w:spacing w:before="0" w:beforeLines="0" w:after="0" w:afterLines="0" w:line="600" w:lineRule="exact"/>
        <w:jc w:val="center"/>
        <w:textAlignment w:val="baseline"/>
        <w:rPr>
          <w:rFonts w:ascii="Times New Roman" w:hAnsi="Times New Roman" w:eastAsia="仿宋_GB2312" w:cs="Times New Roman"/>
          <w:color w:val="auto"/>
          <w:sz w:val="36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eastAsia="zh-CN"/>
        </w:rPr>
        <w:t>费用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val="en-US" w:eastAsia="zh-CN"/>
        </w:rPr>
        <w:t>4：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single"/>
        </w:rPr>
        <w:t>系统集成费</w:t>
      </w:r>
      <w:bookmarkEnd w:id="18"/>
    </w:p>
    <w:p>
      <w:pPr>
        <w:pStyle w:val="6"/>
        <w:overflowPunct w:val="0"/>
        <w:spacing w:line="600" w:lineRule="exact"/>
        <w:ind w:firstLine="64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本项目采购的软件、硬件仅需在省本级部署安装，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且集成复杂度较低，根据《指南》表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3：系统集成费费率取值区间表，该项目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信息系统集成费费率取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6"/>
        <w:overflowPunct w:val="0"/>
        <w:spacing w:line="600" w:lineRule="exact"/>
        <w:ind w:firstLine="64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集成对象相关的设备：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此次购置的设备为打印机、执法仪等外设设备，均不与集成对象相关，集成费取值为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</w:p>
    <w:p>
      <w:pPr>
        <w:pStyle w:val="6"/>
        <w:overflowPunct w:val="0"/>
        <w:spacing w:line="600" w:lineRule="exact"/>
        <w:ind w:firstLine="64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集成对象相关的成品软件：数据库软件等共200000元；</w:t>
      </w:r>
    </w:p>
    <w:p>
      <w:pPr>
        <w:pStyle w:val="6"/>
        <w:overflowPunct w:val="0"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信息系统集成费=（集成对象相关的设备购置费+集成对象相关的成品软件购置费）×信息系统集成费率=（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+200000）×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%=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000元。</w:t>
      </w:r>
    </w:p>
    <w:p>
      <w:pPr>
        <w:pStyle w:val="5"/>
        <w:keepNext w:val="0"/>
        <w:keepLines w:val="0"/>
        <w:overflowPunct w:val="0"/>
        <w:spacing w:before="0" w:beforeLines="0" w:after="0" w:afterLines="0"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overflowPunct w:val="0"/>
        <w:spacing w:before="0" w:beforeLines="0" w:after="0" w:afterLines="0" w:line="600" w:lineRule="exact"/>
        <w:jc w:val="center"/>
        <w:textAlignment w:val="baseline"/>
        <w:rPr>
          <w:rFonts w:ascii="Times New Roman" w:hAnsi="Times New Roman" w:eastAsia="仿宋_GB2312" w:cs="Times New Roman"/>
          <w:color w:val="auto"/>
          <w:sz w:val="36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eastAsia="zh-CN"/>
        </w:rPr>
        <w:t>费用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single"/>
          <w:lang w:val="en-US" w:eastAsia="zh-CN"/>
        </w:rPr>
        <w:t>5：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single"/>
        </w:rPr>
        <w:t>标准规范编制费</w:t>
      </w:r>
    </w:p>
    <w:p>
      <w:pPr>
        <w:pStyle w:val="6"/>
        <w:overflowPunct w:val="0"/>
        <w:spacing w:beforeLines="0" w:afterLines="0" w:line="600" w:lineRule="exact"/>
        <w:ind w:firstLine="64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根据建设需求，本项目需编制1套省级业务标准规范。</w:t>
      </w:r>
    </w:p>
    <w:p>
      <w:pPr>
        <w:pStyle w:val="6"/>
        <w:overflowPunct w:val="0"/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根据《指南》“表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8：标准规范编制费计价参考标准”相关规定，本标准为地方级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标准规范编制费=300000×1=300000元。</w:t>
      </w:r>
    </w:p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表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：标准规范编制费汇总表</w:t>
      </w:r>
    </w:p>
    <w:tbl>
      <w:tblPr>
        <w:tblStyle w:val="12"/>
        <w:tblW w:w="8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65"/>
        <w:gridCol w:w="1320"/>
        <w:gridCol w:w="1350"/>
        <w:gridCol w:w="750"/>
        <w:gridCol w:w="945"/>
        <w:gridCol w:w="103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规范等级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hAnsi="宋体"/>
                <w:lang w:val="en-US" w:eastAsia="zh-CN" w:bidi="ar"/>
              </w:rPr>
              <w:t>《</w:t>
            </w:r>
            <w:r>
              <w:rPr>
                <w:rStyle w:val="17"/>
                <w:rFonts w:eastAsia="仿宋_GB2312"/>
                <w:lang w:val="en-US" w:eastAsia="zh-CN" w:bidi="ar"/>
              </w:rPr>
              <w:t>XXXX</w:t>
            </w:r>
            <w:r>
              <w:rPr>
                <w:rStyle w:val="16"/>
                <w:rFonts w:hAnsi="宋体"/>
                <w:lang w:val="en-US" w:eastAsia="zh-CN" w:bidi="ar"/>
              </w:rPr>
              <w:t>标准》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地方标准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overflowPunct w:val="0"/>
        <w:spacing w:beforeLines="0" w:afterLines="0"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overflowPunct w:val="0"/>
        <w:spacing w:beforeLines="0" w:afterLines="0" w:line="600" w:lineRule="exact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single"/>
          <w:lang w:eastAsia="zh-CN"/>
        </w:rPr>
        <w:t>费用合计</w:t>
      </w:r>
    </w:p>
    <w:p>
      <w:pPr>
        <w:pStyle w:val="6"/>
        <w:overflowPunct w:val="0"/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综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上，本项目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直接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费=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软件开发费+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成品软件购置费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设备购置费+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信息系统集成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费+标准规范编制费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=2210670+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200000+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80000+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000+300000=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2796670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元。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项目建设费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预算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汇总表</w:t>
      </w:r>
    </w:p>
    <w:tbl>
      <w:tblPr>
        <w:tblStyle w:val="12"/>
        <w:tblW w:w="82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071"/>
        <w:gridCol w:w="2100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序号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费用名称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金额（元）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val="en-US" w:eastAsia="zh-CN" w:bidi="ar"/>
              </w:rPr>
              <w:t>2796670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.00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1+2+...+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定制软件开发费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2210670.00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成品软件购置费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00000.00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设备购置费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0000.00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信息系统集成费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000.00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</w:rPr>
              <w:t>标准规范编制费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00000.00</w:t>
            </w:r>
          </w:p>
        </w:tc>
        <w:tc>
          <w:tcPr>
            <w:tcW w:w="20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pStyle w:val="6"/>
        <w:overflowPunct w:val="0"/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</w:p>
    <w:p>
      <w:pPr>
        <w:pStyle w:val="6"/>
        <w:overflowPunct w:val="0"/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</w:p>
    <w:p>
      <w:pPr>
        <w:pStyle w:val="6"/>
        <w:overflowPunct w:val="0"/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</w:p>
    <w:p>
      <w:pPr>
        <w:pStyle w:val="6"/>
        <w:overflowPunct w:val="0"/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</w:p>
    <w:p>
      <w:pPr>
        <w:pStyle w:val="3"/>
        <w:keepNext w:val="0"/>
        <w:keepLines w:val="0"/>
        <w:overflowPunct w:val="0"/>
        <w:spacing w:beforeLines="0" w:afterLines="0" w:line="600" w:lineRule="exact"/>
        <w:ind w:firstLine="0" w:firstLineChars="0"/>
        <w:jc w:val="center"/>
        <w:textAlignment w:val="baseline"/>
        <w:rPr>
          <w:rFonts w:hint="eastAsia" w:ascii="Times New Roman" w:hAnsi="Times New Roman" w:cs="Times New Roman"/>
          <w:b w:val="0"/>
          <w:bCs w:val="0"/>
          <w:color w:val="auto"/>
          <w:sz w:val="36"/>
          <w:szCs w:val="36"/>
          <w:lang w:eastAsia="zh-CN"/>
        </w:rPr>
      </w:pPr>
      <w:bookmarkStart w:id="19" w:name="_Toc260787595"/>
      <w:bookmarkStart w:id="20" w:name="_Toc404624041_WPSOffice_Level2"/>
      <w:bookmarkStart w:id="21" w:name="_Toc482128858"/>
      <w:bookmarkStart w:id="22" w:name="_Toc271345441"/>
      <w:bookmarkStart w:id="23" w:name="_Toc986686690"/>
      <w:bookmarkStart w:id="24" w:name="_Toc813186121"/>
      <w:bookmarkStart w:id="25" w:name="_Toc160537663"/>
      <w:bookmarkStart w:id="26" w:name="_Toc576071420"/>
      <w:bookmarkStart w:id="27" w:name="_Toc650703645"/>
      <w:bookmarkStart w:id="28" w:name="_Toc1236543464"/>
      <w:bookmarkStart w:id="29" w:name="_Toc464596080"/>
      <w:bookmarkStart w:id="30" w:name="_Toc535584738"/>
      <w:bookmarkStart w:id="31" w:name="_Toc1839855680"/>
      <w:bookmarkStart w:id="32" w:name="_Toc22030"/>
      <w:bookmarkStart w:id="33" w:name="_Toc1361612880"/>
      <w:bookmarkStart w:id="34" w:name="_Toc15216"/>
      <w:r>
        <w:rPr>
          <w:rFonts w:hint="default" w:ascii="Times New Roman" w:hAnsi="Times New Roman" w:cs="Times New Roman"/>
          <w:b w:val="0"/>
          <w:bCs w:val="0"/>
          <w:color w:val="auto"/>
          <w:sz w:val="36"/>
          <w:szCs w:val="36"/>
        </w:rPr>
        <w:t>案</w:t>
      </w:r>
      <w:r>
        <w:rPr>
          <w:rFonts w:hint="eastAsia" w:ascii="Times New Roman" w:hAnsi="Times New Roman" w:cs="Times New Roman"/>
          <w:b w:val="0"/>
          <w:bCs w:val="0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36"/>
          <w:szCs w:val="36"/>
        </w:rPr>
        <w:t>例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 w:ascii="Times New Roman" w:hAnsi="Times New Roman" w:cs="Times New Roman"/>
          <w:b w:val="0"/>
          <w:bCs w:val="0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36"/>
          <w:szCs w:val="36"/>
          <w:lang w:eastAsia="zh-CN"/>
        </w:rPr>
        <w:t>二</w:t>
      </w:r>
    </w:p>
    <w:p>
      <w:pPr>
        <w:pStyle w:val="3"/>
        <w:bidi w:val="0"/>
        <w:jc w:val="center"/>
        <w:rPr>
          <w:rFonts w:hint="eastAsia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44"/>
          <w:szCs w:val="44"/>
          <w:lang w:eastAsia="zh-CN"/>
        </w:rPr>
        <w:t>运维费</w:t>
      </w:r>
      <w:r>
        <w:rPr>
          <w:rFonts w:hint="eastAsia"/>
          <w:b w:val="0"/>
          <w:bCs w:val="0"/>
          <w:color w:val="auto"/>
          <w:sz w:val="44"/>
          <w:szCs w:val="44"/>
          <w:lang w:eastAsia="zh-CN"/>
        </w:rPr>
        <w:t>预算编制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overflowPunct w:val="0"/>
        <w:spacing w:beforeLines="0" w:afterLines="0"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44"/>
          <w:szCs w:val="44"/>
          <w:lang w:eastAsia="zh-CN"/>
        </w:rPr>
        <w:t>一、项目送审内容</w:t>
      </w:r>
    </w:p>
    <w:p>
      <w:pPr>
        <w:overflowPunct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某信息化项目已完成了建设和交付，项目的信息系统建设费为1400万元，其中软件开发费1000万元，机房硬件采购费350万元，成品软件采购50万元。项目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过总体质保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但设备还有一年原厂质保期。现委托机构对项目进行运行维护，运行维护期3年，运维方式采用定期巡检及远程值守相结合的方式，巡检周期为每周一次，要求服务响应时间&lt;1小时，出现故障人员到场时间&lt;2小时，故障恢复时间&lt;4小时。</w:t>
      </w:r>
    </w:p>
    <w:p>
      <w:pPr>
        <w:overflowPunct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</w:p>
    <w:p>
      <w:pPr>
        <w:pStyle w:val="4"/>
        <w:overflowPunct w:val="0"/>
        <w:spacing w:beforeAutospacing="0" w:afterAutospacing="0"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color w:val="auto"/>
          <w:sz w:val="44"/>
          <w:szCs w:val="44"/>
          <w:lang w:eastAsia="zh-CN"/>
        </w:rPr>
        <w:t>二、运维费预算构成</w:t>
      </w:r>
    </w:p>
    <w:p>
      <w:pPr>
        <w:overflowPunct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本项目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采用比例系数法计算运维费用。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费用公式：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息系统运行维护费=∑设备（软件等）费用×运维费率×运维等级调整系数×服务期限。</w:t>
      </w:r>
    </w:p>
    <w:p>
      <w:pPr>
        <w:pStyle w:val="5"/>
        <w:keepNext w:val="0"/>
        <w:keepLines w:val="0"/>
        <w:numPr>
          <w:ilvl w:val="-1"/>
          <w:numId w:val="0"/>
        </w:numPr>
        <w:overflowPunct w:val="0"/>
        <w:spacing w:before="0" w:after="0"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thick"/>
          <w:lang w:val="en-US" w:eastAsia="zh-CN"/>
        </w:rPr>
        <w:t>因素1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thick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thick"/>
        </w:rPr>
        <w:t>设备（软件等）费用</w:t>
      </w:r>
    </w:p>
    <w:p>
      <w:pPr>
        <w:pStyle w:val="5"/>
        <w:keepNext w:val="0"/>
        <w:keepLines w:val="0"/>
        <w:numPr>
          <w:ilvl w:val="-1"/>
          <w:numId w:val="0"/>
        </w:numPr>
        <w:overflowPunct w:val="0"/>
        <w:spacing w:before="0" w:after="0" w:line="600" w:lineRule="exact"/>
        <w:ind w:firstLine="596" w:firstLineChars="200"/>
        <w:jc w:val="left"/>
        <w:textAlignment w:val="baseline"/>
        <w:rPr>
          <w:rFonts w:hint="eastAsia" w:ascii="Times New Roman" w:hAnsi="Times New Roman" w:eastAsia="仿宋_GB2312" w:cs="Times New Roman"/>
          <w:b w:val="0"/>
          <w:bCs/>
          <w:color w:val="auto"/>
          <w:spacing w:val="-1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11"/>
          <w:sz w:val="32"/>
          <w:szCs w:val="32"/>
          <w:lang w:eastAsia="zh-CN"/>
        </w:rPr>
        <w:t>软件开发费1000万元，机房硬件采购费350万元，成品软件采购50万元。</w:t>
      </w:r>
    </w:p>
    <w:p>
      <w:pPr>
        <w:pStyle w:val="5"/>
        <w:keepNext w:val="0"/>
        <w:keepLines w:val="0"/>
        <w:numPr>
          <w:ilvl w:val="-1"/>
          <w:numId w:val="0"/>
        </w:numPr>
        <w:overflowPunct w:val="0"/>
        <w:spacing w:before="0" w:after="0" w:line="600" w:lineRule="exact"/>
        <w:jc w:val="center"/>
        <w:textAlignment w:val="baseline"/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u w:val="thick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thick"/>
          <w:lang w:val="en-US" w:eastAsia="zh-CN"/>
        </w:rPr>
        <w:t>因素2：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thick"/>
        </w:rPr>
        <w:t>运维费率</w:t>
      </w:r>
    </w:p>
    <w:p>
      <w:pPr>
        <w:overflowPunct w:val="0"/>
        <w:spacing w:beforeLines="0" w:afterLines="0" w:line="600" w:lineRule="exact"/>
        <w:ind w:firstLine="596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费率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取值：第一年硬件设备由于还有一年质保期，故该部分运维费为0；成品软件运维费年费率取值1%；定制软件运维费年费率取值8%。第二年硬件设备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位于机房内，按照室内环境考虑费率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运维费年费率取值4%；成品软件运维费年费率取值1%；定制软件运维费年费率取值7%。第三年硬件设备运维费年费率取值4%；成品软件运维费年费率取值1%；定制软件运维费年费率取值6%。</w:t>
      </w:r>
    </w:p>
    <w:p>
      <w:pPr>
        <w:pStyle w:val="5"/>
        <w:keepNext w:val="0"/>
        <w:keepLines w:val="0"/>
        <w:numPr>
          <w:ilvl w:val="-1"/>
          <w:numId w:val="0"/>
        </w:numPr>
        <w:overflowPunct w:val="0"/>
        <w:spacing w:before="0" w:after="0"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thick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u w:val="thick"/>
          <w:lang w:val="en-US" w:eastAsia="zh-CN"/>
        </w:rPr>
        <w:t>因素3：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thick"/>
        </w:rPr>
        <w:t>运维等级调整系数</w:t>
      </w:r>
    </w:p>
    <w:p>
      <w:pPr>
        <w:overflowPunct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根据运维服务要求，该项目运维等级为三级调整系数取值1.0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。</w:t>
      </w:r>
    </w:p>
    <w:p>
      <w:pPr>
        <w:pStyle w:val="5"/>
        <w:keepNext w:val="0"/>
        <w:keepLines w:val="0"/>
        <w:numPr>
          <w:ilvl w:val="-1"/>
          <w:numId w:val="0"/>
        </w:numPr>
        <w:overflowPunct w:val="0"/>
        <w:spacing w:before="0" w:after="0" w:line="600" w:lineRule="exact"/>
        <w:jc w:val="center"/>
        <w:textAlignment w:val="baseline"/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u w:val="thick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u w:val="thick"/>
        </w:rPr>
        <w:t>项目运维费合计</w:t>
      </w:r>
    </w:p>
    <w:p>
      <w:pPr>
        <w:overflowPunct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根据《指南》“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2.1章节 信息系统运行维护费”中“表9：运行维护费用计价表”进行运维费预算编制。</w:t>
      </w:r>
    </w:p>
    <w:p>
      <w:pPr>
        <w:spacing w:before="166" w:beforeLines="50" w:line="580" w:lineRule="exact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</w:rPr>
        <w:t>运行维护费用计价表</w:t>
      </w:r>
    </w:p>
    <w:tbl>
      <w:tblPr>
        <w:tblStyle w:val="12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983"/>
        <w:gridCol w:w="2070"/>
        <w:gridCol w:w="1198"/>
        <w:gridCol w:w="780"/>
        <w:gridCol w:w="780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Header/>
          <w:jc w:val="center"/>
        </w:trPr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序号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名称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运维内容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计费基数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年费率（%）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5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一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设备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定期巡检、调整优化、版本升级、设备维修、部件更换、备品备件等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设备购置费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室内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室外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5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≤5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设备质保期满后3年内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5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≤6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设备质保期满后第4年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5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≤7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设备质保期满第5年起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二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1"/>
              <w:widowControl/>
              <w:spacing w:before="0"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成品软件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原厂服务、定期升级、调整优化等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成品软件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购置费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≤1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项目质保期满后第1年起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三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1"/>
              <w:widowControl/>
              <w:spacing w:before="0"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定制软件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定期巡检、响应支持、调整优化、版本升级、培训等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定制软件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开发费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≤8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项目质保期满后第1年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1"/>
              <w:widowControl/>
              <w:spacing w:before="0"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≤7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项目质保期满后第2年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11"/>
              <w:widowControl/>
              <w:spacing w:before="0" w:after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≤6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项目质保期满后第3年起</w:t>
            </w:r>
          </w:p>
        </w:tc>
      </w:tr>
    </w:tbl>
    <w:p>
      <w:pPr>
        <w:overflowPunct w:val="0"/>
        <w:spacing w:beforeLines="0" w:afterLines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pacing w:val="-11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bidi="ar"/>
        </w:rPr>
        <w:t>第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bidi="ar"/>
        </w:rPr>
        <w:t>一年最高运维费用=350×0+50×1%+1000×8%=80.50万元。</w:t>
      </w:r>
    </w:p>
    <w:p>
      <w:pPr>
        <w:overflowPunct w:val="0"/>
        <w:spacing w:beforeLines="0" w:afterLines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pacing w:val="-11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bidi="ar"/>
        </w:rPr>
        <w:t>第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bidi="ar"/>
        </w:rPr>
        <w:t>二年最高运维费用=350×4%+50×1%+1000×7%=84.50万元。</w:t>
      </w:r>
    </w:p>
    <w:p>
      <w:pPr>
        <w:overflowPunct w:val="0"/>
        <w:spacing w:beforeLines="0" w:afterLines="0"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pacing w:val="-11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bidi="ar"/>
        </w:rPr>
        <w:t>第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bidi="ar"/>
        </w:rPr>
        <w:t>三年最高运维费用=350×4%+50×1%+1000×6%=74.50万元。</w:t>
      </w:r>
    </w:p>
    <w:p>
      <w:pPr>
        <w:ind w:firstLine="320" w:firstLineChars="100"/>
        <w:rPr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综上，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三年期最高总运维费用=80.50+84.50+74.50=239.50万元。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altName w:val="宋体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2M2MGRlMzgyMTJmYmNmNjk2NjZjMGY3ZGY2YWQifQ=="/>
  </w:docVars>
  <w:rsids>
    <w:rsidRoot w:val="7671382D"/>
    <w:rsid w:val="16621177"/>
    <w:rsid w:val="1DFF48C2"/>
    <w:rsid w:val="2FB64139"/>
    <w:rsid w:val="33A309C5"/>
    <w:rsid w:val="3BE7166D"/>
    <w:rsid w:val="3BEE1616"/>
    <w:rsid w:val="3BFC332F"/>
    <w:rsid w:val="3FE98D7B"/>
    <w:rsid w:val="3FFE96E5"/>
    <w:rsid w:val="4DE724BF"/>
    <w:rsid w:val="5ACF911F"/>
    <w:rsid w:val="5CBD0242"/>
    <w:rsid w:val="6E7C6C08"/>
    <w:rsid w:val="6FF7663C"/>
    <w:rsid w:val="6FF93D69"/>
    <w:rsid w:val="7671382D"/>
    <w:rsid w:val="76FC7655"/>
    <w:rsid w:val="7AFF274B"/>
    <w:rsid w:val="7EFF9395"/>
    <w:rsid w:val="7FFA480C"/>
    <w:rsid w:val="BC7F9B8B"/>
    <w:rsid w:val="BDB97630"/>
    <w:rsid w:val="BFB76B3B"/>
    <w:rsid w:val="BFBF5FC0"/>
    <w:rsid w:val="C7FB8F39"/>
    <w:rsid w:val="D37DDD1C"/>
    <w:rsid w:val="D3FFE38F"/>
    <w:rsid w:val="D99FBB31"/>
    <w:rsid w:val="E7EFF70E"/>
    <w:rsid w:val="EFF28B43"/>
    <w:rsid w:val="F1FF0DE4"/>
    <w:rsid w:val="F37DCEA1"/>
    <w:rsid w:val="FBEB08CE"/>
    <w:rsid w:val="FBF3D9F5"/>
    <w:rsid w:val="FDED8EE7"/>
    <w:rsid w:val="FEDFAEB4"/>
    <w:rsid w:val="FEE7F811"/>
    <w:rsid w:val="FF4F67F2"/>
    <w:rsid w:val="FFFE9CAB"/>
    <w:rsid w:val="FFFF8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50" w:afterLines="50" w:line="480" w:lineRule="auto"/>
      <w:outlineLvl w:val="1"/>
    </w:pPr>
    <w:rPr>
      <w:rFonts w:ascii="Helvetica Neue" w:hAnsi="Helvetica Neue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等线" w:hAnsi="等线"/>
    </w:rPr>
  </w:style>
  <w:style w:type="paragraph" w:styleId="7">
    <w:name w:val="Body Text"/>
    <w:basedOn w:val="1"/>
    <w:qFormat/>
    <w:uiPriority w:val="99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4">
    <w:name w:val="列表段落1"/>
    <w:basedOn w:val="1"/>
    <w:qFormat/>
    <w:uiPriority w:val="34"/>
    <w:pPr>
      <w:ind w:firstLine="420"/>
    </w:pPr>
    <w:rPr>
      <w:rFonts w:ascii="等线" w:hAnsi="等线"/>
    </w:rPr>
  </w:style>
  <w:style w:type="paragraph" w:customStyle="1" w:styleId="15">
    <w:name w:val="正文样式"/>
    <w:basedOn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character" w:customStyle="1" w:styleId="1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3893</Words>
  <Characters>4769</Characters>
  <Lines>1</Lines>
  <Paragraphs>1</Paragraphs>
  <TotalTime>4</TotalTime>
  <ScaleCrop>false</ScaleCrop>
  <LinksUpToDate>false</LinksUpToDate>
  <CharactersWithSpaces>4833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2024-05-18T00:36:00Z</dcterms:created>
  <dc:creator>小罗罗</dc:creator>
  <cp:lastModifiedBy>陈晓梅</cp:lastModifiedBy>
  <cp:lastPrinted>2024-05-24T16:21:00Z</cp:lastPrinted>
  <dcterms:modified xsi:type="dcterms:W3CDTF">2024-05-27T11:16:11Z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3BEBF09F02C9CE16DFE34E66C34173C0</vt:lpwstr>
  </property>
</Properties>
</file>